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4D10F1" w:rsidTr="00B909F2">
        <w:trPr>
          <w:trHeight w:val="4063"/>
        </w:trPr>
        <w:tc>
          <w:tcPr>
            <w:tcW w:w="5951" w:type="dxa"/>
            <w:tcBorders>
              <w:bottom w:val="single" w:sz="18" w:space="0" w:color="808080"/>
              <w:right w:val="single" w:sz="18" w:space="0" w:color="808080"/>
            </w:tcBorders>
            <w:vAlign w:val="center"/>
          </w:tcPr>
          <w:p w:rsidR="00023FE7" w:rsidRPr="001614A1" w:rsidRDefault="00AB4ADA" w:rsidP="001614A1">
            <w:pPr>
              <w:pStyle w:val="Title"/>
              <w:tabs>
                <w:tab w:val="right" w:pos="612"/>
                <w:tab w:val="left" w:pos="675"/>
              </w:tabs>
              <w:ind w:hanging="270"/>
              <w:rPr>
                <w:rFonts w:eastAsia="MS Mincho" w:cs="Tahoma"/>
                <w:b w:val="0"/>
                <w:sz w:val="76"/>
                <w:szCs w:val="76"/>
                <w:lang w:val="de-DE"/>
              </w:rPr>
            </w:pPr>
            <w:bookmarkStart w:id="0" w:name="_Toc336337837"/>
            <w:bookmarkStart w:id="1" w:name="_Toc363998592"/>
            <w:bookmarkStart w:id="2" w:name="_GoBack"/>
            <w:bookmarkEnd w:id="2"/>
            <w:r>
              <w:rPr>
                <w:noProof/>
              </w:rPr>
              <mc:AlternateContent>
                <mc:Choice Requires="wps">
                  <w:drawing>
                    <wp:anchor distT="0" distB="0" distL="114300" distR="114300" simplePos="0" relativeHeight="251665920" behindDoc="0" locked="0" layoutInCell="1" allowOverlap="1">
                      <wp:simplePos x="0" y="0"/>
                      <wp:positionH relativeFrom="column">
                        <wp:posOffset>1482725</wp:posOffset>
                      </wp:positionH>
                      <wp:positionV relativeFrom="paragraph">
                        <wp:posOffset>7770495</wp:posOffset>
                      </wp:positionV>
                      <wp:extent cx="1800860" cy="224155"/>
                      <wp:effectExtent l="0" t="0" r="8890" b="4445"/>
                      <wp:wrapNone/>
                      <wp:docPr id="17"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0860" cy="22415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B89E0B" id="Oval 17" o:spid="_x0000_s1026" style="position:absolute;margin-left:116.75pt;margin-top:611.85pt;width:141.8pt;height:17.6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" filled="f" strokecolor="red" strokeweight="1.75pt">
                      <v:stroke joinstyle="miter"/>
                      <v:path arrowok="t"/>
                    </v:oval>
                  </w:pict>
                </mc:Fallback>
              </mc:AlternateContent>
            </w:r>
            <w:r w:rsidR="00023FE7" w:rsidRPr="001614A1">
              <w:rPr>
                <w:rFonts w:eastAsia="MS Mincho" w:cs="Tahoma"/>
                <w:b w:val="0"/>
                <w:sz w:val="76"/>
                <w:szCs w:val="76"/>
                <w:lang w:val="de-DE"/>
              </w:rPr>
              <w:t>Microsoft</w:t>
            </w:r>
            <w:r w:rsidR="0069040B" w:rsidRPr="0069040B">
              <w:rPr>
                <w:rFonts w:eastAsia="MS Mincho" w:cs="Tahoma"/>
                <w:b w:val="0"/>
                <w:sz w:val="76"/>
                <w:szCs w:val="76"/>
                <w:vertAlign w:val="superscript"/>
                <w:lang w:val="de-DE"/>
              </w:rPr>
              <w:t>®</w:t>
            </w:r>
            <w:bookmarkEnd w:id="0"/>
            <w:bookmarkEnd w:id="1"/>
          </w:p>
          <w:p w:rsidR="00023FE7" w:rsidRPr="004D10F1" w:rsidRDefault="00023FE7">
            <w:pPr>
              <w:pStyle w:val="NoSpacing1"/>
              <w:ind w:left="270" w:right="668"/>
              <w:jc w:val="right"/>
              <w:rPr>
                <w:rFonts w:ascii="Tahoma" w:hAnsi="Tahoma" w:cs="Tahoma"/>
                <w:sz w:val="76"/>
                <w:szCs w:val="72"/>
              </w:rPr>
            </w:pPr>
            <w:r w:rsidRPr="001614A1">
              <w:rPr>
                <w:rFonts w:ascii="Cambria" w:hAnsi="Cambria" w:cs="Tahoma"/>
                <w:sz w:val="76"/>
                <w:szCs w:val="76"/>
                <w:lang w:val="de-DE"/>
              </w:rPr>
              <w:t>Produktliste</w:t>
            </w:r>
          </w:p>
        </w:tc>
        <w:tc>
          <w:tcPr>
            <w:tcW w:w="4615" w:type="dxa"/>
            <w:tcBorders>
              <w:left w:val="single" w:sz="18" w:space="0" w:color="808080"/>
              <w:bottom w:val="single" w:sz="18" w:space="0" w:color="808080"/>
            </w:tcBorders>
            <w:vAlign w:val="center"/>
          </w:tcPr>
          <w:p w:rsidR="00023FE7" w:rsidRPr="001614A1" w:rsidRDefault="00023FE7">
            <w:pPr>
              <w:pStyle w:val="NoSpacing1"/>
              <w:ind w:right="-1797"/>
              <w:rPr>
                <w:rFonts w:ascii="Tahoma" w:hAnsi="Tahoma" w:cs="Tahoma"/>
                <w:sz w:val="72"/>
                <w:szCs w:val="72"/>
                <w:lang w:val="de-DE"/>
              </w:rPr>
            </w:pPr>
          </w:p>
          <w:p w:rsidR="00023FE7" w:rsidRPr="001614A1" w:rsidRDefault="00D94BF5" w:rsidP="001614A1">
            <w:pPr>
              <w:pStyle w:val="NoSpacing1"/>
              <w:ind w:right="-1797"/>
              <w:rPr>
                <w:rFonts w:ascii="Tahoma" w:hAnsi="Tahoma" w:cs="Tahoma"/>
                <w:sz w:val="72"/>
                <w:szCs w:val="72"/>
              </w:rPr>
            </w:pPr>
            <w:r w:rsidRPr="004D10F1">
              <w:rPr>
                <w:rFonts w:ascii="Tahoma" w:hAnsi="Tahoma" w:cs="Tahoma"/>
                <w:sz w:val="72"/>
                <w:szCs w:val="72"/>
              </w:rPr>
              <w:t>1</w:t>
            </w:r>
            <w:r w:rsidR="006257A7">
              <w:rPr>
                <w:rFonts w:ascii="Tahoma" w:hAnsi="Tahoma" w:cs="Tahoma"/>
                <w:sz w:val="72"/>
                <w:szCs w:val="72"/>
              </w:rPr>
              <w:t xml:space="preserve">. </w:t>
            </w:r>
            <w:r w:rsidR="001614A1">
              <w:rPr>
                <w:rFonts w:ascii="Tahoma" w:hAnsi="Tahoma" w:cs="Tahoma"/>
                <w:sz w:val="72"/>
                <w:szCs w:val="72"/>
              </w:rPr>
              <w:t>S</w:t>
            </w:r>
            <w:r w:rsidRPr="004D10F1">
              <w:rPr>
                <w:rFonts w:ascii="Tahoma" w:hAnsi="Tahoma" w:cs="Tahoma"/>
                <w:sz w:val="72"/>
                <w:szCs w:val="72"/>
              </w:rPr>
              <w:t>eptember</w:t>
            </w:r>
          </w:p>
          <w:p w:rsidR="00023FE7" w:rsidRPr="004D10F1" w:rsidRDefault="0077167D" w:rsidP="00A04495">
            <w:pPr>
              <w:pStyle w:val="NoSpacing1"/>
              <w:ind w:rightChars="-103" w:right="-185"/>
              <w:rPr>
                <w:rFonts w:ascii="Tahoma" w:hAnsi="Tahoma" w:cs="Tahoma"/>
                <w:color w:val="4F81BD"/>
                <w:sz w:val="200"/>
                <w:szCs w:val="200"/>
              </w:rPr>
            </w:pPr>
            <w:r w:rsidRPr="004D10F1">
              <w:rPr>
                <w:rFonts w:ascii="Tahoma" w:hAnsi="Tahoma" w:cs="Tahoma"/>
                <w:color w:val="4F81BD"/>
                <w:sz w:val="180"/>
                <w:szCs w:val="200"/>
              </w:rPr>
              <w:t>2013</w:t>
            </w:r>
          </w:p>
        </w:tc>
      </w:tr>
      <w:tr w:rsidR="00023FE7" w:rsidRPr="00FB51BA" w:rsidTr="00B909F2">
        <w:trPr>
          <w:trHeight w:val="412"/>
        </w:trPr>
        <w:tc>
          <w:tcPr>
            <w:tcW w:w="5951" w:type="dxa"/>
            <w:tcBorders>
              <w:top w:val="single" w:sz="18" w:space="0" w:color="808080"/>
            </w:tcBorders>
            <w:vAlign w:val="center"/>
          </w:tcPr>
          <w:p w:rsidR="00023FE7" w:rsidRPr="004D10F1" w:rsidRDefault="00023FE7" w:rsidP="00EB2C55">
            <w:pPr>
              <w:pStyle w:val="NoSpacing1"/>
              <w:ind w:leftChars="122" w:left="220" w:firstLine="2"/>
              <w:rPr>
                <w:rFonts w:ascii="Tahoma" w:hAnsi="Tahoma" w:cs="Tahoma"/>
                <w:sz w:val="22"/>
                <w:szCs w:val="22"/>
                <w:lang w:val="de-DE"/>
              </w:rPr>
            </w:pPr>
            <w:r w:rsidRPr="004D10F1">
              <w:rPr>
                <w:rFonts w:ascii="Tahoma" w:hAnsi="Tahoma" w:cs="Tahoma"/>
                <w:szCs w:val="22"/>
                <w:lang w:val="de-DE"/>
              </w:rPr>
              <w:t>Die Microsoft-Produktliste informiert Sie monatlich über Microsoft-Software und -Onlinedienste, die im Rahmen von</w:t>
            </w:r>
            <w:r w:rsidR="00EB2C55">
              <w:rPr>
                <w:rFonts w:ascii="Tahoma" w:hAnsi="Tahoma" w:cs="Tahoma"/>
                <w:szCs w:val="22"/>
                <w:lang w:val="de-DE"/>
              </w:rPr>
              <w:t> </w:t>
            </w:r>
            <w:r w:rsidRPr="004D10F1">
              <w:rPr>
                <w:rFonts w:ascii="Tahoma" w:hAnsi="Tahoma" w:cs="Tahoma"/>
                <w:szCs w:val="22"/>
                <w:lang w:val="de-DE"/>
              </w:rPr>
              <w:t>Microsoft-Volumenlizenzprogrammen lizenziert werden</w:t>
            </w:r>
            <w:r w:rsidR="006257A7">
              <w:rPr>
                <w:rFonts w:ascii="Tahoma" w:hAnsi="Tahoma" w:cs="Tahoma"/>
                <w:szCs w:val="22"/>
                <w:lang w:val="de-DE"/>
              </w:rPr>
              <w:t xml:space="preserve">. </w:t>
            </w:r>
          </w:p>
        </w:tc>
        <w:tc>
          <w:tcPr>
            <w:tcW w:w="4615" w:type="dxa"/>
            <w:tcBorders>
              <w:top w:val="single" w:sz="18" w:space="0" w:color="808080"/>
            </w:tcBorders>
            <w:vAlign w:val="center"/>
          </w:tcPr>
          <w:p w:rsidR="00023FE7" w:rsidRPr="004D10F1" w:rsidRDefault="00023FE7" w:rsidP="00A04495">
            <w:pPr>
              <w:pStyle w:val="NoSpacing1"/>
              <w:ind w:rightChars="-15" w:right="-27"/>
              <w:rPr>
                <w:rFonts w:ascii="Tahoma" w:hAnsi="Tahoma" w:cs="Tahoma"/>
                <w:sz w:val="32"/>
                <w:szCs w:val="32"/>
                <w:lang w:val="de-DE"/>
              </w:rPr>
            </w:pPr>
          </w:p>
        </w:tc>
      </w:tr>
    </w:tbl>
    <w:p w:rsidR="00023FE7" w:rsidRPr="004D10F1" w:rsidRDefault="00023FE7" w:rsidP="00B0065F">
      <w:pPr>
        <w:pStyle w:val="Heading1"/>
        <w:rPr>
          <w:rFonts w:cs="Tahoma"/>
          <w:lang w:val="de-DE"/>
        </w:rPr>
        <w:sectPr w:rsidR="00023FE7" w:rsidRPr="004D10F1"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4D10F1" w:rsidRDefault="00023FE7" w:rsidP="00B0065F">
      <w:pPr>
        <w:pStyle w:val="Heading1"/>
        <w:rPr>
          <w:rFonts w:cs="Tahoma"/>
          <w:lang w:val="de-DE"/>
        </w:rPr>
      </w:pPr>
      <w:bookmarkStart w:id="3" w:name="_Toc336337838"/>
      <w:bookmarkStart w:id="4" w:name="_Toc363998593"/>
      <w:r w:rsidRPr="004D10F1">
        <w:rPr>
          <w:rFonts w:cs="Tahoma"/>
          <w:lang w:val="de-DE"/>
        </w:rPr>
        <w:lastRenderedPageBreak/>
        <w:t>ÜBER DIESES DOKUMENT</w:t>
      </w:r>
      <w:bookmarkEnd w:id="3"/>
      <w:bookmarkEnd w:id="4"/>
    </w:p>
    <w:p w:rsidR="00023FE7" w:rsidRPr="004D10F1" w:rsidRDefault="00023FE7">
      <w:pPr>
        <w:pStyle w:val="Body"/>
        <w:ind w:right="720"/>
        <w:rPr>
          <w:rFonts w:ascii="Tahoma" w:hAnsi="Tahoma" w:cs="Tahoma"/>
          <w:lang w:val="de-DE"/>
        </w:rPr>
      </w:pPr>
    </w:p>
    <w:p w:rsidR="00023FE7" w:rsidRPr="004D10F1" w:rsidRDefault="00023FE7" w:rsidP="00B609AF">
      <w:pPr>
        <w:pStyle w:val="Body"/>
        <w:ind w:right="720"/>
        <w:rPr>
          <w:rFonts w:ascii="Tahoma" w:hAnsi="Tahoma" w:cs="Tahoma"/>
          <w:lang w:val="de-DE"/>
        </w:rPr>
      </w:pPr>
      <w:r w:rsidRPr="004D10F1">
        <w:rPr>
          <w:rFonts w:ascii="Tahoma" w:hAnsi="Tahoma" w:cs="Tahoma"/>
          <w:sz w:val="18"/>
          <w:szCs w:val="18"/>
          <w:lang w:val="de-DE"/>
        </w:rPr>
        <w:t>Die Microsoft-Produktliste informiert Sie monatlich über Microsoft-Software und -Onlinedienste, die</w:t>
      </w:r>
      <w:r w:rsidR="00B609AF">
        <w:rPr>
          <w:rFonts w:ascii="Tahoma" w:hAnsi="Tahoma" w:cs="Tahoma"/>
          <w:sz w:val="18"/>
          <w:szCs w:val="18"/>
          <w:lang w:val="de-DE"/>
        </w:rPr>
        <w:t> </w:t>
      </w:r>
      <w:r w:rsidRPr="004D10F1">
        <w:rPr>
          <w:rFonts w:ascii="Tahoma" w:hAnsi="Tahoma" w:cs="Tahoma"/>
          <w:sz w:val="18"/>
          <w:szCs w:val="18"/>
          <w:lang w:val="de-DE"/>
        </w:rPr>
        <w:t>im Rahmen von Microsoft-Volumenlizenzprogrammen lizenziert werden</w:t>
      </w:r>
      <w:r w:rsidR="006257A7">
        <w:rPr>
          <w:rFonts w:ascii="Tahoma" w:hAnsi="Tahoma" w:cs="Tahoma"/>
          <w:sz w:val="18"/>
          <w:szCs w:val="18"/>
          <w:lang w:val="de-DE"/>
        </w:rPr>
        <w:t xml:space="preserve">. </w:t>
      </w:r>
      <w:r w:rsidRPr="004D10F1">
        <w:rPr>
          <w:rFonts w:ascii="Tahoma" w:hAnsi="Tahoma" w:cs="Tahoma"/>
          <w:sz w:val="18"/>
          <w:szCs w:val="18"/>
          <w:lang w:val="de-DE"/>
        </w:rPr>
        <w:t>In der Microsoft-Produktliste wird unter anderem Folgendes beschrieben:</w:t>
      </w:r>
    </w:p>
    <w:p w:rsidR="00023FE7" w:rsidRPr="004D10F1" w:rsidRDefault="00023FE7">
      <w:pPr>
        <w:pStyle w:val="Body"/>
        <w:ind w:right="720"/>
        <w:rPr>
          <w:rFonts w:ascii="Tahoma" w:hAnsi="Tahoma" w:cs="Tahoma"/>
          <w:lang w:val="de-DE"/>
        </w:rPr>
      </w:pPr>
    </w:p>
    <w:p w:rsidR="00023FE7" w:rsidRPr="004D10F1" w:rsidRDefault="00023FE7">
      <w:pPr>
        <w:pStyle w:val="BulletedList"/>
        <w:ind w:right="720"/>
        <w:rPr>
          <w:rFonts w:ascii="Tahoma" w:hAnsi="Tahoma" w:cs="Tahoma"/>
          <w:lang w:val="de-DE"/>
        </w:rPr>
      </w:pPr>
      <w:r w:rsidRPr="004D10F1">
        <w:rPr>
          <w:rFonts w:ascii="Tahoma" w:hAnsi="Tahoma" w:cs="Tahoma"/>
          <w:sz w:val="18"/>
          <w:szCs w:val="18"/>
          <w:lang w:val="de-DE"/>
        </w:rPr>
        <w:t>Verfügbarkeit neuer Software und Produkte, die im Rahmen von Microsoft-Volumenlizenzprogrammen angeboten werden</w:t>
      </w:r>
    </w:p>
    <w:p w:rsidR="00023FE7" w:rsidRPr="00B609AF" w:rsidRDefault="00023FE7" w:rsidP="00B609AF">
      <w:pPr>
        <w:pStyle w:val="BulletedList"/>
        <w:numPr>
          <w:ilvl w:val="0"/>
          <w:numId w:val="16"/>
        </w:numPr>
        <w:ind w:right="360"/>
        <w:rPr>
          <w:rFonts w:ascii="Tahoma" w:hAnsi="Tahoma" w:cs="Tahoma"/>
          <w:sz w:val="18"/>
          <w:szCs w:val="18"/>
          <w:lang w:val="de-DE"/>
        </w:rPr>
      </w:pPr>
      <w:r w:rsidRPr="004D10F1">
        <w:rPr>
          <w:rFonts w:ascii="Tahoma" w:hAnsi="Tahoma" w:cs="Tahoma"/>
          <w:sz w:val="18"/>
          <w:szCs w:val="18"/>
          <w:lang w:val="de-DE"/>
        </w:rPr>
        <w:t>Wegfall von Software und Produkten, die im Rahmen von Microsoft-Volumenlizenzprogrammen angeboten wurden</w:t>
      </w:r>
    </w:p>
    <w:p w:rsidR="00023FE7" w:rsidRPr="00B609AF" w:rsidRDefault="00023FE7" w:rsidP="00B609AF">
      <w:pPr>
        <w:pStyle w:val="BulletedList"/>
        <w:numPr>
          <w:ilvl w:val="0"/>
          <w:numId w:val="16"/>
        </w:numPr>
        <w:ind w:right="360"/>
        <w:rPr>
          <w:rFonts w:ascii="Tahoma" w:hAnsi="Tahoma" w:cs="Tahoma"/>
          <w:sz w:val="18"/>
          <w:szCs w:val="18"/>
          <w:lang w:val="de-DE"/>
        </w:rPr>
      </w:pPr>
      <w:r w:rsidRPr="004D10F1">
        <w:rPr>
          <w:rFonts w:ascii="Tahoma" w:hAnsi="Tahoma" w:cs="Tahoma"/>
          <w:sz w:val="18"/>
          <w:szCs w:val="18"/>
          <w:lang w:val="de-DE"/>
        </w:rPr>
        <w:t xml:space="preserve">Software- und Produktzuordnungen in Bezug auf den Microsoft-Volumenlizenz-Produktpool </w:t>
      </w:r>
    </w:p>
    <w:p w:rsidR="00023FE7" w:rsidRPr="00B609AF" w:rsidRDefault="00023FE7" w:rsidP="00B609AF">
      <w:pPr>
        <w:pStyle w:val="BulletedList"/>
        <w:numPr>
          <w:ilvl w:val="0"/>
          <w:numId w:val="16"/>
        </w:numPr>
        <w:ind w:right="360"/>
        <w:rPr>
          <w:rFonts w:ascii="Tahoma" w:hAnsi="Tahoma" w:cs="Tahoma"/>
          <w:sz w:val="18"/>
          <w:szCs w:val="18"/>
          <w:lang w:val="de-DE"/>
        </w:rPr>
      </w:pPr>
      <w:r w:rsidRPr="004D10F1">
        <w:rPr>
          <w:rFonts w:ascii="Tahoma" w:hAnsi="Tahoma" w:cs="Tahoma"/>
          <w:sz w:val="18"/>
          <w:szCs w:val="18"/>
          <w:lang w:val="de-DE"/>
        </w:rPr>
        <w:t>Die Punktwerte für die einzelnen Software- und Produkttechnologien</w:t>
      </w:r>
    </w:p>
    <w:p w:rsidR="00023FE7" w:rsidRPr="00B609AF" w:rsidRDefault="00023FE7" w:rsidP="00B609AF">
      <w:pPr>
        <w:pStyle w:val="BulletedList"/>
        <w:numPr>
          <w:ilvl w:val="0"/>
          <w:numId w:val="16"/>
        </w:numPr>
        <w:ind w:right="360"/>
        <w:rPr>
          <w:rFonts w:ascii="Tahoma" w:hAnsi="Tahoma" w:cs="Tahoma"/>
          <w:sz w:val="18"/>
          <w:szCs w:val="18"/>
          <w:lang w:val="de-DE"/>
        </w:rPr>
      </w:pPr>
      <w:r w:rsidRPr="00B609AF">
        <w:rPr>
          <w:rFonts w:ascii="Tahoma" w:hAnsi="Tahoma" w:cs="Tahoma"/>
          <w:sz w:val="18"/>
          <w:szCs w:val="18"/>
          <w:lang w:val="de-DE"/>
        </w:rPr>
        <w:t>Verfügbare Promotions</w:t>
      </w:r>
    </w:p>
    <w:p w:rsidR="00023FE7" w:rsidRPr="00B609AF" w:rsidRDefault="00023FE7" w:rsidP="00B609AF">
      <w:pPr>
        <w:pStyle w:val="BulletedList"/>
        <w:numPr>
          <w:ilvl w:val="0"/>
          <w:numId w:val="16"/>
        </w:numPr>
        <w:ind w:right="360"/>
        <w:rPr>
          <w:rFonts w:ascii="Tahoma" w:hAnsi="Tahoma" w:cs="Tahoma"/>
          <w:sz w:val="18"/>
          <w:szCs w:val="18"/>
          <w:lang w:val="de-DE"/>
        </w:rPr>
      </w:pPr>
      <w:r w:rsidRPr="004D10F1">
        <w:rPr>
          <w:rFonts w:ascii="Tahoma" w:hAnsi="Tahoma" w:cs="Tahoma"/>
          <w:sz w:val="18"/>
          <w:szCs w:val="18"/>
          <w:lang w:val="de-DE"/>
        </w:rPr>
        <w:t>Migrationspfade von einer Softwareversion auf eine andere Version derselben Software</w:t>
      </w:r>
    </w:p>
    <w:p w:rsidR="00023FE7" w:rsidRPr="00B609AF" w:rsidRDefault="00023FE7" w:rsidP="00B609AF">
      <w:pPr>
        <w:pStyle w:val="BulletedList"/>
        <w:numPr>
          <w:ilvl w:val="0"/>
          <w:numId w:val="16"/>
        </w:numPr>
        <w:ind w:right="360"/>
        <w:rPr>
          <w:rFonts w:ascii="Tahoma" w:hAnsi="Tahoma" w:cs="Tahoma"/>
          <w:sz w:val="18"/>
          <w:szCs w:val="18"/>
          <w:lang w:val="de-DE"/>
        </w:rPr>
      </w:pPr>
      <w:r w:rsidRPr="004D10F1">
        <w:rPr>
          <w:rFonts w:ascii="Tahoma" w:hAnsi="Tahoma" w:cs="Tahoma"/>
          <w:sz w:val="18"/>
          <w:szCs w:val="18"/>
          <w:lang w:val="de-DE"/>
        </w:rPr>
        <w:t>Migrationspfade von einer nicht mehr angebotenen Software auf neue Softwareversionen</w:t>
      </w:r>
    </w:p>
    <w:p w:rsidR="00023FE7" w:rsidRPr="00B609AF" w:rsidRDefault="00023FE7" w:rsidP="00B609AF">
      <w:pPr>
        <w:pStyle w:val="BulletedList"/>
        <w:numPr>
          <w:ilvl w:val="0"/>
          <w:numId w:val="16"/>
        </w:numPr>
        <w:ind w:right="360"/>
        <w:rPr>
          <w:rFonts w:ascii="Tahoma" w:hAnsi="Tahoma" w:cs="Tahoma"/>
          <w:sz w:val="18"/>
          <w:szCs w:val="18"/>
          <w:lang w:val="de-DE"/>
        </w:rPr>
      </w:pPr>
      <w:r w:rsidRPr="00B609AF">
        <w:rPr>
          <w:rFonts w:ascii="Tahoma" w:hAnsi="Tahoma" w:cs="Tahoma"/>
          <w:sz w:val="18"/>
          <w:szCs w:val="18"/>
          <w:lang w:val="de-DE"/>
        </w:rPr>
        <w:t>Software Assurance-Vergünstigungen</w:t>
      </w:r>
    </w:p>
    <w:p w:rsidR="00023FE7" w:rsidRPr="004D10F1" w:rsidRDefault="00023FE7" w:rsidP="00B609AF">
      <w:pPr>
        <w:pStyle w:val="BulletedList"/>
        <w:numPr>
          <w:ilvl w:val="0"/>
          <w:numId w:val="16"/>
        </w:numPr>
        <w:ind w:right="360"/>
        <w:rPr>
          <w:rFonts w:ascii="Tahoma" w:hAnsi="Tahoma" w:cs="Tahoma"/>
          <w:lang w:val="de-DE"/>
        </w:rPr>
      </w:pPr>
      <w:r w:rsidRPr="004D10F1">
        <w:rPr>
          <w:rFonts w:ascii="Tahoma" w:hAnsi="Tahoma" w:cs="Tahoma"/>
          <w:sz w:val="18"/>
          <w:szCs w:val="18"/>
          <w:lang w:val="de-DE"/>
        </w:rPr>
        <w:t>Sonstige spezifische Hinweise und Informationen zu Software und Produkten</w:t>
      </w:r>
    </w:p>
    <w:p w:rsidR="00023FE7" w:rsidRPr="004D10F1" w:rsidRDefault="00023FE7">
      <w:pPr>
        <w:ind w:right="720"/>
        <w:rPr>
          <w:rFonts w:cs="Tahoma"/>
          <w:lang w:val="de-DE"/>
        </w:rPr>
      </w:pPr>
    </w:p>
    <w:p w:rsidR="00023FE7" w:rsidRPr="004D10F1" w:rsidRDefault="00023FE7">
      <w:pPr>
        <w:ind w:right="720"/>
        <w:rPr>
          <w:rFonts w:cs="Tahoma"/>
          <w:lang w:val="de-DE"/>
        </w:rPr>
      </w:pPr>
    </w:p>
    <w:p w:rsidR="00023FE7" w:rsidRPr="004D10F1" w:rsidRDefault="00023FE7" w:rsidP="00B0065F">
      <w:pPr>
        <w:pStyle w:val="Heading1"/>
        <w:rPr>
          <w:rFonts w:cs="Tahoma"/>
          <w:lang w:val="de-DE"/>
        </w:rPr>
      </w:pPr>
      <w:bookmarkStart w:id="5" w:name="_Toc336337839"/>
      <w:bookmarkStart w:id="6" w:name="_Toc363998594"/>
      <w:r w:rsidRPr="004D10F1">
        <w:rPr>
          <w:rFonts w:cs="Tahoma"/>
          <w:lang w:val="de-DE"/>
        </w:rPr>
        <w:t>VERWENDUNG dER Microsoft-ProduktLISTe</w:t>
      </w:r>
      <w:bookmarkEnd w:id="5"/>
      <w:bookmarkEnd w:id="6"/>
    </w:p>
    <w:p w:rsidR="00023FE7" w:rsidRPr="004D10F1" w:rsidRDefault="00023FE7">
      <w:pPr>
        <w:pStyle w:val="Body"/>
        <w:ind w:right="-1890"/>
        <w:rPr>
          <w:rFonts w:ascii="Tahoma" w:hAnsi="Tahoma" w:cs="Tahoma"/>
          <w:lang w:val="de-DE"/>
        </w:rPr>
      </w:pPr>
    </w:p>
    <w:p w:rsidR="00023FE7" w:rsidRPr="00B609AF" w:rsidRDefault="00023FE7" w:rsidP="00B609AF">
      <w:pPr>
        <w:pStyle w:val="Body"/>
        <w:rPr>
          <w:rFonts w:ascii="Tahoma" w:hAnsi="Tahoma" w:cs="Tahoma"/>
          <w:b/>
          <w:lang w:val="de-DE"/>
        </w:rPr>
      </w:pPr>
      <w:r w:rsidRPr="004D10F1">
        <w:rPr>
          <w:rFonts w:ascii="Tahoma" w:hAnsi="Tahoma" w:cs="Tahoma"/>
          <w:b/>
          <w:lang w:val="de-DE"/>
        </w:rPr>
        <w:t>Bitte machen Sie sich mit der Tabellenlegende vertraut, die im Anschluss an die nachfolgend genannten Schritte zu finden ist</w:t>
      </w:r>
      <w:r w:rsidR="006257A7">
        <w:rPr>
          <w:rFonts w:ascii="Tahoma" w:hAnsi="Tahoma" w:cs="Tahoma"/>
          <w:b/>
          <w:lang w:val="de-DE"/>
        </w:rPr>
        <w:t xml:space="preserve">. </w:t>
      </w:r>
    </w:p>
    <w:p w:rsidR="00023FE7" w:rsidRPr="004D10F1" w:rsidRDefault="00023FE7">
      <w:pPr>
        <w:pStyle w:val="Body"/>
        <w:ind w:right="-1890"/>
        <w:rPr>
          <w:rFonts w:ascii="Tahoma" w:hAnsi="Tahoma" w:cs="Tahoma"/>
          <w:lang w:val="de-DE"/>
        </w:rPr>
      </w:pPr>
    </w:p>
    <w:p w:rsidR="00023FE7" w:rsidRPr="004D10F1" w:rsidRDefault="00023FE7">
      <w:pPr>
        <w:pStyle w:val="Body"/>
        <w:ind w:right="-1890"/>
        <w:rPr>
          <w:rFonts w:ascii="Tahoma" w:hAnsi="Tahoma" w:cs="Tahoma"/>
          <w:lang w:val="de-DE"/>
        </w:rPr>
      </w:pPr>
      <w:r w:rsidRPr="004D10F1">
        <w:rPr>
          <w:rStyle w:val="BodyChar"/>
          <w:rFonts w:ascii="Tahoma" w:hAnsi="Tahoma" w:cs="Tahoma"/>
          <w:b/>
          <w:sz w:val="18"/>
          <w:szCs w:val="18"/>
          <w:lang w:val="de-DE"/>
        </w:rPr>
        <w:t>Schritt 1:</w:t>
      </w:r>
      <w:r w:rsidR="00511436" w:rsidRPr="004D10F1">
        <w:rPr>
          <w:rStyle w:val="BodyChar"/>
          <w:rFonts w:ascii="Tahoma" w:hAnsi="Tahoma" w:cs="Tahoma"/>
          <w:b/>
          <w:sz w:val="18"/>
          <w:szCs w:val="18"/>
          <w:lang w:val="de-DE"/>
        </w:rPr>
        <w:t xml:space="preserve"> </w:t>
      </w:r>
      <w:r w:rsidRPr="004D10F1">
        <w:rPr>
          <w:rFonts w:ascii="Tahoma" w:hAnsi="Tahoma" w:cs="Tahoma"/>
          <w:sz w:val="18"/>
          <w:szCs w:val="18"/>
          <w:lang w:val="de-DE"/>
        </w:rPr>
        <w:t>Suchen Sie die infrage kommende Software in der Tabelle</w:t>
      </w:r>
      <w:r w:rsidR="006257A7">
        <w:rPr>
          <w:rFonts w:ascii="Tahoma" w:hAnsi="Tahoma" w:cs="Tahoma"/>
          <w:sz w:val="18"/>
          <w:szCs w:val="18"/>
          <w:lang w:val="de-DE"/>
        </w:rPr>
        <w:t xml:space="preserve">. </w:t>
      </w:r>
    </w:p>
    <w:p w:rsidR="00023FE7" w:rsidRPr="004D10F1" w:rsidRDefault="00023FE7">
      <w:pPr>
        <w:pStyle w:val="Body"/>
        <w:ind w:right="-1890"/>
        <w:rPr>
          <w:rFonts w:ascii="Tahoma" w:hAnsi="Tahoma" w:cs="Tahoma"/>
          <w:lang w:val="de-DE"/>
        </w:rPr>
      </w:pPr>
    </w:p>
    <w:p w:rsidR="00023FE7" w:rsidRPr="004D10F1" w:rsidRDefault="00AB4ADA" w:rsidP="00D871E6">
      <w:pPr>
        <w:pStyle w:val="NumberedSteps"/>
        <w:ind w:right="-1886"/>
        <w:rPr>
          <w:rFonts w:ascii="Tahoma" w:hAnsi="Tahoma" w:cs="Tahoma"/>
        </w:rPr>
      </w:pPr>
      <w:r>
        <w:rPr>
          <w:rFonts w:ascii="Tahoma" w:hAnsi="Tahoma" w:cs="Tahoma"/>
          <w:noProof/>
          <w:color w:val="000000"/>
        </w:rPr>
        <mc:AlternateContent>
          <mc:Choice Requires="wps">
            <w:drawing>
              <wp:anchor distT="0" distB="0" distL="114300" distR="114300" simplePos="0" relativeHeight="251666944" behindDoc="0" locked="0" layoutInCell="1" allowOverlap="1">
                <wp:simplePos x="0" y="0"/>
                <wp:positionH relativeFrom="column">
                  <wp:posOffset>370205</wp:posOffset>
                </wp:positionH>
                <wp:positionV relativeFrom="paragraph">
                  <wp:posOffset>2500630</wp:posOffset>
                </wp:positionV>
                <wp:extent cx="1802765" cy="189865"/>
                <wp:effectExtent l="17780" t="14605" r="17780" b="14605"/>
                <wp:wrapNone/>
                <wp:docPr id="14"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2765" cy="18986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AE6504D" id="Oval 8" o:spid="_x0000_s1026" style="position:absolute;margin-left:29.15pt;margin-top:196.9pt;width:141.95pt;height:14.9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" filled="f" strokecolor="red" strokeweight="1.5pt">
                <v:textbox inset="5.85pt,.7pt,5.85pt,.7pt"/>
              </v:oval>
            </w:pict>
          </mc:Fallback>
        </mc:AlternateContent>
      </w:r>
      <w:r w:rsidR="009F7D15">
        <w:rPr>
          <w:noProof/>
        </w:rPr>
        <w:drawing>
          <wp:inline distT="0" distB="0" distL="0" distR="0" wp14:anchorId="3ED46310" wp14:editId="74E9281D">
            <wp:extent cx="5376672" cy="3081528"/>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8"/>
                    <a:srcRect l="13021" t="31481" r="10764" b="17361"/>
                    <a:stretch/>
                  </pic:blipFill>
                  <pic:spPr bwMode="auto">
                    <a:xfrm>
                      <a:off x="0" y="0"/>
                      <a:ext cx="5376672" cy="3081528"/>
                    </a:xfrm>
                    <a:prstGeom prst="rect">
                      <a:avLst/>
                    </a:prstGeom>
                    <a:ln>
                      <a:noFill/>
                    </a:ln>
                    <a:extLst>
                      <a:ext uri="{53640926-AAD7-44D8-BBD7-CCE9431645EC}">
                        <a14:shadowObscured xmlns:a14="http://schemas.microsoft.com/office/drawing/2010/main"/>
                      </a:ext>
                    </a:extLst>
                  </pic:spPr>
                </pic:pic>
              </a:graphicData>
            </a:graphic>
          </wp:inline>
        </w:drawing>
      </w:r>
    </w:p>
    <w:p w:rsidR="009F7D15" w:rsidRDefault="009F7D15" w:rsidP="009F7D15">
      <w:pPr>
        <w:pStyle w:val="NumberedSteps"/>
        <w:ind w:right="720"/>
        <w:rPr>
          <w:rStyle w:val="BodyChar"/>
          <w:rFonts w:ascii="Tahoma" w:hAnsi="Tahoma" w:cs="Tahoma"/>
          <w:b/>
          <w:sz w:val="18"/>
          <w:szCs w:val="18"/>
          <w:lang w:val="de-DE"/>
        </w:rPr>
      </w:pPr>
    </w:p>
    <w:p w:rsidR="00023FE7" w:rsidRPr="004D10F1" w:rsidRDefault="00023FE7" w:rsidP="009F7D15">
      <w:pPr>
        <w:pStyle w:val="NumberedSteps"/>
        <w:ind w:right="720"/>
        <w:rPr>
          <w:rFonts w:ascii="Tahoma" w:hAnsi="Tahoma" w:cs="Tahoma"/>
          <w:lang w:val="de-DE"/>
        </w:rPr>
      </w:pPr>
      <w:r w:rsidRPr="004D10F1">
        <w:rPr>
          <w:rStyle w:val="BodyChar"/>
          <w:rFonts w:ascii="Tahoma" w:hAnsi="Tahoma" w:cs="Tahoma"/>
          <w:b/>
          <w:sz w:val="18"/>
          <w:szCs w:val="18"/>
          <w:lang w:val="de-DE"/>
        </w:rPr>
        <w:t>Schritt 2:</w:t>
      </w:r>
      <w:r w:rsidR="00511436" w:rsidRPr="004D10F1">
        <w:rPr>
          <w:rFonts w:ascii="Tahoma" w:hAnsi="Tahoma" w:cs="Tahoma"/>
          <w:sz w:val="18"/>
          <w:szCs w:val="18"/>
          <w:lang w:val="de-DE"/>
        </w:rPr>
        <w:t xml:space="preserve"> </w:t>
      </w:r>
      <w:r w:rsidRPr="004D10F1">
        <w:rPr>
          <w:rFonts w:ascii="Tahoma" w:hAnsi="Tahoma" w:cs="Tahoma"/>
          <w:sz w:val="18"/>
          <w:szCs w:val="18"/>
          <w:lang w:val="de-DE"/>
        </w:rPr>
        <w:t>Informieren Sie sich in den zugehörigen Spalten über verfügbare Promotions, Software</w:t>
      </w:r>
      <w:r w:rsidR="00B609AF">
        <w:rPr>
          <w:rFonts w:ascii="Tahoma" w:hAnsi="Tahoma" w:cs="Tahoma"/>
          <w:sz w:val="18"/>
          <w:szCs w:val="18"/>
          <w:lang w:val="de-DE"/>
        </w:rPr>
        <w:t> </w:t>
      </w:r>
      <w:r w:rsidRPr="004D10F1">
        <w:rPr>
          <w:rFonts w:ascii="Tahoma" w:hAnsi="Tahoma" w:cs="Tahoma"/>
          <w:sz w:val="18"/>
          <w:szCs w:val="18"/>
          <w:lang w:val="de-DE"/>
        </w:rPr>
        <w:t>Assurance-Vergünstigungen, Punktzahlen, Programmverfügbarkeit usw</w:t>
      </w:r>
      <w:r w:rsidR="006257A7">
        <w:rPr>
          <w:rFonts w:ascii="Tahoma" w:hAnsi="Tahoma" w:cs="Tahoma"/>
          <w:sz w:val="18"/>
          <w:szCs w:val="18"/>
          <w:lang w:val="de-DE"/>
        </w:rPr>
        <w:t xml:space="preserve">. </w:t>
      </w:r>
    </w:p>
    <w:p w:rsidR="00023FE7" w:rsidRPr="003311BB" w:rsidRDefault="00023FE7" w:rsidP="003311BB">
      <w:pPr>
        <w:pStyle w:val="NumberedSteps"/>
        <w:rPr>
          <w:rStyle w:val="BodyChar"/>
          <w:rFonts w:ascii="Tahoma" w:hAnsi="Tahoma" w:cs="Tahoma"/>
          <w:bCs w:val="0"/>
          <w:sz w:val="18"/>
          <w:szCs w:val="18"/>
          <w:lang w:val="de-DE"/>
        </w:rPr>
      </w:pPr>
      <w:r w:rsidRPr="004D10F1">
        <w:rPr>
          <w:rStyle w:val="BodyChar"/>
          <w:rFonts w:ascii="Tahoma" w:hAnsi="Tahoma" w:cs="Tahoma"/>
          <w:b/>
          <w:sz w:val="18"/>
          <w:szCs w:val="18"/>
          <w:lang w:val="de-DE"/>
        </w:rPr>
        <w:lastRenderedPageBreak/>
        <w:t>Schritt 3:</w:t>
      </w:r>
      <w:r w:rsidR="00511436" w:rsidRPr="003311BB">
        <w:rPr>
          <w:rStyle w:val="BodyChar"/>
          <w:rFonts w:ascii="Tahoma" w:hAnsi="Tahoma" w:cs="Tahoma"/>
          <w:b/>
          <w:sz w:val="18"/>
          <w:szCs w:val="18"/>
          <w:lang w:val="de-DE"/>
        </w:rPr>
        <w:t xml:space="preserve"> </w:t>
      </w:r>
      <w:r w:rsidRPr="003311BB">
        <w:rPr>
          <w:rStyle w:val="BodyChar"/>
          <w:rFonts w:ascii="Tahoma" w:hAnsi="Tahoma" w:cs="Tahoma"/>
          <w:bCs w:val="0"/>
          <w:sz w:val="18"/>
          <w:szCs w:val="18"/>
          <w:lang w:val="de-DE"/>
        </w:rPr>
        <w:t>Einige Softwareprodukte sind darüber hinaus mit Fußnoten versehen, die weitere</w:t>
      </w:r>
      <w:r w:rsidR="003311BB" w:rsidRPr="003311BB">
        <w:rPr>
          <w:rStyle w:val="BodyChar"/>
          <w:rFonts w:ascii="Tahoma" w:hAnsi="Tahoma" w:cs="Tahoma"/>
          <w:bCs w:val="0"/>
          <w:sz w:val="18"/>
          <w:szCs w:val="18"/>
          <w:lang w:val="de-DE"/>
        </w:rPr>
        <w:t xml:space="preserve"> </w:t>
      </w:r>
      <w:r w:rsidRPr="003311BB">
        <w:rPr>
          <w:rStyle w:val="BodyChar"/>
          <w:rFonts w:ascii="Tahoma" w:hAnsi="Tahoma" w:cs="Tahoma"/>
          <w:bCs w:val="0"/>
          <w:sz w:val="18"/>
          <w:szCs w:val="18"/>
          <w:lang w:val="de-DE"/>
        </w:rPr>
        <w:t>Informationen enthalten</w:t>
      </w:r>
      <w:r w:rsidR="006257A7">
        <w:rPr>
          <w:rStyle w:val="BodyChar"/>
          <w:rFonts w:ascii="Tahoma" w:hAnsi="Tahoma" w:cs="Tahoma"/>
          <w:bCs w:val="0"/>
          <w:sz w:val="18"/>
          <w:szCs w:val="18"/>
          <w:lang w:val="de-DE"/>
        </w:rPr>
        <w:t xml:space="preserve">. </w:t>
      </w:r>
      <w:r w:rsidRPr="003311BB">
        <w:rPr>
          <w:rStyle w:val="BodyChar"/>
          <w:rFonts w:ascii="Tahoma" w:hAnsi="Tahoma" w:cs="Tahoma"/>
          <w:bCs w:val="0"/>
          <w:sz w:val="18"/>
          <w:szCs w:val="18"/>
          <w:lang w:val="de-DE"/>
        </w:rPr>
        <w:t>Wenn Sie auf die Fußnotennummer (sofern vorhanden) „klicken“ (Strg + Klick), gelangen Sie direkt zu dem entsprechenden Text</w:t>
      </w:r>
      <w:r w:rsidR="006257A7">
        <w:rPr>
          <w:rStyle w:val="BodyChar"/>
          <w:rFonts w:ascii="Tahoma" w:hAnsi="Tahoma" w:cs="Tahoma"/>
          <w:bCs w:val="0"/>
          <w:sz w:val="18"/>
          <w:szCs w:val="18"/>
          <w:lang w:val="de-DE"/>
        </w:rPr>
        <w:t xml:space="preserve">. </w:t>
      </w:r>
      <w:r w:rsidRPr="003311BB">
        <w:rPr>
          <w:rStyle w:val="BodyChar"/>
          <w:rFonts w:ascii="Tahoma" w:hAnsi="Tahoma" w:cs="Tahoma"/>
          <w:bCs w:val="0"/>
          <w:sz w:val="18"/>
          <w:szCs w:val="18"/>
          <w:lang w:val="de-DE"/>
        </w:rPr>
        <w:t>Alternativ können Sie die angegebene Fußnote auf den Seiten im Anschluss an die Tabelle nachschlagen und dort die zusätzlichen Informationen lesen</w:t>
      </w:r>
      <w:r w:rsidR="006257A7">
        <w:rPr>
          <w:rStyle w:val="BodyChar"/>
          <w:rFonts w:ascii="Tahoma" w:hAnsi="Tahoma" w:cs="Tahoma"/>
          <w:bCs w:val="0"/>
          <w:sz w:val="18"/>
          <w:szCs w:val="18"/>
          <w:lang w:val="de-DE"/>
        </w:rPr>
        <w:t xml:space="preserve">. </w:t>
      </w:r>
      <w:r w:rsidRPr="003311BB">
        <w:rPr>
          <w:rStyle w:val="BodyChar"/>
          <w:rFonts w:ascii="Tahoma" w:hAnsi="Tahoma" w:cs="Tahoma"/>
          <w:bCs w:val="0"/>
          <w:sz w:val="18"/>
          <w:szCs w:val="18"/>
          <w:lang w:val="de-DE"/>
        </w:rPr>
        <w:t>Die zusätzlichen Informationen enthalten Einzelheiten bezüglich Migrationsangeboten oder Berechtigungskriterien, wie im</w:t>
      </w:r>
      <w:r w:rsidR="003311BB">
        <w:rPr>
          <w:rStyle w:val="BodyChar"/>
          <w:rFonts w:ascii="Tahoma" w:hAnsi="Tahoma" w:cs="Tahoma"/>
          <w:bCs w:val="0"/>
          <w:sz w:val="18"/>
          <w:szCs w:val="18"/>
          <w:lang w:val="de-DE"/>
        </w:rPr>
        <w:t> </w:t>
      </w:r>
      <w:r w:rsidRPr="003311BB">
        <w:rPr>
          <w:rStyle w:val="BodyChar"/>
          <w:rFonts w:ascii="Tahoma" w:hAnsi="Tahoma" w:cs="Tahoma"/>
          <w:bCs w:val="0"/>
          <w:sz w:val="18"/>
          <w:szCs w:val="18"/>
          <w:lang w:val="de-DE"/>
        </w:rPr>
        <w:t>folgenden Beispiel dargestellt</w:t>
      </w:r>
      <w:r w:rsidR="006257A7">
        <w:rPr>
          <w:rStyle w:val="BodyChar"/>
          <w:rFonts w:ascii="Tahoma" w:hAnsi="Tahoma" w:cs="Tahoma"/>
          <w:bCs w:val="0"/>
          <w:sz w:val="18"/>
          <w:szCs w:val="18"/>
          <w:lang w:val="de-DE"/>
        </w:rPr>
        <w:t xml:space="preserve">. </w:t>
      </w:r>
    </w:p>
    <w:p w:rsidR="000E5145" w:rsidRPr="004D10F1" w:rsidRDefault="000E5145" w:rsidP="000E5145">
      <w:pPr>
        <w:pStyle w:val="NumberedSteps"/>
        <w:ind w:right="720"/>
        <w:rPr>
          <w:rFonts w:ascii="Tahoma" w:hAnsi="Tahoma" w:cs="Tahoma"/>
          <w:lang w:val="de-DE"/>
        </w:rPr>
      </w:pPr>
    </w:p>
    <w:p w:rsidR="00023FE7" w:rsidRPr="004D10F1" w:rsidRDefault="00AB4ADA">
      <w:pPr>
        <w:pStyle w:val="NumberedSteps"/>
        <w:tabs>
          <w:tab w:val="left" w:pos="9360"/>
        </w:tabs>
        <w:ind w:right="720"/>
        <w:rPr>
          <w:rFonts w:ascii="Tahoma" w:hAnsi="Tahoma" w:cs="Tahoma"/>
        </w:rPr>
      </w:pPr>
      <w:r>
        <w:rPr>
          <w:rFonts w:ascii="Tahoma" w:hAnsi="Tahoma" w:cs="Tahoma"/>
          <w:b/>
          <w:noProof/>
          <w:sz w:val="18"/>
          <w:szCs w:val="18"/>
        </w:rPr>
        <mc:AlternateContent>
          <mc:Choice Requires="wps">
            <w:drawing>
              <wp:anchor distT="0" distB="0" distL="114300" distR="114300" simplePos="0" relativeHeight="251668992" behindDoc="0" locked="0" layoutInCell="1" allowOverlap="1">
                <wp:simplePos x="0" y="0"/>
                <wp:positionH relativeFrom="column">
                  <wp:posOffset>2182495</wp:posOffset>
                </wp:positionH>
                <wp:positionV relativeFrom="paragraph">
                  <wp:posOffset>2754630</wp:posOffset>
                </wp:positionV>
                <wp:extent cx="250190" cy="189865"/>
                <wp:effectExtent l="10795" t="11430" r="15240" b="17780"/>
                <wp:wrapNone/>
                <wp:docPr id="13"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190" cy="18986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4AD891B" id="Oval 11" o:spid="_x0000_s1026" style="position:absolute;margin-left:171.85pt;margin-top:216.9pt;width:19.7pt;height:14.9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" filled="f" strokecolor="red" strokeweight="1.5pt">
                <v:textbox inset="5.85pt,.7pt,5.85pt,.7pt"/>
              </v:oval>
            </w:pict>
          </mc:Fallback>
        </mc:AlternateContent>
      </w:r>
      <w:r>
        <w:rPr>
          <w:rFonts w:ascii="Tahoma" w:hAnsi="Tahoma" w:cs="Tahoma"/>
          <w:b/>
          <w:noProof/>
          <w:sz w:val="18"/>
          <w:szCs w:val="18"/>
        </w:rPr>
        <mc:AlternateContent>
          <mc:Choice Requires="wps">
            <w:drawing>
              <wp:anchor distT="0" distB="0" distL="114300" distR="114300" simplePos="0" relativeHeight="251667968" behindDoc="0" locked="0" layoutInCell="1" allowOverlap="1">
                <wp:simplePos x="0" y="0"/>
                <wp:positionH relativeFrom="column">
                  <wp:posOffset>402590</wp:posOffset>
                </wp:positionH>
                <wp:positionV relativeFrom="paragraph">
                  <wp:posOffset>2774315</wp:posOffset>
                </wp:positionV>
                <wp:extent cx="1194435" cy="189865"/>
                <wp:effectExtent l="12065" t="12065" r="12700" b="17145"/>
                <wp:wrapNone/>
                <wp:docPr id="12"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4435" cy="18986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8AA8717" id="Oval 10" o:spid="_x0000_s1026" style="position:absolute;margin-left:31.7pt;margin-top:218.45pt;width:94.05pt;height:14.9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" filled="f" strokecolor="red" strokeweight="1.5pt">
                <v:textbox inset="5.85pt,.7pt,5.85pt,.7pt"/>
              </v:oval>
            </w:pict>
          </mc:Fallback>
        </mc:AlternateContent>
      </w:r>
      <w:r w:rsidR="00BE676A">
        <w:rPr>
          <w:noProof/>
        </w:rPr>
        <w:drawing>
          <wp:inline distT="0" distB="0" distL="0" distR="0" wp14:anchorId="2FB4CF6E" wp14:editId="46868235">
            <wp:extent cx="2505456" cy="3584448"/>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8"/>
                    <a:srcRect l="13022" t="31481" r="59201" b="17361"/>
                    <a:stretch/>
                  </pic:blipFill>
                  <pic:spPr bwMode="auto">
                    <a:xfrm>
                      <a:off x="0" y="0"/>
                      <a:ext cx="2505456" cy="3584448"/>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4D10F1" w:rsidRDefault="0013361B">
      <w:pPr>
        <w:pStyle w:val="NumberedSteps"/>
        <w:tabs>
          <w:tab w:val="left" w:pos="9360"/>
        </w:tabs>
        <w:ind w:right="720"/>
        <w:rPr>
          <w:rFonts w:ascii="Tahoma" w:hAnsi="Tahoma" w:cs="Tahoma"/>
        </w:rPr>
      </w:pPr>
    </w:p>
    <w:p w:rsidR="00023FE7" w:rsidRPr="004D10F1" w:rsidRDefault="006B4973">
      <w:pPr>
        <w:pStyle w:val="NumberedSteps"/>
        <w:ind w:right="720"/>
        <w:rPr>
          <w:rFonts w:ascii="Tahoma" w:hAnsi="Tahoma" w:cs="Tahoma"/>
        </w:rPr>
      </w:pPr>
      <w:r>
        <w:rPr>
          <w:noProof/>
        </w:rPr>
        <w:drawing>
          <wp:inline distT="0" distB="0" distL="0" distR="0" wp14:anchorId="313DFD87" wp14:editId="3233E874">
            <wp:extent cx="4818888" cy="1042416"/>
            <wp:effectExtent l="19050" t="19050" r="1270" b="5715"/>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9"/>
                    <a:srcRect l="14757" t="36343" r="14410" b="44444"/>
                    <a:stretch/>
                  </pic:blipFill>
                  <pic:spPr bwMode="auto">
                    <a:xfrm>
                      <a:off x="0" y="0"/>
                      <a:ext cx="4818888" cy="104241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13361B" w:rsidRPr="004D10F1" w:rsidRDefault="0013361B">
      <w:pPr>
        <w:pStyle w:val="NumberedSteps"/>
        <w:ind w:right="720"/>
        <w:rPr>
          <w:rFonts w:ascii="Tahoma" w:hAnsi="Tahoma" w:cs="Tahoma"/>
        </w:rPr>
      </w:pPr>
    </w:p>
    <w:p w:rsidR="00023FE7" w:rsidRPr="004D10F1" w:rsidRDefault="00023FE7">
      <w:pPr>
        <w:pStyle w:val="NumberedSteps"/>
        <w:ind w:right="720"/>
        <w:rPr>
          <w:rFonts w:ascii="Tahoma" w:hAnsi="Tahoma" w:cs="Tahoma"/>
          <w:lang w:val="de-DE"/>
        </w:rPr>
      </w:pPr>
      <w:r w:rsidRPr="004D10F1">
        <w:rPr>
          <w:rStyle w:val="BodyChar"/>
          <w:rFonts w:ascii="Tahoma" w:hAnsi="Tahoma" w:cs="Tahoma"/>
          <w:b/>
          <w:sz w:val="18"/>
          <w:szCs w:val="18"/>
          <w:lang w:val="de-DE"/>
        </w:rPr>
        <w:t>Schritt 4:</w:t>
      </w:r>
      <w:r w:rsidR="00511436" w:rsidRPr="004D10F1">
        <w:rPr>
          <w:rStyle w:val="BodyChar"/>
          <w:rFonts w:ascii="Tahoma" w:hAnsi="Tahoma" w:cs="Tahoma"/>
          <w:b/>
          <w:sz w:val="18"/>
          <w:szCs w:val="18"/>
          <w:lang w:val="de-DE"/>
        </w:rPr>
        <w:t xml:space="preserve"> </w:t>
      </w:r>
      <w:r w:rsidRPr="004D10F1">
        <w:rPr>
          <w:rFonts w:ascii="Tahoma" w:hAnsi="Tahoma" w:cs="Tahoma"/>
          <w:sz w:val="18"/>
          <w:szCs w:val="18"/>
          <w:lang w:val="de-DE"/>
        </w:rPr>
        <w:t>Weitere Informationen über Software Assurance-Vergünstigungen sowie den Erwerb und die Verlängerung von Software Assurance finden Sie in den Anhängen 5 und 6</w:t>
      </w:r>
      <w:r w:rsidR="006257A7">
        <w:rPr>
          <w:rFonts w:ascii="Tahoma" w:hAnsi="Tahoma" w:cs="Tahoma"/>
          <w:sz w:val="18"/>
          <w:szCs w:val="18"/>
          <w:lang w:val="de-DE"/>
        </w:rPr>
        <w:t xml:space="preserve">. </w:t>
      </w:r>
    </w:p>
    <w:p w:rsidR="00023FE7" w:rsidRPr="004D10F1" w:rsidRDefault="00023FE7" w:rsidP="003311BB">
      <w:pPr>
        <w:pStyle w:val="Body"/>
        <w:ind w:right="720"/>
        <w:rPr>
          <w:rFonts w:ascii="Tahoma" w:hAnsi="Tahoma" w:cs="Tahoma"/>
          <w:lang w:val="de-DE"/>
        </w:rPr>
      </w:pPr>
      <w:r w:rsidRPr="004D10F1">
        <w:rPr>
          <w:rFonts w:ascii="Tahoma" w:hAnsi="Tahoma" w:cs="Tahoma"/>
          <w:b/>
          <w:sz w:val="18"/>
          <w:szCs w:val="18"/>
          <w:lang w:val="de-DE"/>
        </w:rPr>
        <w:t>Anmerkung:</w:t>
      </w:r>
      <w:r w:rsidR="00511436" w:rsidRPr="004D10F1">
        <w:rPr>
          <w:rFonts w:ascii="Tahoma" w:hAnsi="Tahoma" w:cs="Tahoma"/>
          <w:sz w:val="18"/>
          <w:szCs w:val="18"/>
          <w:lang w:val="de-DE"/>
        </w:rPr>
        <w:t xml:space="preserve"> </w:t>
      </w:r>
      <w:r w:rsidRPr="004D10F1">
        <w:rPr>
          <w:rFonts w:ascii="Tahoma" w:hAnsi="Tahoma" w:cs="Tahoma"/>
          <w:sz w:val="18"/>
          <w:szCs w:val="18"/>
          <w:lang w:val="de-DE"/>
        </w:rPr>
        <w:t>In der Produktliste ist die verfügbare Software nach Programm aufgeführt</w:t>
      </w:r>
      <w:r w:rsidR="006257A7">
        <w:rPr>
          <w:rFonts w:ascii="Tahoma" w:hAnsi="Tahoma" w:cs="Tahoma"/>
          <w:sz w:val="18"/>
          <w:szCs w:val="18"/>
          <w:lang w:val="de-DE"/>
        </w:rPr>
        <w:t xml:space="preserve">. </w:t>
      </w:r>
      <w:r w:rsidRPr="004D10F1">
        <w:rPr>
          <w:rFonts w:ascii="Tahoma" w:hAnsi="Tahoma" w:cs="Tahoma"/>
          <w:sz w:val="18"/>
          <w:szCs w:val="18"/>
          <w:lang w:val="de-DE"/>
        </w:rPr>
        <w:t>Darüber</w:t>
      </w:r>
      <w:r w:rsidR="003311BB">
        <w:rPr>
          <w:rFonts w:ascii="Tahoma" w:hAnsi="Tahoma" w:cs="Tahoma"/>
          <w:sz w:val="18"/>
          <w:szCs w:val="18"/>
          <w:lang w:val="de-DE"/>
        </w:rPr>
        <w:t> </w:t>
      </w:r>
      <w:r w:rsidRPr="004D10F1">
        <w:rPr>
          <w:rFonts w:ascii="Tahoma" w:hAnsi="Tahoma" w:cs="Tahoma"/>
          <w:sz w:val="18"/>
          <w:szCs w:val="18"/>
          <w:lang w:val="de-DE"/>
        </w:rPr>
        <w:t>hinaus enthält die Produktliste softwarespezifische Informationen hinsichtlich des Erwerbs</w:t>
      </w:r>
      <w:r w:rsidR="003311BB">
        <w:rPr>
          <w:rFonts w:ascii="Tahoma" w:hAnsi="Tahoma" w:cs="Tahoma"/>
          <w:sz w:val="18"/>
          <w:szCs w:val="18"/>
          <w:lang w:val="de-DE"/>
        </w:rPr>
        <w:t> </w:t>
      </w:r>
      <w:r w:rsidRPr="004D10F1">
        <w:rPr>
          <w:rFonts w:ascii="Tahoma" w:hAnsi="Tahoma" w:cs="Tahoma"/>
          <w:sz w:val="18"/>
          <w:szCs w:val="18"/>
          <w:lang w:val="de-DE"/>
        </w:rPr>
        <w:t>von Lizenzen für die betreffende Software</w:t>
      </w:r>
      <w:r w:rsidR="006257A7">
        <w:rPr>
          <w:rFonts w:ascii="Tahoma" w:hAnsi="Tahoma" w:cs="Tahoma"/>
          <w:sz w:val="18"/>
          <w:szCs w:val="18"/>
          <w:lang w:val="de-DE"/>
        </w:rPr>
        <w:t xml:space="preserve">. </w:t>
      </w:r>
      <w:r w:rsidRPr="004D10F1">
        <w:rPr>
          <w:rFonts w:ascii="Tahoma" w:hAnsi="Tahoma" w:cs="Tahoma"/>
          <w:sz w:val="18"/>
          <w:szCs w:val="18"/>
          <w:lang w:val="de-DE"/>
        </w:rPr>
        <w:t>Die Produktliste wird durch Bezugnahme Bestandteil des Microsoft-Volumenlizenvertrages</w:t>
      </w:r>
      <w:r w:rsidR="006257A7">
        <w:rPr>
          <w:rFonts w:ascii="Tahoma" w:hAnsi="Tahoma" w:cs="Tahoma"/>
          <w:sz w:val="18"/>
          <w:szCs w:val="18"/>
          <w:lang w:val="de-DE"/>
        </w:rPr>
        <w:t xml:space="preserve">. </w:t>
      </w:r>
      <w:r w:rsidRPr="004D10F1">
        <w:rPr>
          <w:rFonts w:ascii="Tahoma" w:hAnsi="Tahoma" w:cs="Tahoma"/>
          <w:sz w:val="18"/>
          <w:szCs w:val="18"/>
          <w:lang w:val="de-DE"/>
        </w:rPr>
        <w:t>Die Verfügbarkeit von Software kann von Region</w:t>
      </w:r>
      <w:r w:rsidR="003311BB">
        <w:rPr>
          <w:rFonts w:ascii="Tahoma" w:hAnsi="Tahoma" w:cs="Tahoma"/>
          <w:sz w:val="18"/>
          <w:szCs w:val="18"/>
          <w:lang w:val="de-DE"/>
        </w:rPr>
        <w:t> </w:t>
      </w:r>
      <w:r w:rsidRPr="004D10F1">
        <w:rPr>
          <w:rFonts w:ascii="Tahoma" w:hAnsi="Tahoma" w:cs="Tahoma"/>
          <w:sz w:val="18"/>
          <w:szCs w:val="18"/>
          <w:lang w:val="de-DE"/>
        </w:rPr>
        <w:t>zu Region variieren</w:t>
      </w:r>
      <w:r w:rsidR="006257A7">
        <w:rPr>
          <w:rFonts w:ascii="Tahoma" w:hAnsi="Tahoma" w:cs="Tahoma"/>
          <w:sz w:val="18"/>
          <w:szCs w:val="18"/>
          <w:lang w:val="de-DE"/>
        </w:rPr>
        <w:t xml:space="preserve">. </w:t>
      </w:r>
      <w:r w:rsidRPr="004D10F1">
        <w:rPr>
          <w:rFonts w:ascii="Tahoma" w:hAnsi="Tahoma" w:cs="Tahoma"/>
          <w:sz w:val="18"/>
          <w:szCs w:val="18"/>
          <w:lang w:val="de-DE"/>
        </w:rPr>
        <w:t>Für Informationen bezüglich der regionalen Verfügbarkeit eines bestimmten Softwareproduktes sollten sich Kunden an ihren Handelspartner oder Microsoft-Kundenbetreuer wenden</w:t>
      </w:r>
      <w:r w:rsidR="006257A7">
        <w:rPr>
          <w:rFonts w:ascii="Tahoma" w:hAnsi="Tahoma" w:cs="Tahoma"/>
          <w:sz w:val="18"/>
          <w:szCs w:val="18"/>
          <w:lang w:val="de-DE"/>
        </w:rPr>
        <w:t xml:space="preserve">. </w:t>
      </w:r>
    </w:p>
    <w:p w:rsidR="00023FE7" w:rsidRPr="003311BB" w:rsidRDefault="00023FE7" w:rsidP="003311BB">
      <w:pPr>
        <w:pStyle w:val="Body"/>
        <w:ind w:right="540"/>
        <w:rPr>
          <w:rFonts w:ascii="Tahoma" w:hAnsi="Tahoma" w:cs="Tahoma"/>
          <w:sz w:val="18"/>
          <w:szCs w:val="18"/>
          <w:lang w:val="de-DE"/>
        </w:rPr>
      </w:pPr>
      <w:r w:rsidRPr="004D10F1">
        <w:rPr>
          <w:rFonts w:ascii="Tahoma" w:hAnsi="Tahoma" w:cs="Tahoma"/>
          <w:sz w:val="18"/>
          <w:szCs w:val="18"/>
          <w:lang w:val="de-DE"/>
        </w:rPr>
        <w:lastRenderedPageBreak/>
        <w:t>Außerdem ist es sinnvoll, das Produktbenutzungsrechte(PUR)-Dokument zu konsultieren</w:t>
      </w:r>
      <w:r w:rsidR="006257A7">
        <w:rPr>
          <w:rFonts w:ascii="Tahoma" w:hAnsi="Tahoma" w:cs="Tahoma"/>
          <w:sz w:val="18"/>
          <w:szCs w:val="18"/>
          <w:lang w:val="de-DE"/>
        </w:rPr>
        <w:t xml:space="preserve">. </w:t>
      </w:r>
      <w:r w:rsidRPr="004D10F1">
        <w:rPr>
          <w:rFonts w:ascii="Tahoma" w:hAnsi="Tahoma" w:cs="Tahoma"/>
          <w:sz w:val="18"/>
          <w:szCs w:val="18"/>
          <w:lang w:val="de-DE"/>
        </w:rPr>
        <w:t>Das</w:t>
      </w:r>
      <w:r w:rsidR="003311BB">
        <w:rPr>
          <w:rFonts w:ascii="Tahoma" w:hAnsi="Tahoma" w:cs="Tahoma"/>
          <w:sz w:val="18"/>
          <w:szCs w:val="18"/>
          <w:lang w:val="de-DE"/>
        </w:rPr>
        <w:t> </w:t>
      </w:r>
      <w:r w:rsidRPr="004D10F1">
        <w:rPr>
          <w:rFonts w:ascii="Tahoma" w:hAnsi="Tahoma" w:cs="Tahoma"/>
          <w:sz w:val="18"/>
          <w:szCs w:val="18"/>
          <w:lang w:val="de-DE"/>
        </w:rPr>
        <w:t>Produktbenutzungsrechte-Dokument wird vierteljährlich aktualisiert und enthält Informationen</w:t>
      </w:r>
      <w:r w:rsidR="003311BB">
        <w:rPr>
          <w:rFonts w:ascii="Tahoma" w:hAnsi="Tahoma" w:cs="Tahoma"/>
          <w:sz w:val="18"/>
          <w:szCs w:val="18"/>
          <w:lang w:val="de-DE"/>
        </w:rPr>
        <w:t> </w:t>
      </w:r>
      <w:r w:rsidRPr="004D10F1">
        <w:rPr>
          <w:rFonts w:ascii="Tahoma" w:hAnsi="Tahoma" w:cs="Tahoma"/>
          <w:sz w:val="18"/>
          <w:szCs w:val="18"/>
          <w:lang w:val="de-DE"/>
        </w:rPr>
        <w:t>über die neuesten Nutzungsrechte für Microsoft-Software unter Microsoft-Volumenlizenzprogrammen</w:t>
      </w:r>
      <w:r w:rsidR="006257A7">
        <w:rPr>
          <w:rFonts w:ascii="Tahoma" w:hAnsi="Tahoma" w:cs="Tahoma"/>
          <w:sz w:val="18"/>
          <w:szCs w:val="18"/>
          <w:lang w:val="de-DE"/>
        </w:rPr>
        <w:t xml:space="preserve">. </w:t>
      </w:r>
      <w:r w:rsidRPr="004D10F1">
        <w:rPr>
          <w:rFonts w:ascii="Tahoma" w:hAnsi="Tahoma" w:cs="Tahoma"/>
          <w:sz w:val="18"/>
          <w:szCs w:val="18"/>
          <w:lang w:val="de-DE"/>
        </w:rPr>
        <w:t>Das Dokument befindet sich unter:</w:t>
      </w:r>
      <w:r w:rsidR="00511436" w:rsidRPr="004D10F1">
        <w:rPr>
          <w:rFonts w:ascii="Tahoma" w:hAnsi="Tahoma" w:cs="Tahoma"/>
          <w:sz w:val="18"/>
          <w:szCs w:val="18"/>
          <w:lang w:val="de-DE"/>
        </w:rPr>
        <w:t xml:space="preserve"> </w:t>
      </w:r>
      <w:r w:rsidRPr="004D10F1">
        <w:rPr>
          <w:rFonts w:ascii="Tahoma" w:hAnsi="Tahoma" w:cs="Tahoma"/>
          <w:sz w:val="18"/>
          <w:szCs w:val="18"/>
          <w:lang w:val="de-DE"/>
        </w:rPr>
        <w:t>http://www</w:t>
      </w:r>
      <w:r w:rsidR="006257A7">
        <w:rPr>
          <w:rFonts w:ascii="Tahoma" w:hAnsi="Tahoma" w:cs="Tahoma"/>
          <w:sz w:val="18"/>
          <w:szCs w:val="18"/>
          <w:lang w:val="de-DE"/>
        </w:rPr>
        <w:t xml:space="preserve">. </w:t>
      </w:r>
      <w:r w:rsidRPr="004D10F1">
        <w:rPr>
          <w:rFonts w:ascii="Tahoma" w:hAnsi="Tahoma" w:cs="Tahoma"/>
          <w:sz w:val="18"/>
          <w:szCs w:val="18"/>
          <w:lang w:val="de-DE"/>
        </w:rPr>
        <w:t>microsoftvolumelicensing</w:t>
      </w:r>
      <w:r w:rsidR="00E869D6">
        <w:rPr>
          <w:rFonts w:ascii="Tahoma" w:hAnsi="Tahoma" w:cs="Tahoma"/>
          <w:sz w:val="18"/>
          <w:szCs w:val="18"/>
          <w:lang w:val="de-DE"/>
        </w:rPr>
        <w:t>.</w:t>
      </w:r>
      <w:r w:rsidRPr="004D10F1">
        <w:rPr>
          <w:rFonts w:ascii="Tahoma" w:hAnsi="Tahoma" w:cs="Tahoma"/>
          <w:sz w:val="18"/>
          <w:szCs w:val="18"/>
          <w:lang w:val="de-DE"/>
        </w:rPr>
        <w:t>com/userights/Default</w:t>
      </w:r>
      <w:r w:rsidR="00E869D6">
        <w:rPr>
          <w:rFonts w:ascii="Tahoma" w:hAnsi="Tahoma" w:cs="Tahoma"/>
          <w:sz w:val="18"/>
          <w:szCs w:val="18"/>
          <w:lang w:val="de-DE"/>
        </w:rPr>
        <w:t>.</w:t>
      </w:r>
      <w:r w:rsidRPr="004D10F1">
        <w:rPr>
          <w:rFonts w:ascii="Tahoma" w:hAnsi="Tahoma" w:cs="Tahoma"/>
          <w:sz w:val="18"/>
          <w:szCs w:val="18"/>
          <w:lang w:val="de-DE"/>
        </w:rPr>
        <w:t>aspx</w:t>
      </w:r>
      <w:hyperlink w:history="1"/>
    </w:p>
    <w:p w:rsidR="00465757" w:rsidRPr="004D10F1" w:rsidRDefault="00465757" w:rsidP="00465757">
      <w:pPr>
        <w:rPr>
          <w:rFonts w:cs="Tahoma"/>
          <w:lang w:val="de-DE"/>
        </w:rPr>
      </w:pPr>
    </w:p>
    <w:p w:rsidR="00465757" w:rsidRPr="004D10F1" w:rsidRDefault="00465757" w:rsidP="00465757">
      <w:pPr>
        <w:rPr>
          <w:rFonts w:cs="Tahoma"/>
          <w:lang w:val="de-DE"/>
        </w:rPr>
      </w:pPr>
    </w:p>
    <w:p w:rsidR="005E36DC" w:rsidRPr="00EF6A19" w:rsidRDefault="00023FE7" w:rsidP="0051046C">
      <w:pPr>
        <w:pStyle w:val="TOC1"/>
        <w:rPr>
          <w:color w:val="auto"/>
          <w:lang w:val="de-DE"/>
        </w:rPr>
      </w:pPr>
      <w:r w:rsidRPr="004D10F1">
        <w:rPr>
          <w:lang w:val="de-DE"/>
        </w:rPr>
        <w:br w:type="page"/>
      </w:r>
      <w:r w:rsidR="00AB0E59" w:rsidRPr="005E36DC">
        <w:rPr>
          <w:color w:val="auto"/>
        </w:rPr>
        <w:fldChar w:fldCharType="begin"/>
      </w:r>
      <w:r w:rsidRPr="005E36DC">
        <w:rPr>
          <w:color w:val="auto"/>
          <w:lang w:val="de-DE"/>
        </w:rPr>
        <w:instrText xml:space="preserve"> TOC \o "1-2" \t "Heading 3,3,Heading 4,4,Product Names,2" </w:instrText>
      </w:r>
      <w:r w:rsidR="00AB0E59" w:rsidRPr="005E36DC">
        <w:rPr>
          <w:color w:val="auto"/>
        </w:rPr>
        <w:fldChar w:fldCharType="separate"/>
      </w:r>
    </w:p>
    <w:p w:rsidR="005E36DC" w:rsidRPr="005E36DC" w:rsidRDefault="005E36DC">
      <w:pPr>
        <w:pStyle w:val="TOC1"/>
        <w:rPr>
          <w:rFonts w:eastAsiaTheme="minorEastAsia"/>
          <w:b w:val="0"/>
          <w:caps w:val="0"/>
          <w:color w:val="auto"/>
          <w:szCs w:val="22"/>
          <w:lang w:val="de-DE" w:eastAsia="zh-CN"/>
        </w:rPr>
      </w:pPr>
      <w:r w:rsidRPr="005E36DC">
        <w:rPr>
          <w:b w:val="0"/>
          <w:color w:val="auto"/>
          <w:lang w:val="de-DE"/>
        </w:rPr>
        <w:t>Microsoft</w:t>
      </w:r>
      <w:r w:rsidR="0069040B" w:rsidRPr="0069040B">
        <w:rPr>
          <w:b w:val="0"/>
          <w:color w:val="auto"/>
          <w:vertAlign w:val="superscript"/>
          <w:lang w:val="de-DE"/>
        </w:rPr>
        <w:t>®</w:t>
      </w:r>
      <w:r w:rsidRPr="005E36DC">
        <w:rPr>
          <w:color w:val="auto"/>
          <w:lang w:val="de-DE"/>
        </w:rPr>
        <w:tab/>
      </w:r>
      <w:r w:rsidRPr="005E36DC">
        <w:rPr>
          <w:color w:val="auto"/>
        </w:rPr>
        <w:fldChar w:fldCharType="begin"/>
      </w:r>
      <w:r w:rsidRPr="005E36DC">
        <w:rPr>
          <w:color w:val="auto"/>
          <w:lang w:val="de-DE"/>
        </w:rPr>
        <w:instrText xml:space="preserve"> PAGEREF _Toc363998592 \h </w:instrText>
      </w:r>
      <w:r w:rsidRPr="005E36DC">
        <w:rPr>
          <w:color w:val="auto"/>
        </w:rPr>
      </w:r>
      <w:r w:rsidRPr="005E36DC">
        <w:rPr>
          <w:color w:val="auto"/>
        </w:rPr>
        <w:fldChar w:fldCharType="separate"/>
      </w:r>
      <w:r w:rsidR="00DC4771">
        <w:rPr>
          <w:color w:val="auto"/>
          <w:lang w:val="de-DE"/>
        </w:rPr>
        <w:t>1</w:t>
      </w:r>
      <w:r w:rsidRPr="005E36DC">
        <w:rPr>
          <w:color w:val="auto"/>
        </w:rPr>
        <w:fldChar w:fldCharType="end"/>
      </w:r>
    </w:p>
    <w:p w:rsidR="005E36DC" w:rsidRPr="005E36DC" w:rsidRDefault="005E36DC">
      <w:pPr>
        <w:pStyle w:val="TOC1"/>
        <w:rPr>
          <w:rFonts w:eastAsiaTheme="minorEastAsia"/>
          <w:b w:val="0"/>
          <w:caps w:val="0"/>
          <w:color w:val="auto"/>
          <w:szCs w:val="22"/>
          <w:lang w:val="de-DE" w:eastAsia="zh-CN"/>
        </w:rPr>
      </w:pPr>
      <w:r w:rsidRPr="005E36DC">
        <w:rPr>
          <w:color w:val="auto"/>
          <w:lang w:val="de-DE"/>
        </w:rPr>
        <w:t>ÜBER DIESES DOKUMENT</w:t>
      </w:r>
      <w:r w:rsidRPr="005E36DC">
        <w:rPr>
          <w:color w:val="auto"/>
          <w:lang w:val="de-DE"/>
        </w:rPr>
        <w:tab/>
      </w:r>
      <w:r w:rsidRPr="005E36DC">
        <w:rPr>
          <w:color w:val="auto"/>
        </w:rPr>
        <w:fldChar w:fldCharType="begin"/>
      </w:r>
      <w:r w:rsidRPr="005E36DC">
        <w:rPr>
          <w:color w:val="auto"/>
          <w:lang w:val="de-DE"/>
        </w:rPr>
        <w:instrText xml:space="preserve"> PAGEREF _Toc363998593 \h </w:instrText>
      </w:r>
      <w:r w:rsidRPr="005E36DC">
        <w:rPr>
          <w:color w:val="auto"/>
        </w:rPr>
      </w:r>
      <w:r w:rsidRPr="005E36DC">
        <w:rPr>
          <w:color w:val="auto"/>
        </w:rPr>
        <w:fldChar w:fldCharType="separate"/>
      </w:r>
      <w:r w:rsidR="00DC4771">
        <w:rPr>
          <w:color w:val="auto"/>
          <w:lang w:val="de-DE"/>
        </w:rPr>
        <w:t>2</w:t>
      </w:r>
      <w:r w:rsidRPr="005E36DC">
        <w:rPr>
          <w:color w:val="auto"/>
        </w:rPr>
        <w:fldChar w:fldCharType="end"/>
      </w:r>
    </w:p>
    <w:p w:rsidR="005E36DC" w:rsidRPr="005E36DC" w:rsidRDefault="005E36DC">
      <w:pPr>
        <w:pStyle w:val="TOC1"/>
        <w:rPr>
          <w:rFonts w:eastAsiaTheme="minorEastAsia"/>
          <w:b w:val="0"/>
          <w:caps w:val="0"/>
          <w:color w:val="auto"/>
          <w:szCs w:val="22"/>
          <w:lang w:val="de-DE" w:eastAsia="zh-CN"/>
        </w:rPr>
      </w:pPr>
      <w:r w:rsidRPr="005E36DC">
        <w:rPr>
          <w:color w:val="auto"/>
          <w:lang w:val="de-DE"/>
        </w:rPr>
        <w:t>VERWENDUNG dER Microsoft-ProduktLISTe</w:t>
      </w:r>
      <w:r w:rsidRPr="005E36DC">
        <w:rPr>
          <w:color w:val="auto"/>
          <w:lang w:val="de-DE"/>
        </w:rPr>
        <w:tab/>
      </w:r>
      <w:r w:rsidRPr="005E36DC">
        <w:rPr>
          <w:color w:val="auto"/>
        </w:rPr>
        <w:fldChar w:fldCharType="begin"/>
      </w:r>
      <w:r w:rsidRPr="005E36DC">
        <w:rPr>
          <w:color w:val="auto"/>
          <w:lang w:val="de-DE"/>
        </w:rPr>
        <w:instrText xml:space="preserve"> PAGEREF _Toc363998594 \h </w:instrText>
      </w:r>
      <w:r w:rsidRPr="005E36DC">
        <w:rPr>
          <w:color w:val="auto"/>
        </w:rPr>
      </w:r>
      <w:r w:rsidRPr="005E36DC">
        <w:rPr>
          <w:color w:val="auto"/>
        </w:rPr>
        <w:fldChar w:fldCharType="separate"/>
      </w:r>
      <w:r w:rsidR="00DC4771">
        <w:rPr>
          <w:color w:val="auto"/>
          <w:lang w:val="de-DE"/>
        </w:rPr>
        <w:t>2</w:t>
      </w:r>
      <w:r w:rsidRPr="005E36DC">
        <w:rPr>
          <w:color w:val="auto"/>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Tabellenlegende</w:t>
      </w:r>
      <w:r w:rsidRPr="005E36DC">
        <w:rPr>
          <w:rFonts w:cs="Tahoma"/>
          <w:lang w:val="de-DE"/>
        </w:rPr>
        <w:tab/>
      </w:r>
      <w:r w:rsidRPr="005E36DC">
        <w:rPr>
          <w:rFonts w:cs="Tahoma"/>
        </w:rPr>
        <w:fldChar w:fldCharType="begin"/>
      </w:r>
      <w:r w:rsidRPr="005E36DC">
        <w:rPr>
          <w:rFonts w:cs="Tahoma"/>
          <w:lang w:val="de-DE"/>
        </w:rPr>
        <w:instrText xml:space="preserve"> PAGEREF _Toc363998595 \h </w:instrText>
      </w:r>
      <w:r w:rsidRPr="005E36DC">
        <w:rPr>
          <w:rFonts w:cs="Tahoma"/>
        </w:rPr>
      </w:r>
      <w:r w:rsidRPr="005E36DC">
        <w:rPr>
          <w:rFonts w:cs="Tahoma"/>
        </w:rPr>
        <w:fldChar w:fldCharType="separate"/>
      </w:r>
      <w:r w:rsidR="00DC4771">
        <w:rPr>
          <w:rFonts w:cs="Tahoma"/>
          <w:lang w:val="de-DE"/>
        </w:rPr>
        <w:t>15</w:t>
      </w:r>
      <w:r w:rsidRPr="005E36DC">
        <w:rPr>
          <w:rFonts w:cs="Tahoma"/>
        </w:rPr>
        <w:fldChar w:fldCharType="end"/>
      </w:r>
    </w:p>
    <w:p w:rsidR="005E36DC" w:rsidRPr="005E36DC" w:rsidRDefault="005E36DC">
      <w:pPr>
        <w:pStyle w:val="TOC1"/>
        <w:rPr>
          <w:rFonts w:eastAsiaTheme="minorEastAsia"/>
          <w:b w:val="0"/>
          <w:caps w:val="0"/>
          <w:color w:val="auto"/>
          <w:szCs w:val="22"/>
          <w:lang w:val="de-DE" w:eastAsia="zh-CN"/>
        </w:rPr>
      </w:pPr>
      <w:r w:rsidRPr="005E36DC">
        <w:rPr>
          <w:color w:val="auto"/>
          <w:lang w:val="de-DE"/>
        </w:rPr>
        <w:t>PRODUKTLISTE</w:t>
      </w:r>
      <w:r w:rsidRPr="005E36DC">
        <w:rPr>
          <w:color w:val="auto"/>
          <w:lang w:val="de-DE"/>
        </w:rPr>
        <w:tab/>
      </w:r>
      <w:r w:rsidRPr="005E36DC">
        <w:rPr>
          <w:color w:val="auto"/>
        </w:rPr>
        <w:fldChar w:fldCharType="begin"/>
      </w:r>
      <w:r w:rsidRPr="005E36DC">
        <w:rPr>
          <w:color w:val="auto"/>
          <w:lang w:val="de-DE"/>
        </w:rPr>
        <w:instrText xml:space="preserve"> PAGEREF _Toc363998596 \h </w:instrText>
      </w:r>
      <w:r w:rsidRPr="005E36DC">
        <w:rPr>
          <w:color w:val="auto"/>
        </w:rPr>
      </w:r>
      <w:r w:rsidRPr="005E36DC">
        <w:rPr>
          <w:color w:val="auto"/>
        </w:rPr>
        <w:fldChar w:fldCharType="separate"/>
      </w:r>
      <w:r w:rsidR="00DC4771">
        <w:rPr>
          <w:color w:val="auto"/>
          <w:lang w:val="de-DE"/>
        </w:rPr>
        <w:t>17</w:t>
      </w:r>
      <w:r w:rsidRPr="005E36DC">
        <w:rPr>
          <w:color w:val="auto"/>
        </w:rPr>
        <w:fldChar w:fldCharType="end"/>
      </w:r>
    </w:p>
    <w:p w:rsidR="005E36DC" w:rsidRPr="00AC6E9B" w:rsidRDefault="005E36DC" w:rsidP="00A56539">
      <w:pPr>
        <w:pStyle w:val="TOC3"/>
        <w:rPr>
          <w:rFonts w:eastAsiaTheme="minorEastAsia"/>
          <w:sz w:val="22"/>
          <w:szCs w:val="22"/>
          <w:lang w:val="de-DE" w:eastAsia="zh-CN"/>
        </w:rPr>
      </w:pPr>
      <w:r w:rsidRPr="00AC6E9B">
        <w:rPr>
          <w:lang w:val="de-DE"/>
        </w:rPr>
        <w:t>ANWENDUNGS-POOL</w:t>
      </w:r>
      <w:r w:rsidRPr="00AC6E9B">
        <w:rPr>
          <w:lang w:val="de-DE"/>
        </w:rPr>
        <w:tab/>
      </w:r>
      <w:r w:rsidRPr="005E36DC">
        <w:fldChar w:fldCharType="begin"/>
      </w:r>
      <w:r w:rsidRPr="00AC6E9B">
        <w:rPr>
          <w:lang w:val="de-DE"/>
        </w:rPr>
        <w:instrText xml:space="preserve"> PAGEREF _Toc363998597 \h </w:instrText>
      </w:r>
      <w:r w:rsidRPr="005E36DC">
        <w:fldChar w:fldCharType="separate"/>
      </w:r>
      <w:r w:rsidR="00DC4771">
        <w:rPr>
          <w:lang w:val="de-DE"/>
        </w:rPr>
        <w:t>17</w:t>
      </w:r>
      <w:r w:rsidRPr="005E36DC">
        <w:fldChar w:fldCharType="end"/>
      </w:r>
    </w:p>
    <w:p w:rsidR="005E36DC" w:rsidRPr="00051083" w:rsidRDefault="005E36DC">
      <w:pPr>
        <w:pStyle w:val="TOC2"/>
        <w:rPr>
          <w:rFonts w:eastAsiaTheme="minorEastAsia" w:cs="Tahoma"/>
          <w:sz w:val="22"/>
          <w:szCs w:val="22"/>
          <w:lang w:val="de-DE" w:eastAsia="zh-CN"/>
        </w:rPr>
      </w:pPr>
      <w:r w:rsidRPr="00051083">
        <w:rPr>
          <w:rFonts w:cs="Tahoma"/>
          <w:lang w:val="de-DE"/>
        </w:rPr>
        <w:t>Access 2013</w:t>
      </w:r>
      <w:r w:rsidRPr="00051083">
        <w:rPr>
          <w:rFonts w:cs="Tahoma"/>
          <w:lang w:val="de-DE"/>
        </w:rPr>
        <w:tab/>
      </w:r>
      <w:r w:rsidRPr="005E36DC">
        <w:rPr>
          <w:rFonts w:cs="Tahoma"/>
        </w:rPr>
        <w:fldChar w:fldCharType="begin"/>
      </w:r>
      <w:r w:rsidRPr="00051083">
        <w:rPr>
          <w:rFonts w:cs="Tahoma"/>
          <w:lang w:val="de-DE"/>
        </w:rPr>
        <w:instrText xml:space="preserve"> PAGEREF _Toc363998598 \h </w:instrText>
      </w:r>
      <w:r w:rsidRPr="005E36DC">
        <w:rPr>
          <w:rFonts w:cs="Tahoma"/>
        </w:rPr>
      </w:r>
      <w:r w:rsidRPr="005E36DC">
        <w:rPr>
          <w:rFonts w:cs="Tahoma"/>
        </w:rPr>
        <w:fldChar w:fldCharType="separate"/>
      </w:r>
      <w:r w:rsidR="00DC4771">
        <w:rPr>
          <w:rFonts w:cs="Tahoma"/>
          <w:lang w:val="de-DE"/>
        </w:rPr>
        <w:t>17</w:t>
      </w:r>
      <w:r w:rsidRPr="005E36DC">
        <w:rPr>
          <w:rFonts w:cs="Tahoma"/>
        </w:rPr>
        <w:fldChar w:fldCharType="end"/>
      </w:r>
    </w:p>
    <w:p w:rsidR="005E36DC" w:rsidRPr="00051083" w:rsidRDefault="005E36DC">
      <w:pPr>
        <w:pStyle w:val="TOC2"/>
        <w:rPr>
          <w:rFonts w:eastAsiaTheme="minorEastAsia" w:cs="Tahoma"/>
          <w:sz w:val="22"/>
          <w:szCs w:val="22"/>
          <w:lang w:val="fr-FR" w:eastAsia="zh-CN"/>
        </w:rPr>
      </w:pPr>
      <w:r w:rsidRPr="00051083">
        <w:rPr>
          <w:rFonts w:cs="Tahoma"/>
          <w:lang w:val="fr-FR"/>
        </w:rPr>
        <w:t>AutoRoute 2013</w:t>
      </w:r>
      <w:r w:rsidRPr="00051083">
        <w:rPr>
          <w:rFonts w:cs="Tahoma"/>
          <w:lang w:val="fr-FR"/>
        </w:rPr>
        <w:tab/>
      </w:r>
      <w:r w:rsidRPr="005E36DC">
        <w:rPr>
          <w:rFonts w:cs="Tahoma"/>
        </w:rPr>
        <w:fldChar w:fldCharType="begin"/>
      </w:r>
      <w:r w:rsidRPr="00051083">
        <w:rPr>
          <w:rFonts w:cs="Tahoma"/>
          <w:lang w:val="fr-FR"/>
        </w:rPr>
        <w:instrText xml:space="preserve"> PAGEREF _Toc363998599 \h </w:instrText>
      </w:r>
      <w:r w:rsidRPr="005E36DC">
        <w:rPr>
          <w:rFonts w:cs="Tahoma"/>
        </w:rPr>
      </w:r>
      <w:r w:rsidRPr="005E36DC">
        <w:rPr>
          <w:rFonts w:cs="Tahoma"/>
        </w:rPr>
        <w:fldChar w:fldCharType="separate"/>
      </w:r>
      <w:r w:rsidR="00DC4771">
        <w:rPr>
          <w:rFonts w:cs="Tahoma"/>
          <w:lang w:val="fr-FR"/>
        </w:rPr>
        <w:t>17</w:t>
      </w:r>
      <w:r w:rsidRPr="005E36DC">
        <w:rPr>
          <w:rFonts w:cs="Tahoma"/>
        </w:rPr>
        <w:fldChar w:fldCharType="end"/>
      </w:r>
    </w:p>
    <w:p w:rsidR="005E36DC" w:rsidRPr="00051083" w:rsidRDefault="005E36DC">
      <w:pPr>
        <w:pStyle w:val="TOC2"/>
        <w:rPr>
          <w:rFonts w:eastAsiaTheme="minorEastAsia" w:cs="Tahoma"/>
          <w:sz w:val="22"/>
          <w:szCs w:val="22"/>
          <w:lang w:val="fr-FR" w:eastAsia="zh-CN"/>
        </w:rPr>
      </w:pPr>
      <w:r w:rsidRPr="00051083">
        <w:rPr>
          <w:rFonts w:cs="Tahoma"/>
          <w:lang w:val="fr-FR"/>
        </w:rPr>
        <w:t>Excel 2013</w:t>
      </w:r>
      <w:r w:rsidRPr="00051083">
        <w:rPr>
          <w:rFonts w:cs="Tahoma"/>
          <w:lang w:val="fr-FR"/>
        </w:rPr>
        <w:tab/>
      </w:r>
      <w:r w:rsidRPr="005E36DC">
        <w:rPr>
          <w:rFonts w:cs="Tahoma"/>
        </w:rPr>
        <w:fldChar w:fldCharType="begin"/>
      </w:r>
      <w:r w:rsidRPr="00051083">
        <w:rPr>
          <w:rFonts w:cs="Tahoma"/>
          <w:lang w:val="fr-FR"/>
        </w:rPr>
        <w:instrText xml:space="preserve"> PAGEREF _Toc363998600 \h </w:instrText>
      </w:r>
      <w:r w:rsidRPr="005E36DC">
        <w:rPr>
          <w:rFonts w:cs="Tahoma"/>
        </w:rPr>
      </w:r>
      <w:r w:rsidRPr="005E36DC">
        <w:rPr>
          <w:rFonts w:cs="Tahoma"/>
        </w:rPr>
        <w:fldChar w:fldCharType="separate"/>
      </w:r>
      <w:r w:rsidR="00DC4771">
        <w:rPr>
          <w:rFonts w:cs="Tahoma"/>
          <w:lang w:val="fr-FR"/>
        </w:rPr>
        <w:t>17</w:t>
      </w:r>
      <w:r w:rsidRPr="005E36DC">
        <w:rPr>
          <w:rFonts w:cs="Tahoma"/>
        </w:rPr>
        <w:fldChar w:fldCharType="end"/>
      </w:r>
    </w:p>
    <w:p w:rsidR="005E36DC" w:rsidRPr="00051083" w:rsidRDefault="005E36DC">
      <w:pPr>
        <w:pStyle w:val="TOC2"/>
        <w:rPr>
          <w:rFonts w:eastAsiaTheme="minorEastAsia" w:cs="Tahoma"/>
          <w:sz w:val="22"/>
          <w:szCs w:val="22"/>
          <w:lang w:val="fr-FR" w:eastAsia="zh-CN"/>
        </w:rPr>
      </w:pPr>
      <w:r w:rsidRPr="00051083">
        <w:rPr>
          <w:rFonts w:cs="Tahoma"/>
          <w:lang w:val="fr-FR"/>
        </w:rPr>
        <w:t>Excel für Mac 2011</w:t>
      </w:r>
      <w:r w:rsidRPr="00051083">
        <w:rPr>
          <w:rFonts w:cs="Tahoma"/>
          <w:lang w:val="fr-FR"/>
        </w:rPr>
        <w:tab/>
      </w:r>
      <w:r w:rsidRPr="005E36DC">
        <w:rPr>
          <w:rFonts w:cs="Tahoma"/>
        </w:rPr>
        <w:fldChar w:fldCharType="begin"/>
      </w:r>
      <w:r w:rsidRPr="00051083">
        <w:rPr>
          <w:rFonts w:cs="Tahoma"/>
          <w:lang w:val="fr-FR"/>
        </w:rPr>
        <w:instrText xml:space="preserve"> PAGEREF _Toc363998601 \h </w:instrText>
      </w:r>
      <w:r w:rsidRPr="005E36DC">
        <w:rPr>
          <w:rFonts w:cs="Tahoma"/>
        </w:rPr>
      </w:r>
      <w:r w:rsidRPr="005E36DC">
        <w:rPr>
          <w:rFonts w:cs="Tahoma"/>
        </w:rPr>
        <w:fldChar w:fldCharType="separate"/>
      </w:r>
      <w:r w:rsidR="00DC4771">
        <w:rPr>
          <w:rFonts w:cs="Tahoma"/>
          <w:lang w:val="fr-FR"/>
        </w:rPr>
        <w:t>17</w:t>
      </w:r>
      <w:r w:rsidRPr="005E36DC">
        <w:rPr>
          <w:rFonts w:cs="Tahoma"/>
        </w:rPr>
        <w:fldChar w:fldCharType="end"/>
      </w:r>
    </w:p>
    <w:p w:rsidR="005E36DC" w:rsidRPr="00051083" w:rsidRDefault="005E36DC">
      <w:pPr>
        <w:pStyle w:val="TOC2"/>
        <w:rPr>
          <w:rFonts w:eastAsiaTheme="minorEastAsia" w:cs="Tahoma"/>
          <w:sz w:val="22"/>
          <w:szCs w:val="22"/>
          <w:lang w:val="fr-FR" w:eastAsia="zh-CN"/>
        </w:rPr>
      </w:pPr>
      <w:r w:rsidRPr="00051083">
        <w:rPr>
          <w:rFonts w:cs="Tahoma"/>
          <w:lang w:val="fr-FR"/>
        </w:rPr>
        <w:t>Expression Encoder Pro 4</w:t>
      </w:r>
      <w:r w:rsidRPr="00051083">
        <w:rPr>
          <w:rFonts w:cs="Tahoma"/>
          <w:lang w:val="fr-FR"/>
        </w:rPr>
        <w:tab/>
      </w:r>
      <w:r w:rsidRPr="005E36DC">
        <w:rPr>
          <w:rFonts w:cs="Tahoma"/>
        </w:rPr>
        <w:fldChar w:fldCharType="begin"/>
      </w:r>
      <w:r w:rsidRPr="00051083">
        <w:rPr>
          <w:rFonts w:cs="Tahoma"/>
          <w:lang w:val="fr-FR"/>
        </w:rPr>
        <w:instrText xml:space="preserve"> PAGEREF _Toc363998602 \h </w:instrText>
      </w:r>
      <w:r w:rsidRPr="005E36DC">
        <w:rPr>
          <w:rFonts w:cs="Tahoma"/>
        </w:rPr>
      </w:r>
      <w:r w:rsidRPr="005E36DC">
        <w:rPr>
          <w:rFonts w:cs="Tahoma"/>
        </w:rPr>
        <w:fldChar w:fldCharType="separate"/>
      </w:r>
      <w:r w:rsidR="00DC4771">
        <w:rPr>
          <w:rFonts w:cs="Tahoma"/>
          <w:lang w:val="fr-FR"/>
        </w:rPr>
        <w:t>17</w:t>
      </w:r>
      <w:r w:rsidRPr="005E36DC">
        <w:rPr>
          <w:rFonts w:cs="Tahoma"/>
        </w:rPr>
        <w:fldChar w:fldCharType="end"/>
      </w:r>
    </w:p>
    <w:p w:rsidR="005E36DC" w:rsidRPr="00051083" w:rsidRDefault="005E36DC">
      <w:pPr>
        <w:pStyle w:val="TOC2"/>
        <w:rPr>
          <w:rFonts w:eastAsiaTheme="minorEastAsia" w:cs="Tahoma"/>
          <w:sz w:val="22"/>
          <w:szCs w:val="22"/>
          <w:lang w:val="fr-FR" w:eastAsia="zh-CN"/>
        </w:rPr>
      </w:pPr>
      <w:r w:rsidRPr="00051083">
        <w:rPr>
          <w:rFonts w:cs="Tahoma"/>
          <w:lang w:val="fr-FR"/>
        </w:rPr>
        <w:t>InfoPath</w:t>
      </w:r>
      <w:r w:rsidR="0069040B" w:rsidRPr="00051083">
        <w:rPr>
          <w:rFonts w:cs="Tahoma"/>
          <w:vertAlign w:val="superscript"/>
          <w:lang w:val="fr-FR"/>
        </w:rPr>
        <w:t>®</w:t>
      </w:r>
      <w:r w:rsidRPr="00051083">
        <w:rPr>
          <w:rFonts w:cs="Tahoma"/>
          <w:lang w:val="fr-FR"/>
        </w:rPr>
        <w:t xml:space="preserve"> 2013</w:t>
      </w:r>
      <w:r w:rsidRPr="00051083">
        <w:rPr>
          <w:rFonts w:cs="Tahoma"/>
          <w:lang w:val="fr-FR"/>
        </w:rPr>
        <w:tab/>
      </w:r>
      <w:r w:rsidRPr="005E36DC">
        <w:rPr>
          <w:rFonts w:cs="Tahoma"/>
        </w:rPr>
        <w:fldChar w:fldCharType="begin"/>
      </w:r>
      <w:r w:rsidRPr="00051083">
        <w:rPr>
          <w:rFonts w:cs="Tahoma"/>
          <w:lang w:val="fr-FR"/>
        </w:rPr>
        <w:instrText xml:space="preserve"> PAGEREF _Toc363998603 \h </w:instrText>
      </w:r>
      <w:r w:rsidRPr="005E36DC">
        <w:rPr>
          <w:rFonts w:cs="Tahoma"/>
        </w:rPr>
      </w:r>
      <w:r w:rsidRPr="005E36DC">
        <w:rPr>
          <w:rFonts w:cs="Tahoma"/>
        </w:rPr>
        <w:fldChar w:fldCharType="separate"/>
      </w:r>
      <w:r w:rsidR="00DC4771">
        <w:rPr>
          <w:rFonts w:cs="Tahoma"/>
          <w:lang w:val="fr-FR"/>
        </w:rPr>
        <w:t>17</w:t>
      </w:r>
      <w:r w:rsidRPr="005E36DC">
        <w:rPr>
          <w:rFonts w:cs="Tahoma"/>
        </w:rPr>
        <w:fldChar w:fldCharType="end"/>
      </w:r>
    </w:p>
    <w:p w:rsidR="005E36DC" w:rsidRPr="00051083" w:rsidRDefault="005E36DC">
      <w:pPr>
        <w:pStyle w:val="TOC2"/>
        <w:rPr>
          <w:rFonts w:eastAsiaTheme="minorEastAsia" w:cs="Tahoma"/>
          <w:sz w:val="22"/>
          <w:szCs w:val="22"/>
          <w:lang w:val="fr-FR" w:eastAsia="zh-CN"/>
        </w:rPr>
      </w:pPr>
      <w:r w:rsidRPr="00051083">
        <w:rPr>
          <w:rFonts w:cs="Tahoma"/>
          <w:lang w:val="fr-FR"/>
        </w:rPr>
        <w:t>Lync 2013</w:t>
      </w:r>
      <w:r w:rsidRPr="00051083">
        <w:rPr>
          <w:rFonts w:cs="Tahoma"/>
          <w:lang w:val="fr-FR"/>
        </w:rPr>
        <w:tab/>
      </w:r>
      <w:r w:rsidRPr="005E36DC">
        <w:rPr>
          <w:rFonts w:cs="Tahoma"/>
        </w:rPr>
        <w:fldChar w:fldCharType="begin"/>
      </w:r>
      <w:r w:rsidRPr="00051083">
        <w:rPr>
          <w:rFonts w:cs="Tahoma"/>
          <w:lang w:val="fr-FR"/>
        </w:rPr>
        <w:instrText xml:space="preserve"> PAGEREF _Toc363998604 \h </w:instrText>
      </w:r>
      <w:r w:rsidRPr="005E36DC">
        <w:rPr>
          <w:rFonts w:cs="Tahoma"/>
        </w:rPr>
      </w:r>
      <w:r w:rsidRPr="005E36DC">
        <w:rPr>
          <w:rFonts w:cs="Tahoma"/>
        </w:rPr>
        <w:fldChar w:fldCharType="separate"/>
      </w:r>
      <w:r w:rsidR="00DC4771">
        <w:rPr>
          <w:rFonts w:cs="Tahoma"/>
          <w:lang w:val="fr-FR"/>
        </w:rPr>
        <w:t>17</w:t>
      </w:r>
      <w:r w:rsidRPr="005E36DC">
        <w:rPr>
          <w:rFonts w:cs="Tahoma"/>
        </w:rPr>
        <w:fldChar w:fldCharType="end"/>
      </w:r>
    </w:p>
    <w:p w:rsidR="005E36DC" w:rsidRPr="00051083" w:rsidRDefault="005E36DC">
      <w:pPr>
        <w:pStyle w:val="TOC2"/>
        <w:rPr>
          <w:rFonts w:eastAsiaTheme="minorEastAsia" w:cs="Tahoma"/>
          <w:sz w:val="22"/>
          <w:szCs w:val="22"/>
          <w:lang w:val="fr-FR" w:eastAsia="zh-CN"/>
        </w:rPr>
      </w:pPr>
      <w:r w:rsidRPr="00051083">
        <w:rPr>
          <w:rFonts w:cs="Tahoma"/>
          <w:lang w:val="fr-FR"/>
        </w:rPr>
        <w:t>Lync für Mac 2011</w:t>
      </w:r>
      <w:r w:rsidRPr="00051083">
        <w:rPr>
          <w:rFonts w:cs="Tahoma"/>
          <w:lang w:val="fr-FR"/>
        </w:rPr>
        <w:tab/>
      </w:r>
      <w:r w:rsidRPr="005E36DC">
        <w:rPr>
          <w:rFonts w:cs="Tahoma"/>
        </w:rPr>
        <w:fldChar w:fldCharType="begin"/>
      </w:r>
      <w:r w:rsidRPr="00051083">
        <w:rPr>
          <w:rFonts w:cs="Tahoma"/>
          <w:lang w:val="fr-FR"/>
        </w:rPr>
        <w:instrText xml:space="preserve"> PAGEREF _Toc363998605 \h </w:instrText>
      </w:r>
      <w:r w:rsidRPr="005E36DC">
        <w:rPr>
          <w:rFonts w:cs="Tahoma"/>
        </w:rPr>
      </w:r>
      <w:r w:rsidRPr="005E36DC">
        <w:rPr>
          <w:rFonts w:cs="Tahoma"/>
        </w:rPr>
        <w:fldChar w:fldCharType="separate"/>
      </w:r>
      <w:r w:rsidR="00DC4771">
        <w:rPr>
          <w:rFonts w:cs="Tahoma"/>
          <w:lang w:val="fr-FR"/>
        </w:rPr>
        <w:t>17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MapPoint</w:t>
      </w:r>
      <w:r w:rsidR="0069040B" w:rsidRPr="0069040B">
        <w:rPr>
          <w:rFonts w:cs="Tahoma"/>
          <w:vertAlign w:val="superscript"/>
        </w:rPr>
        <w:t>®</w:t>
      </w:r>
      <w:r w:rsidRPr="005E36DC">
        <w:rPr>
          <w:rFonts w:cs="Tahoma"/>
        </w:rPr>
        <w:t xml:space="preserve"> Fleet Edition 2013</w:t>
      </w:r>
      <w:r w:rsidRPr="005E36DC">
        <w:rPr>
          <w:rFonts w:cs="Tahoma"/>
        </w:rPr>
        <w:tab/>
      </w:r>
      <w:r w:rsidRPr="005E36DC">
        <w:rPr>
          <w:rFonts w:cs="Tahoma"/>
        </w:rPr>
        <w:fldChar w:fldCharType="begin"/>
      </w:r>
      <w:r w:rsidRPr="005E36DC">
        <w:rPr>
          <w:rFonts w:cs="Tahoma"/>
        </w:rPr>
        <w:instrText xml:space="preserve"> PAGEREF _Toc363998606 \h </w:instrText>
      </w:r>
      <w:r w:rsidRPr="005E36DC">
        <w:rPr>
          <w:rFonts w:cs="Tahoma"/>
        </w:rPr>
      </w:r>
      <w:r w:rsidRPr="005E36DC">
        <w:rPr>
          <w:rFonts w:cs="Tahoma"/>
        </w:rPr>
        <w:fldChar w:fldCharType="separate"/>
      </w:r>
      <w:r w:rsidR="00DC4771">
        <w:rPr>
          <w:rFonts w:cs="Tahoma"/>
        </w:rPr>
        <w:t>17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MapPoint</w:t>
      </w:r>
      <w:r w:rsidR="0069040B" w:rsidRPr="0069040B">
        <w:rPr>
          <w:rFonts w:cs="Tahoma"/>
          <w:vertAlign w:val="superscript"/>
        </w:rPr>
        <w:t>®</w:t>
      </w:r>
      <w:r w:rsidRPr="005E36DC">
        <w:rPr>
          <w:rFonts w:cs="Tahoma"/>
        </w:rPr>
        <w:t xml:space="preserve"> 2013 für Windows</w:t>
      </w:r>
      <w:r w:rsidRPr="005E36DC">
        <w:rPr>
          <w:rFonts w:cs="Tahoma"/>
        </w:rPr>
        <w:tab/>
      </w:r>
      <w:r w:rsidRPr="005E36DC">
        <w:rPr>
          <w:rFonts w:cs="Tahoma"/>
        </w:rPr>
        <w:fldChar w:fldCharType="begin"/>
      </w:r>
      <w:r w:rsidRPr="005E36DC">
        <w:rPr>
          <w:rFonts w:cs="Tahoma"/>
        </w:rPr>
        <w:instrText xml:space="preserve"> PAGEREF _Toc363998607 \h </w:instrText>
      </w:r>
      <w:r w:rsidRPr="005E36DC">
        <w:rPr>
          <w:rFonts w:cs="Tahoma"/>
        </w:rPr>
      </w:r>
      <w:r w:rsidRPr="005E36DC">
        <w:rPr>
          <w:rFonts w:cs="Tahoma"/>
        </w:rPr>
        <w:fldChar w:fldCharType="separate"/>
      </w:r>
      <w:r w:rsidR="00DC4771">
        <w:rPr>
          <w:rFonts w:cs="Tahoma"/>
        </w:rPr>
        <w:t>17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MSDN-Betriebssysteme</w:t>
      </w:r>
      <w:r w:rsidRPr="005E36DC">
        <w:rPr>
          <w:rFonts w:cs="Tahoma"/>
        </w:rPr>
        <w:tab/>
      </w:r>
      <w:r w:rsidRPr="005E36DC">
        <w:rPr>
          <w:rFonts w:cs="Tahoma"/>
        </w:rPr>
        <w:fldChar w:fldCharType="begin"/>
      </w:r>
      <w:r w:rsidRPr="005E36DC">
        <w:rPr>
          <w:rFonts w:cs="Tahoma"/>
        </w:rPr>
        <w:instrText xml:space="preserve"> PAGEREF _Toc363998608 \h </w:instrText>
      </w:r>
      <w:r w:rsidRPr="005E36DC">
        <w:rPr>
          <w:rFonts w:cs="Tahoma"/>
        </w:rPr>
      </w:r>
      <w:r w:rsidRPr="005E36DC">
        <w:rPr>
          <w:rFonts w:cs="Tahoma"/>
        </w:rPr>
        <w:fldChar w:fldCharType="separate"/>
      </w:r>
      <w:r w:rsidR="00DC4771">
        <w:rPr>
          <w:rFonts w:cs="Tahoma"/>
        </w:rPr>
        <w:t>17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MSDN-Plattformen</w:t>
      </w:r>
      <w:r w:rsidRPr="005E36DC">
        <w:rPr>
          <w:rFonts w:cs="Tahoma"/>
        </w:rPr>
        <w:tab/>
      </w:r>
      <w:r w:rsidRPr="005E36DC">
        <w:rPr>
          <w:rFonts w:cs="Tahoma"/>
        </w:rPr>
        <w:fldChar w:fldCharType="begin"/>
      </w:r>
      <w:r w:rsidRPr="005E36DC">
        <w:rPr>
          <w:rFonts w:cs="Tahoma"/>
        </w:rPr>
        <w:instrText xml:space="preserve"> PAGEREF _Toc363998609 \h </w:instrText>
      </w:r>
      <w:r w:rsidRPr="005E36DC">
        <w:rPr>
          <w:rFonts w:cs="Tahoma"/>
        </w:rPr>
      </w:r>
      <w:r w:rsidRPr="005E36DC">
        <w:rPr>
          <w:rFonts w:cs="Tahoma"/>
        </w:rPr>
        <w:fldChar w:fldCharType="separate"/>
      </w:r>
      <w:r w:rsidR="00DC4771">
        <w:rPr>
          <w:rFonts w:cs="Tahoma"/>
        </w:rPr>
        <w:t>17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Office 365 Education A3 (Nutzer-AL)</w:t>
      </w:r>
      <w:r w:rsidRPr="005E36DC">
        <w:rPr>
          <w:rFonts w:cs="Tahoma"/>
        </w:rPr>
        <w:tab/>
      </w:r>
      <w:r w:rsidRPr="005E36DC">
        <w:rPr>
          <w:rFonts w:cs="Tahoma"/>
        </w:rPr>
        <w:fldChar w:fldCharType="begin"/>
      </w:r>
      <w:r w:rsidRPr="005E36DC">
        <w:rPr>
          <w:rFonts w:cs="Tahoma"/>
        </w:rPr>
        <w:instrText xml:space="preserve"> PAGEREF _Toc363998610 \h </w:instrText>
      </w:r>
      <w:r w:rsidRPr="005E36DC">
        <w:rPr>
          <w:rFonts w:cs="Tahoma"/>
        </w:rPr>
      </w:r>
      <w:r w:rsidRPr="005E36DC">
        <w:rPr>
          <w:rFonts w:cs="Tahoma"/>
        </w:rPr>
        <w:fldChar w:fldCharType="separate"/>
      </w:r>
      <w:r w:rsidR="00DC4771">
        <w:rPr>
          <w:rFonts w:cs="Tahoma"/>
        </w:rPr>
        <w:t>17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Office 365 Education A2-A4 (Nutzer-AL)</w:t>
      </w:r>
      <w:r w:rsidRPr="005E36DC">
        <w:rPr>
          <w:rFonts w:cs="Tahoma"/>
        </w:rPr>
        <w:tab/>
      </w:r>
      <w:r w:rsidRPr="005E36DC">
        <w:rPr>
          <w:rFonts w:cs="Tahoma"/>
        </w:rPr>
        <w:fldChar w:fldCharType="begin"/>
      </w:r>
      <w:r w:rsidRPr="005E36DC">
        <w:rPr>
          <w:rFonts w:cs="Tahoma"/>
        </w:rPr>
        <w:instrText xml:space="preserve"> PAGEREF _Toc363998611 \h </w:instrText>
      </w:r>
      <w:r w:rsidRPr="005E36DC">
        <w:rPr>
          <w:rFonts w:cs="Tahoma"/>
        </w:rPr>
      </w:r>
      <w:r w:rsidRPr="005E36DC">
        <w:rPr>
          <w:rFonts w:cs="Tahoma"/>
        </w:rPr>
        <w:fldChar w:fldCharType="separate"/>
      </w:r>
      <w:r w:rsidR="00DC4771">
        <w:rPr>
          <w:rFonts w:cs="Tahoma"/>
        </w:rPr>
        <w:t>17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Office 365 Midsize Business (Nutzer-AL)</w:t>
      </w:r>
      <w:r w:rsidRPr="005E36DC">
        <w:rPr>
          <w:rFonts w:cs="Tahoma"/>
        </w:rPr>
        <w:tab/>
      </w:r>
      <w:r w:rsidRPr="005E36DC">
        <w:rPr>
          <w:rFonts w:cs="Tahoma"/>
        </w:rPr>
        <w:fldChar w:fldCharType="begin"/>
      </w:r>
      <w:r w:rsidRPr="005E36DC">
        <w:rPr>
          <w:rFonts w:cs="Tahoma"/>
        </w:rPr>
        <w:instrText xml:space="preserve"> PAGEREF _Toc363998612 \h </w:instrText>
      </w:r>
      <w:r w:rsidRPr="005E36DC">
        <w:rPr>
          <w:rFonts w:cs="Tahoma"/>
        </w:rPr>
      </w:r>
      <w:r w:rsidRPr="005E36DC">
        <w:rPr>
          <w:rFonts w:cs="Tahoma"/>
        </w:rPr>
        <w:fldChar w:fldCharType="separate"/>
      </w:r>
      <w:r w:rsidR="00DC4771">
        <w:rPr>
          <w:rFonts w:cs="Tahoma"/>
        </w:rPr>
        <w:t>17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Add-On für Office 365 Enterprise E3, E4 (Nutzer-AL)</w:t>
      </w:r>
      <w:r w:rsidRPr="005E36DC">
        <w:rPr>
          <w:rFonts w:cs="Tahoma"/>
        </w:rPr>
        <w:tab/>
      </w:r>
      <w:r w:rsidRPr="005E36DC">
        <w:rPr>
          <w:rFonts w:cs="Tahoma"/>
        </w:rPr>
        <w:fldChar w:fldCharType="begin"/>
      </w:r>
      <w:r w:rsidRPr="005E36DC">
        <w:rPr>
          <w:rFonts w:cs="Tahoma"/>
        </w:rPr>
        <w:instrText xml:space="preserve"> PAGEREF _Toc363998613 \h </w:instrText>
      </w:r>
      <w:r w:rsidRPr="005E36DC">
        <w:rPr>
          <w:rFonts w:cs="Tahoma"/>
        </w:rPr>
      </w:r>
      <w:r w:rsidRPr="005E36DC">
        <w:rPr>
          <w:rFonts w:cs="Tahoma"/>
        </w:rPr>
        <w:fldChar w:fldCharType="separate"/>
      </w:r>
      <w:r w:rsidR="00DC4771">
        <w:rPr>
          <w:rFonts w:cs="Tahoma"/>
        </w:rPr>
        <w:t>17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Office 365 Enterprise E3 (Nutzer-AL)</w:t>
      </w:r>
      <w:r w:rsidRPr="005E36DC">
        <w:rPr>
          <w:rFonts w:cs="Tahoma"/>
        </w:rPr>
        <w:tab/>
      </w:r>
      <w:r w:rsidRPr="005E36DC">
        <w:rPr>
          <w:rFonts w:cs="Tahoma"/>
        </w:rPr>
        <w:fldChar w:fldCharType="begin"/>
      </w:r>
      <w:r w:rsidRPr="005E36DC">
        <w:rPr>
          <w:rFonts w:cs="Tahoma"/>
        </w:rPr>
        <w:instrText xml:space="preserve"> PAGEREF _Toc363998614 \h </w:instrText>
      </w:r>
      <w:r w:rsidRPr="005E36DC">
        <w:rPr>
          <w:rFonts w:cs="Tahoma"/>
        </w:rPr>
      </w:r>
      <w:r w:rsidRPr="005E36DC">
        <w:rPr>
          <w:rFonts w:cs="Tahoma"/>
        </w:rPr>
        <w:fldChar w:fldCharType="separate"/>
      </w:r>
      <w:r w:rsidR="00DC4771">
        <w:rPr>
          <w:rFonts w:cs="Tahoma"/>
        </w:rPr>
        <w:t>17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Office 365 Enterprise E4 (Nutzer-AL)</w:t>
      </w:r>
      <w:r w:rsidRPr="005E36DC">
        <w:rPr>
          <w:rFonts w:cs="Tahoma"/>
        </w:rPr>
        <w:tab/>
      </w:r>
      <w:r w:rsidRPr="005E36DC">
        <w:rPr>
          <w:rFonts w:cs="Tahoma"/>
        </w:rPr>
        <w:fldChar w:fldCharType="begin"/>
      </w:r>
      <w:r w:rsidRPr="005E36DC">
        <w:rPr>
          <w:rFonts w:cs="Tahoma"/>
        </w:rPr>
        <w:instrText xml:space="preserve"> PAGEREF _Toc363998615 \h </w:instrText>
      </w:r>
      <w:r w:rsidRPr="005E36DC">
        <w:rPr>
          <w:rFonts w:cs="Tahoma"/>
        </w:rPr>
      </w:r>
      <w:r w:rsidRPr="005E36DC">
        <w:rPr>
          <w:rFonts w:cs="Tahoma"/>
        </w:rPr>
        <w:fldChar w:fldCharType="separate"/>
      </w:r>
      <w:r w:rsidR="00DC4771">
        <w:rPr>
          <w:rFonts w:cs="Tahoma"/>
        </w:rPr>
        <w:t>17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Add-On für Office 365 Government G3, G4 (Nutzer-AL)</w:t>
      </w:r>
      <w:r w:rsidRPr="005E36DC">
        <w:rPr>
          <w:rFonts w:cs="Tahoma"/>
        </w:rPr>
        <w:tab/>
      </w:r>
      <w:r w:rsidRPr="005E36DC">
        <w:rPr>
          <w:rFonts w:cs="Tahoma"/>
        </w:rPr>
        <w:fldChar w:fldCharType="begin"/>
      </w:r>
      <w:r w:rsidRPr="005E36DC">
        <w:rPr>
          <w:rFonts w:cs="Tahoma"/>
        </w:rPr>
        <w:instrText xml:space="preserve"> PAGEREF _Toc363998616 \h </w:instrText>
      </w:r>
      <w:r w:rsidRPr="005E36DC">
        <w:rPr>
          <w:rFonts w:cs="Tahoma"/>
        </w:rPr>
      </w:r>
      <w:r w:rsidRPr="005E36DC">
        <w:rPr>
          <w:rFonts w:cs="Tahoma"/>
        </w:rPr>
        <w:fldChar w:fldCharType="separate"/>
      </w:r>
      <w:r w:rsidR="00DC4771">
        <w:rPr>
          <w:rFonts w:cs="Tahoma"/>
        </w:rPr>
        <w:t>17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Office 365 Government G3 – G4</w:t>
      </w:r>
      <w:r w:rsidR="0069040B">
        <w:rPr>
          <w:rFonts w:cs="Tahoma"/>
        </w:rPr>
        <w:t xml:space="preserve"> </w:t>
      </w:r>
      <w:r w:rsidRPr="005E36DC">
        <w:rPr>
          <w:rFonts w:cs="Tahoma"/>
        </w:rPr>
        <w:t>(Nutzer-AL)</w:t>
      </w:r>
      <w:r w:rsidRPr="005E36DC">
        <w:rPr>
          <w:rFonts w:cs="Tahoma"/>
        </w:rPr>
        <w:tab/>
      </w:r>
      <w:r w:rsidRPr="005E36DC">
        <w:rPr>
          <w:rFonts w:cs="Tahoma"/>
        </w:rPr>
        <w:fldChar w:fldCharType="begin"/>
      </w:r>
      <w:r w:rsidRPr="005E36DC">
        <w:rPr>
          <w:rFonts w:cs="Tahoma"/>
        </w:rPr>
        <w:instrText xml:space="preserve"> PAGEREF _Toc363998617 \h </w:instrText>
      </w:r>
      <w:r w:rsidRPr="005E36DC">
        <w:rPr>
          <w:rFonts w:cs="Tahoma"/>
        </w:rPr>
      </w:r>
      <w:r w:rsidRPr="005E36DC">
        <w:rPr>
          <w:rFonts w:cs="Tahoma"/>
        </w:rPr>
        <w:fldChar w:fldCharType="separate"/>
      </w:r>
      <w:r w:rsidR="00DC4771">
        <w:rPr>
          <w:rFonts w:cs="Tahoma"/>
        </w:rPr>
        <w:t>17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Kommerzielle Nutzungsrechte für Office Home &amp; Student 2013 RT</w:t>
      </w:r>
      <w:r w:rsidRPr="005E36DC">
        <w:rPr>
          <w:rFonts w:cs="Tahoma"/>
          <w:lang w:val="de-DE"/>
        </w:rPr>
        <w:tab/>
      </w:r>
      <w:r w:rsidRPr="005E36DC">
        <w:rPr>
          <w:rFonts w:cs="Tahoma"/>
        </w:rPr>
        <w:fldChar w:fldCharType="begin"/>
      </w:r>
      <w:r w:rsidRPr="005E36DC">
        <w:rPr>
          <w:rFonts w:cs="Tahoma"/>
          <w:lang w:val="de-DE"/>
        </w:rPr>
        <w:instrText xml:space="preserve"> PAGEREF _Toc363998618 \h </w:instrText>
      </w:r>
      <w:r w:rsidRPr="005E36DC">
        <w:rPr>
          <w:rFonts w:cs="Tahoma"/>
        </w:rPr>
      </w:r>
      <w:r w:rsidRPr="005E36DC">
        <w:rPr>
          <w:rFonts w:cs="Tahoma"/>
        </w:rPr>
        <w:fldChar w:fldCharType="separate"/>
      </w:r>
      <w:r w:rsidR="00DC4771">
        <w:rPr>
          <w:rFonts w:cs="Tahoma"/>
          <w:lang w:val="de-DE"/>
        </w:rPr>
        <w:t>17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Office für Mac Standard 2011</w:t>
      </w:r>
      <w:r w:rsidRPr="005E36DC">
        <w:rPr>
          <w:rFonts w:cs="Tahoma"/>
          <w:lang w:val="de-DE"/>
        </w:rPr>
        <w:tab/>
      </w:r>
      <w:r w:rsidRPr="005E36DC">
        <w:rPr>
          <w:rFonts w:cs="Tahoma"/>
        </w:rPr>
        <w:fldChar w:fldCharType="begin"/>
      </w:r>
      <w:r w:rsidRPr="005E36DC">
        <w:rPr>
          <w:rFonts w:cs="Tahoma"/>
          <w:lang w:val="de-DE"/>
        </w:rPr>
        <w:instrText xml:space="preserve"> PAGEREF _Toc363998619 \h </w:instrText>
      </w:r>
      <w:r w:rsidRPr="005E36DC">
        <w:rPr>
          <w:rFonts w:cs="Tahoma"/>
        </w:rPr>
      </w:r>
      <w:r w:rsidRPr="005E36DC">
        <w:rPr>
          <w:rFonts w:cs="Tahoma"/>
        </w:rPr>
        <w:fldChar w:fldCharType="separate"/>
      </w:r>
      <w:r w:rsidR="00DC4771">
        <w:rPr>
          <w:rFonts w:cs="Tahoma"/>
          <w:lang w:val="de-DE"/>
        </w:rPr>
        <w:t>17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Office Multi-Language Pack 2013</w:t>
      </w:r>
      <w:r w:rsidRPr="005E36DC">
        <w:rPr>
          <w:rFonts w:cs="Tahoma"/>
          <w:lang w:val="de-DE"/>
        </w:rPr>
        <w:tab/>
      </w:r>
      <w:r w:rsidRPr="005E36DC">
        <w:rPr>
          <w:rFonts w:cs="Tahoma"/>
        </w:rPr>
        <w:fldChar w:fldCharType="begin"/>
      </w:r>
      <w:r w:rsidRPr="005E36DC">
        <w:rPr>
          <w:rFonts w:cs="Tahoma"/>
          <w:lang w:val="de-DE"/>
        </w:rPr>
        <w:instrText xml:space="preserve"> PAGEREF _Toc363998620 \h </w:instrText>
      </w:r>
      <w:r w:rsidRPr="005E36DC">
        <w:rPr>
          <w:rFonts w:cs="Tahoma"/>
        </w:rPr>
      </w:r>
      <w:r w:rsidRPr="005E36DC">
        <w:rPr>
          <w:rFonts w:cs="Tahoma"/>
        </w:rPr>
        <w:fldChar w:fldCharType="separate"/>
      </w:r>
      <w:r w:rsidR="00DC4771">
        <w:rPr>
          <w:rFonts w:cs="Tahoma"/>
          <w:lang w:val="de-DE"/>
        </w:rPr>
        <w:t>17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Office Professional Plus 2013</w:t>
      </w:r>
      <w:r w:rsidRPr="005E36DC">
        <w:rPr>
          <w:rFonts w:cs="Tahoma"/>
          <w:lang w:val="de-DE"/>
        </w:rPr>
        <w:tab/>
      </w:r>
      <w:r w:rsidRPr="005E36DC">
        <w:rPr>
          <w:rFonts w:cs="Tahoma"/>
        </w:rPr>
        <w:fldChar w:fldCharType="begin"/>
      </w:r>
      <w:r w:rsidRPr="005E36DC">
        <w:rPr>
          <w:rFonts w:cs="Tahoma"/>
          <w:lang w:val="de-DE"/>
        </w:rPr>
        <w:instrText xml:space="preserve"> PAGEREF _Toc363998621 \h </w:instrText>
      </w:r>
      <w:r w:rsidRPr="005E36DC">
        <w:rPr>
          <w:rFonts w:cs="Tahoma"/>
        </w:rPr>
      </w:r>
      <w:r w:rsidRPr="005E36DC">
        <w:rPr>
          <w:rFonts w:cs="Tahoma"/>
        </w:rPr>
        <w:fldChar w:fldCharType="separate"/>
      </w:r>
      <w:r w:rsidR="00DC4771">
        <w:rPr>
          <w:rFonts w:cs="Tahoma"/>
          <w:lang w:val="de-DE"/>
        </w:rPr>
        <w:t>17</w:t>
      </w:r>
      <w:r w:rsidRPr="005E36DC">
        <w:rPr>
          <w:rFonts w:cs="Tahoma"/>
        </w:rPr>
        <w:fldChar w:fldCharType="end"/>
      </w:r>
    </w:p>
    <w:p w:rsidR="005E36DC" w:rsidRPr="00AC6E9B" w:rsidRDefault="005E36DC" w:rsidP="00A56539">
      <w:pPr>
        <w:pStyle w:val="TOC3"/>
        <w:rPr>
          <w:rFonts w:eastAsiaTheme="minorEastAsia"/>
          <w:sz w:val="22"/>
          <w:szCs w:val="22"/>
          <w:lang w:val="de-DE" w:eastAsia="zh-CN"/>
        </w:rPr>
      </w:pPr>
      <w:r w:rsidRPr="00AC6E9B">
        <w:rPr>
          <w:lang w:val="de-DE"/>
        </w:rPr>
        <w:t>Office Standard 2013</w:t>
      </w:r>
      <w:r w:rsidRPr="00AC6E9B">
        <w:rPr>
          <w:lang w:val="de-DE"/>
        </w:rPr>
        <w:tab/>
      </w:r>
      <w:r w:rsidRPr="005E36DC">
        <w:fldChar w:fldCharType="begin"/>
      </w:r>
      <w:r w:rsidRPr="00AC6E9B">
        <w:rPr>
          <w:lang w:val="de-DE"/>
        </w:rPr>
        <w:instrText xml:space="preserve"> PAGEREF _Toc363998622 \h </w:instrText>
      </w:r>
      <w:r w:rsidRPr="005E36DC">
        <w:fldChar w:fldCharType="separate"/>
      </w:r>
      <w:r w:rsidR="00DC4771">
        <w:rPr>
          <w:lang w:val="de-DE"/>
        </w:rPr>
        <w:t>17</w:t>
      </w:r>
      <w:r w:rsidRPr="005E36DC">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Office 365 ProPlus (Nutzer-AL)</w:t>
      </w:r>
      <w:r w:rsidRPr="005E36DC">
        <w:rPr>
          <w:rFonts w:cs="Tahoma"/>
          <w:lang w:val="de-DE"/>
        </w:rPr>
        <w:tab/>
      </w:r>
      <w:r w:rsidRPr="005E36DC">
        <w:rPr>
          <w:rFonts w:cs="Tahoma"/>
        </w:rPr>
        <w:fldChar w:fldCharType="begin"/>
      </w:r>
      <w:r w:rsidRPr="005E36DC">
        <w:rPr>
          <w:rFonts w:cs="Tahoma"/>
          <w:lang w:val="de-DE"/>
        </w:rPr>
        <w:instrText xml:space="preserve"> PAGEREF _Toc363998623 \h </w:instrText>
      </w:r>
      <w:r w:rsidRPr="005E36DC">
        <w:rPr>
          <w:rFonts w:cs="Tahoma"/>
        </w:rPr>
      </w:r>
      <w:r w:rsidRPr="005E36DC">
        <w:rPr>
          <w:rFonts w:cs="Tahoma"/>
        </w:rPr>
        <w:fldChar w:fldCharType="separate"/>
      </w:r>
      <w:r w:rsidR="00DC4771">
        <w:rPr>
          <w:rFonts w:cs="Tahoma"/>
          <w:lang w:val="de-DE"/>
        </w:rPr>
        <w:t>17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Office 365 ProPlus SA-Übergang</w:t>
      </w:r>
      <w:r w:rsidR="0069040B">
        <w:rPr>
          <w:rFonts w:cs="Tahoma"/>
          <w:lang w:val="de-DE"/>
        </w:rPr>
        <w:t xml:space="preserve"> </w:t>
      </w:r>
      <w:r w:rsidRPr="005E36DC">
        <w:rPr>
          <w:rFonts w:cs="Tahoma"/>
          <w:lang w:val="de-DE"/>
        </w:rPr>
        <w:t>(Nutzer-AL)</w:t>
      </w:r>
      <w:r w:rsidRPr="005E36DC">
        <w:rPr>
          <w:rFonts w:cs="Tahoma"/>
          <w:lang w:val="de-DE"/>
        </w:rPr>
        <w:tab/>
      </w:r>
      <w:r w:rsidRPr="005E36DC">
        <w:rPr>
          <w:rFonts w:cs="Tahoma"/>
        </w:rPr>
        <w:fldChar w:fldCharType="begin"/>
      </w:r>
      <w:r w:rsidRPr="005E36DC">
        <w:rPr>
          <w:rFonts w:cs="Tahoma"/>
          <w:lang w:val="de-DE"/>
        </w:rPr>
        <w:instrText xml:space="preserve"> PAGEREF _Toc363998624 \h </w:instrText>
      </w:r>
      <w:r w:rsidRPr="005E36DC">
        <w:rPr>
          <w:rFonts w:cs="Tahoma"/>
        </w:rPr>
      </w:r>
      <w:r w:rsidRPr="005E36DC">
        <w:rPr>
          <w:rFonts w:cs="Tahoma"/>
        </w:rPr>
        <w:fldChar w:fldCharType="separate"/>
      </w:r>
      <w:r w:rsidR="00DC4771">
        <w:rPr>
          <w:rFonts w:cs="Tahoma"/>
          <w:lang w:val="de-DE"/>
        </w:rPr>
        <w:t>18</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Office Professional Plus-Abonnement A(Nutzer-AL)</w:t>
      </w:r>
      <w:r w:rsidRPr="005E36DC">
        <w:rPr>
          <w:rFonts w:cs="Tahoma"/>
          <w:lang w:val="fr-FR"/>
        </w:rPr>
        <w:tab/>
      </w:r>
      <w:r w:rsidRPr="005E36DC">
        <w:rPr>
          <w:rFonts w:cs="Tahoma"/>
        </w:rPr>
        <w:fldChar w:fldCharType="begin"/>
      </w:r>
      <w:r w:rsidRPr="005E36DC">
        <w:rPr>
          <w:rFonts w:cs="Tahoma"/>
          <w:lang w:val="fr-FR"/>
        </w:rPr>
        <w:instrText xml:space="preserve"> PAGEREF _Toc363998625 \h </w:instrText>
      </w:r>
      <w:r w:rsidRPr="005E36DC">
        <w:rPr>
          <w:rFonts w:cs="Tahoma"/>
        </w:rPr>
      </w:r>
      <w:r w:rsidRPr="005E36DC">
        <w:rPr>
          <w:rFonts w:cs="Tahoma"/>
        </w:rPr>
        <w:fldChar w:fldCharType="separate"/>
      </w:r>
      <w:r w:rsidR="00DC4771">
        <w:rPr>
          <w:rFonts w:cs="Tahoma"/>
          <w:lang w:val="fr-FR"/>
        </w:rPr>
        <w:t>18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OneNote</w:t>
      </w:r>
      <w:r w:rsidR="0069040B" w:rsidRPr="0069040B">
        <w:rPr>
          <w:rFonts w:cs="Tahoma"/>
          <w:vertAlign w:val="superscript"/>
        </w:rPr>
        <w:t>®</w:t>
      </w:r>
      <w:r w:rsidRPr="005E36DC">
        <w:rPr>
          <w:rFonts w:cs="Tahoma"/>
        </w:rPr>
        <w:t xml:space="preserve"> 2013</w:t>
      </w:r>
      <w:r w:rsidRPr="005E36DC">
        <w:rPr>
          <w:rFonts w:cs="Tahoma"/>
        </w:rPr>
        <w:tab/>
      </w:r>
      <w:r w:rsidRPr="005E36DC">
        <w:rPr>
          <w:rFonts w:cs="Tahoma"/>
        </w:rPr>
        <w:fldChar w:fldCharType="begin"/>
      </w:r>
      <w:r w:rsidRPr="005E36DC">
        <w:rPr>
          <w:rFonts w:cs="Tahoma"/>
        </w:rPr>
        <w:instrText xml:space="preserve"> PAGEREF _Toc363998626 \h </w:instrText>
      </w:r>
      <w:r w:rsidRPr="005E36DC">
        <w:rPr>
          <w:rFonts w:cs="Tahoma"/>
        </w:rPr>
      </w:r>
      <w:r w:rsidRPr="005E36DC">
        <w:rPr>
          <w:rFonts w:cs="Tahoma"/>
        </w:rPr>
        <w:fldChar w:fldCharType="separate"/>
      </w:r>
      <w:r w:rsidR="00DC4771">
        <w:rPr>
          <w:rFonts w:cs="Tahoma"/>
        </w:rPr>
        <w:t>18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Outlook</w:t>
      </w:r>
      <w:r w:rsidR="0069040B" w:rsidRPr="0069040B">
        <w:rPr>
          <w:rFonts w:cs="Tahoma"/>
          <w:vertAlign w:val="superscript"/>
        </w:rPr>
        <w:t>®</w:t>
      </w:r>
      <w:r w:rsidRPr="005E36DC">
        <w:rPr>
          <w:rFonts w:cs="Tahoma"/>
        </w:rPr>
        <w:t xml:space="preserve"> 2013</w:t>
      </w:r>
      <w:r w:rsidRPr="005E36DC">
        <w:rPr>
          <w:rFonts w:cs="Tahoma"/>
        </w:rPr>
        <w:tab/>
      </w:r>
      <w:r w:rsidRPr="005E36DC">
        <w:rPr>
          <w:rFonts w:cs="Tahoma"/>
        </w:rPr>
        <w:fldChar w:fldCharType="begin"/>
      </w:r>
      <w:r w:rsidRPr="005E36DC">
        <w:rPr>
          <w:rFonts w:cs="Tahoma"/>
        </w:rPr>
        <w:instrText xml:space="preserve"> PAGEREF _Toc363998627 \h </w:instrText>
      </w:r>
      <w:r w:rsidRPr="005E36DC">
        <w:rPr>
          <w:rFonts w:cs="Tahoma"/>
        </w:rPr>
      </w:r>
      <w:r w:rsidRPr="005E36DC">
        <w:rPr>
          <w:rFonts w:cs="Tahoma"/>
        </w:rPr>
        <w:fldChar w:fldCharType="separate"/>
      </w:r>
      <w:r w:rsidR="00DC4771">
        <w:rPr>
          <w:rFonts w:cs="Tahoma"/>
        </w:rPr>
        <w:t>18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Outlook für Mac 2011</w:t>
      </w:r>
      <w:r w:rsidRPr="005E36DC">
        <w:rPr>
          <w:rFonts w:cs="Tahoma"/>
        </w:rPr>
        <w:tab/>
      </w:r>
      <w:r w:rsidRPr="005E36DC">
        <w:rPr>
          <w:rFonts w:cs="Tahoma"/>
        </w:rPr>
        <w:fldChar w:fldCharType="begin"/>
      </w:r>
      <w:r w:rsidRPr="005E36DC">
        <w:rPr>
          <w:rFonts w:cs="Tahoma"/>
        </w:rPr>
        <w:instrText xml:space="preserve"> PAGEREF _Toc363998628 \h </w:instrText>
      </w:r>
      <w:r w:rsidRPr="005E36DC">
        <w:rPr>
          <w:rFonts w:cs="Tahoma"/>
        </w:rPr>
      </w:r>
      <w:r w:rsidRPr="005E36DC">
        <w:rPr>
          <w:rFonts w:cs="Tahoma"/>
        </w:rPr>
        <w:fldChar w:fldCharType="separate"/>
      </w:r>
      <w:r w:rsidR="00DC4771">
        <w:rPr>
          <w:rFonts w:cs="Tahoma"/>
        </w:rPr>
        <w:t>18</w:t>
      </w:r>
      <w:r w:rsidRPr="005E36DC">
        <w:rPr>
          <w:rFonts w:cs="Tahoma"/>
        </w:rPr>
        <w:fldChar w:fldCharType="end"/>
      </w:r>
    </w:p>
    <w:p w:rsidR="005E36DC" w:rsidRPr="00ED50C8" w:rsidRDefault="005E36DC" w:rsidP="00A56539">
      <w:pPr>
        <w:pStyle w:val="TOC3"/>
        <w:rPr>
          <w:rFonts w:eastAsiaTheme="minorEastAsia"/>
          <w:sz w:val="22"/>
          <w:szCs w:val="22"/>
          <w:lang w:eastAsia="zh-CN"/>
        </w:rPr>
      </w:pPr>
      <w:r w:rsidRPr="00ED50C8">
        <w:t>PowerPoint 2013</w:t>
      </w:r>
      <w:r w:rsidRPr="00ED50C8">
        <w:tab/>
      </w:r>
      <w:r w:rsidRPr="005E36DC">
        <w:fldChar w:fldCharType="begin"/>
      </w:r>
      <w:r w:rsidRPr="00ED50C8">
        <w:instrText xml:space="preserve"> PAGEREF _Toc363998629 \h </w:instrText>
      </w:r>
      <w:r w:rsidRPr="005E36DC">
        <w:fldChar w:fldCharType="separate"/>
      </w:r>
      <w:r w:rsidR="00DC4771">
        <w:t>18</w:t>
      </w:r>
      <w:r w:rsidRPr="005E36DC">
        <w:fldChar w:fldCharType="end"/>
      </w:r>
    </w:p>
    <w:p w:rsidR="005E36DC" w:rsidRPr="00ED50C8" w:rsidRDefault="005E36DC" w:rsidP="00A56539">
      <w:pPr>
        <w:pStyle w:val="TOC3"/>
        <w:rPr>
          <w:rFonts w:eastAsiaTheme="minorEastAsia"/>
          <w:sz w:val="22"/>
          <w:szCs w:val="22"/>
          <w:lang w:eastAsia="zh-CN"/>
        </w:rPr>
      </w:pPr>
      <w:r w:rsidRPr="00ED50C8">
        <w:t>PowerPoint für Mac 2011</w:t>
      </w:r>
      <w:r w:rsidRPr="00ED50C8">
        <w:tab/>
      </w:r>
      <w:r w:rsidRPr="005E36DC">
        <w:fldChar w:fldCharType="begin"/>
      </w:r>
      <w:r w:rsidRPr="00ED50C8">
        <w:instrText xml:space="preserve"> PAGEREF _Toc363998630 \h </w:instrText>
      </w:r>
      <w:r w:rsidRPr="005E36DC">
        <w:fldChar w:fldCharType="separate"/>
      </w:r>
      <w:r w:rsidR="00DC4771">
        <w:t>18</w:t>
      </w:r>
      <w:r w:rsidRPr="005E36DC">
        <w:fldChar w:fldCharType="end"/>
      </w:r>
    </w:p>
    <w:p w:rsidR="005E36DC" w:rsidRPr="00ED50C8" w:rsidRDefault="005E36DC" w:rsidP="00A56539">
      <w:pPr>
        <w:pStyle w:val="TOC3"/>
        <w:rPr>
          <w:rFonts w:eastAsiaTheme="minorEastAsia"/>
          <w:sz w:val="22"/>
          <w:szCs w:val="22"/>
          <w:lang w:eastAsia="zh-CN"/>
        </w:rPr>
      </w:pPr>
      <w:r w:rsidRPr="00ED50C8">
        <w:t>Project Standard 2013</w:t>
      </w:r>
      <w:r w:rsidRPr="00ED50C8">
        <w:tab/>
      </w:r>
      <w:r w:rsidRPr="005E36DC">
        <w:fldChar w:fldCharType="begin"/>
      </w:r>
      <w:r w:rsidRPr="00ED50C8">
        <w:instrText xml:space="preserve"> PAGEREF _Toc363998631 \h </w:instrText>
      </w:r>
      <w:r w:rsidRPr="005E36DC">
        <w:fldChar w:fldCharType="separate"/>
      </w:r>
      <w:r w:rsidR="00DC4771">
        <w:t>18</w:t>
      </w:r>
      <w:r w:rsidRPr="005E36DC">
        <w:fldChar w:fldCharType="end"/>
      </w:r>
    </w:p>
    <w:p w:rsidR="005E36DC" w:rsidRPr="00ED50C8" w:rsidRDefault="005E36DC" w:rsidP="00A56539">
      <w:pPr>
        <w:pStyle w:val="TOC3"/>
        <w:rPr>
          <w:rFonts w:eastAsiaTheme="minorEastAsia"/>
          <w:sz w:val="22"/>
          <w:szCs w:val="22"/>
          <w:lang w:eastAsia="zh-CN"/>
        </w:rPr>
      </w:pPr>
      <w:r w:rsidRPr="00ED50C8">
        <w:t>Project Professional 2013</w:t>
      </w:r>
      <w:r w:rsidRPr="00ED50C8">
        <w:tab/>
      </w:r>
      <w:r w:rsidRPr="005E36DC">
        <w:fldChar w:fldCharType="begin"/>
      </w:r>
      <w:r w:rsidRPr="00ED50C8">
        <w:instrText xml:space="preserve"> PAGEREF _Toc363998632 \h </w:instrText>
      </w:r>
      <w:r w:rsidRPr="005E36DC">
        <w:fldChar w:fldCharType="separate"/>
      </w:r>
      <w:r w:rsidR="00DC4771">
        <w:t>18</w:t>
      </w:r>
      <w:r w:rsidRPr="005E36DC">
        <w:fldChar w:fldCharType="end"/>
      </w:r>
    </w:p>
    <w:p w:rsidR="005E36DC" w:rsidRPr="00ED50C8" w:rsidRDefault="005E36DC" w:rsidP="00A56539">
      <w:pPr>
        <w:pStyle w:val="TOC3"/>
        <w:rPr>
          <w:rFonts w:eastAsiaTheme="minorEastAsia"/>
          <w:sz w:val="22"/>
          <w:szCs w:val="22"/>
          <w:lang w:eastAsia="zh-CN"/>
        </w:rPr>
      </w:pPr>
      <w:r w:rsidRPr="00ED50C8">
        <w:t>Project Pro für Office 365</w:t>
      </w:r>
      <w:r w:rsidRPr="00ED50C8">
        <w:tab/>
      </w:r>
      <w:r w:rsidRPr="005E36DC">
        <w:fldChar w:fldCharType="begin"/>
      </w:r>
      <w:r w:rsidRPr="00ED50C8">
        <w:instrText xml:space="preserve"> PAGEREF _Toc363998633 \h </w:instrText>
      </w:r>
      <w:r w:rsidRPr="005E36DC">
        <w:fldChar w:fldCharType="separate"/>
      </w:r>
      <w:r w:rsidR="00DC4771">
        <w:t>18</w:t>
      </w:r>
      <w:r w:rsidRPr="005E36DC">
        <w:fldChar w:fldCharType="end"/>
      </w:r>
    </w:p>
    <w:p w:rsidR="005E36DC" w:rsidRPr="00ED50C8" w:rsidRDefault="005E36DC" w:rsidP="00A56539">
      <w:pPr>
        <w:pStyle w:val="TOC3"/>
        <w:rPr>
          <w:rFonts w:eastAsiaTheme="minorEastAsia"/>
          <w:sz w:val="22"/>
          <w:szCs w:val="22"/>
          <w:lang w:eastAsia="zh-CN"/>
        </w:rPr>
      </w:pPr>
      <w:r w:rsidRPr="00ED50C8">
        <w:t>Project Pro für Office 365 A</w:t>
      </w:r>
      <w:r w:rsidRPr="00ED50C8">
        <w:tab/>
      </w:r>
      <w:r w:rsidRPr="005E36DC">
        <w:fldChar w:fldCharType="begin"/>
      </w:r>
      <w:r w:rsidRPr="00ED50C8">
        <w:instrText xml:space="preserve"> PAGEREF _Toc363998634 \h </w:instrText>
      </w:r>
      <w:r w:rsidRPr="005E36DC">
        <w:fldChar w:fldCharType="separate"/>
      </w:r>
      <w:r w:rsidR="00DC4771">
        <w:t>18</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lang w:val="de-DE"/>
        </w:rPr>
        <w:t>Publisher 2013</w:t>
      </w:r>
      <w:r w:rsidRPr="00AC6E9B">
        <w:rPr>
          <w:lang w:val="de-DE"/>
        </w:rPr>
        <w:tab/>
      </w:r>
      <w:r w:rsidRPr="005E36DC">
        <w:fldChar w:fldCharType="begin"/>
      </w:r>
      <w:r w:rsidRPr="00AC6E9B">
        <w:rPr>
          <w:lang w:val="de-DE"/>
        </w:rPr>
        <w:instrText xml:space="preserve"> PAGEREF _Toc363998635 \h </w:instrText>
      </w:r>
      <w:r w:rsidRPr="005E36DC">
        <w:fldChar w:fldCharType="separate"/>
      </w:r>
      <w:r w:rsidR="00DC4771">
        <w:rPr>
          <w:lang w:val="de-DE"/>
        </w:rPr>
        <w:t>18</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lang w:val="de-DE"/>
        </w:rPr>
        <w:t>Vermietungsrechte für Office Standard</w:t>
      </w:r>
      <w:r w:rsidRPr="00AC6E9B">
        <w:rPr>
          <w:lang w:val="de-DE"/>
        </w:rPr>
        <w:tab/>
      </w:r>
      <w:r w:rsidRPr="005E36DC">
        <w:fldChar w:fldCharType="begin"/>
      </w:r>
      <w:r w:rsidRPr="00AC6E9B">
        <w:rPr>
          <w:lang w:val="de-DE"/>
        </w:rPr>
        <w:instrText xml:space="preserve"> PAGEREF _Toc363998636 \h </w:instrText>
      </w:r>
      <w:r w:rsidRPr="005E36DC">
        <w:fldChar w:fldCharType="separate"/>
      </w:r>
      <w:r w:rsidR="00DC4771">
        <w:rPr>
          <w:lang w:val="de-DE"/>
        </w:rPr>
        <w:t>18</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lang w:val="de-DE"/>
        </w:rPr>
        <w:t>Vermietungsrechte für Office ProfessionalPlus</w:t>
      </w:r>
      <w:r w:rsidRPr="00AC6E9B">
        <w:rPr>
          <w:lang w:val="de-DE"/>
        </w:rPr>
        <w:tab/>
      </w:r>
      <w:r w:rsidRPr="005E36DC">
        <w:fldChar w:fldCharType="begin"/>
      </w:r>
      <w:r w:rsidRPr="00AC6E9B">
        <w:rPr>
          <w:lang w:val="de-DE"/>
        </w:rPr>
        <w:instrText xml:space="preserve"> PAGEREF _Toc363998637 \h </w:instrText>
      </w:r>
      <w:r w:rsidRPr="005E36DC">
        <w:fldChar w:fldCharType="separate"/>
      </w:r>
      <w:r w:rsidR="00DC4771">
        <w:rPr>
          <w:lang w:val="de-DE"/>
        </w:rPr>
        <w:t>18</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lang w:val="de-DE"/>
        </w:rPr>
        <w:t>Streets and Trips 2013</w:t>
      </w:r>
      <w:r w:rsidRPr="00AC6E9B">
        <w:rPr>
          <w:lang w:val="de-DE"/>
        </w:rPr>
        <w:tab/>
      </w:r>
      <w:r w:rsidRPr="005E36DC">
        <w:fldChar w:fldCharType="begin"/>
      </w:r>
      <w:r w:rsidRPr="00AC6E9B">
        <w:rPr>
          <w:lang w:val="de-DE"/>
        </w:rPr>
        <w:instrText xml:space="preserve"> PAGEREF _Toc363998638 \h </w:instrText>
      </w:r>
      <w:r w:rsidRPr="005E36DC">
        <w:fldChar w:fldCharType="separate"/>
      </w:r>
      <w:r w:rsidR="00DC4771">
        <w:rPr>
          <w:lang w:val="de-DE"/>
        </w:rPr>
        <w:t>18</w:t>
      </w:r>
      <w:r w:rsidRPr="005E36DC">
        <w:fldChar w:fldCharType="end"/>
      </w:r>
    </w:p>
    <w:p w:rsidR="005E36DC" w:rsidRPr="00ED50C8" w:rsidRDefault="005E36DC" w:rsidP="00A56539">
      <w:pPr>
        <w:pStyle w:val="TOC3"/>
        <w:rPr>
          <w:rFonts w:eastAsiaTheme="minorEastAsia"/>
          <w:sz w:val="22"/>
          <w:szCs w:val="22"/>
          <w:lang w:val="it-IT" w:eastAsia="zh-CN"/>
        </w:rPr>
      </w:pPr>
      <w:r w:rsidRPr="00ED50C8">
        <w:rPr>
          <w:lang w:val="it-IT"/>
        </w:rPr>
        <w:t>Visio</w:t>
      </w:r>
      <w:r w:rsidR="0069040B" w:rsidRPr="00ED50C8">
        <w:rPr>
          <w:vertAlign w:val="superscript"/>
          <w:lang w:val="it-IT"/>
        </w:rPr>
        <w:t>®</w:t>
      </w:r>
      <w:r w:rsidRPr="00ED50C8">
        <w:rPr>
          <w:lang w:val="it-IT"/>
        </w:rPr>
        <w:t xml:space="preserve"> 2013 Professional</w:t>
      </w:r>
      <w:r w:rsidRPr="00ED50C8">
        <w:rPr>
          <w:lang w:val="it-IT"/>
        </w:rPr>
        <w:tab/>
      </w:r>
      <w:r w:rsidRPr="005E36DC">
        <w:fldChar w:fldCharType="begin"/>
      </w:r>
      <w:r w:rsidRPr="00ED50C8">
        <w:rPr>
          <w:lang w:val="it-IT"/>
        </w:rPr>
        <w:instrText xml:space="preserve"> PAGEREF _Toc363998639 \h </w:instrText>
      </w:r>
      <w:r w:rsidRPr="005E36DC">
        <w:fldChar w:fldCharType="separate"/>
      </w:r>
      <w:r w:rsidR="00DC4771">
        <w:rPr>
          <w:lang w:val="it-IT"/>
        </w:rPr>
        <w:t>18</w:t>
      </w:r>
      <w:r w:rsidRPr="005E36DC">
        <w:fldChar w:fldCharType="end"/>
      </w:r>
    </w:p>
    <w:p w:rsidR="005E36DC" w:rsidRPr="00ED50C8" w:rsidRDefault="005E36DC" w:rsidP="00A56539">
      <w:pPr>
        <w:pStyle w:val="TOC3"/>
        <w:rPr>
          <w:rFonts w:eastAsiaTheme="minorEastAsia"/>
          <w:sz w:val="22"/>
          <w:szCs w:val="22"/>
          <w:lang w:val="it-IT" w:eastAsia="zh-CN"/>
        </w:rPr>
      </w:pPr>
      <w:r w:rsidRPr="00ED50C8">
        <w:rPr>
          <w:lang w:val="it-IT"/>
        </w:rPr>
        <w:t>Visio</w:t>
      </w:r>
      <w:r w:rsidR="0069040B" w:rsidRPr="00ED50C8">
        <w:rPr>
          <w:vertAlign w:val="superscript"/>
          <w:lang w:val="it-IT"/>
        </w:rPr>
        <w:t>®</w:t>
      </w:r>
      <w:r w:rsidRPr="00ED50C8">
        <w:rPr>
          <w:lang w:val="it-IT"/>
        </w:rPr>
        <w:t xml:space="preserve"> 2013 Standard</w:t>
      </w:r>
      <w:r w:rsidRPr="00ED50C8">
        <w:rPr>
          <w:lang w:val="it-IT"/>
        </w:rPr>
        <w:tab/>
      </w:r>
      <w:r w:rsidRPr="005E36DC">
        <w:fldChar w:fldCharType="begin"/>
      </w:r>
      <w:r w:rsidRPr="00ED50C8">
        <w:rPr>
          <w:lang w:val="it-IT"/>
        </w:rPr>
        <w:instrText xml:space="preserve"> PAGEREF _Toc363998640 \h </w:instrText>
      </w:r>
      <w:r w:rsidRPr="005E36DC">
        <w:fldChar w:fldCharType="separate"/>
      </w:r>
      <w:r w:rsidR="00DC4771">
        <w:rPr>
          <w:lang w:val="it-IT"/>
        </w:rPr>
        <w:t>18</w:t>
      </w:r>
      <w:r w:rsidRPr="005E36DC">
        <w:fldChar w:fldCharType="end"/>
      </w:r>
    </w:p>
    <w:p w:rsidR="005E36DC" w:rsidRPr="005E36DC" w:rsidRDefault="005E36DC">
      <w:pPr>
        <w:pStyle w:val="TOC2"/>
        <w:rPr>
          <w:rFonts w:eastAsiaTheme="minorEastAsia" w:cs="Tahoma"/>
          <w:sz w:val="22"/>
          <w:szCs w:val="22"/>
          <w:lang w:val="it-IT" w:eastAsia="zh-CN"/>
        </w:rPr>
      </w:pPr>
      <w:r w:rsidRPr="005E36DC">
        <w:rPr>
          <w:rFonts w:cs="Tahoma"/>
          <w:lang w:val="it-IT"/>
        </w:rPr>
        <w:t>Visio Pro für Office 365</w:t>
      </w:r>
      <w:r w:rsidRPr="005E36DC">
        <w:rPr>
          <w:rFonts w:cs="Tahoma"/>
          <w:lang w:val="it-IT"/>
        </w:rPr>
        <w:tab/>
      </w:r>
      <w:r w:rsidRPr="005E36DC">
        <w:rPr>
          <w:rFonts w:cs="Tahoma"/>
        </w:rPr>
        <w:fldChar w:fldCharType="begin"/>
      </w:r>
      <w:r w:rsidRPr="005E36DC">
        <w:rPr>
          <w:rFonts w:cs="Tahoma"/>
          <w:lang w:val="it-IT"/>
        </w:rPr>
        <w:instrText xml:space="preserve"> PAGEREF _Toc363998641 \h </w:instrText>
      </w:r>
      <w:r w:rsidRPr="005E36DC">
        <w:rPr>
          <w:rFonts w:cs="Tahoma"/>
        </w:rPr>
      </w:r>
      <w:r w:rsidRPr="005E36DC">
        <w:rPr>
          <w:rFonts w:cs="Tahoma"/>
        </w:rPr>
        <w:fldChar w:fldCharType="separate"/>
      </w:r>
      <w:r w:rsidR="00DC4771">
        <w:rPr>
          <w:rFonts w:cs="Tahoma"/>
          <w:lang w:val="it-IT"/>
        </w:rPr>
        <w:t>18</w:t>
      </w:r>
      <w:r w:rsidRPr="005E36DC">
        <w:rPr>
          <w:rFonts w:cs="Tahoma"/>
        </w:rPr>
        <w:fldChar w:fldCharType="end"/>
      </w:r>
    </w:p>
    <w:p w:rsidR="005E36DC" w:rsidRPr="005E36DC" w:rsidRDefault="005E36DC">
      <w:pPr>
        <w:pStyle w:val="TOC2"/>
        <w:rPr>
          <w:rFonts w:eastAsiaTheme="minorEastAsia" w:cs="Tahoma"/>
          <w:sz w:val="22"/>
          <w:szCs w:val="22"/>
          <w:lang w:val="it-IT" w:eastAsia="zh-CN"/>
        </w:rPr>
      </w:pPr>
      <w:r w:rsidRPr="005E36DC">
        <w:rPr>
          <w:rFonts w:cs="Tahoma"/>
          <w:lang w:val="it-IT"/>
        </w:rPr>
        <w:t>Visio Pro für Office 365 A</w:t>
      </w:r>
      <w:r w:rsidRPr="005E36DC">
        <w:rPr>
          <w:rFonts w:cs="Tahoma"/>
          <w:lang w:val="it-IT"/>
        </w:rPr>
        <w:tab/>
      </w:r>
      <w:r w:rsidRPr="005E36DC">
        <w:rPr>
          <w:rFonts w:cs="Tahoma"/>
        </w:rPr>
        <w:fldChar w:fldCharType="begin"/>
      </w:r>
      <w:r w:rsidRPr="005E36DC">
        <w:rPr>
          <w:rFonts w:cs="Tahoma"/>
          <w:lang w:val="it-IT"/>
        </w:rPr>
        <w:instrText xml:space="preserve"> PAGEREF _Toc363998642 \h </w:instrText>
      </w:r>
      <w:r w:rsidRPr="005E36DC">
        <w:rPr>
          <w:rFonts w:cs="Tahoma"/>
        </w:rPr>
      </w:r>
      <w:r w:rsidRPr="005E36DC">
        <w:rPr>
          <w:rFonts w:cs="Tahoma"/>
        </w:rPr>
        <w:fldChar w:fldCharType="separate"/>
      </w:r>
      <w:r w:rsidR="00DC4771">
        <w:rPr>
          <w:rFonts w:cs="Tahoma"/>
          <w:lang w:val="it-IT"/>
        </w:rPr>
        <w:t>18</w:t>
      </w:r>
      <w:r w:rsidRPr="005E36DC">
        <w:rPr>
          <w:rFonts w:cs="Tahoma"/>
        </w:rPr>
        <w:fldChar w:fldCharType="end"/>
      </w:r>
    </w:p>
    <w:p w:rsidR="005E36DC" w:rsidRPr="005E36DC" w:rsidRDefault="005E36DC">
      <w:pPr>
        <w:pStyle w:val="TOC2"/>
        <w:rPr>
          <w:rFonts w:eastAsiaTheme="minorEastAsia" w:cs="Tahoma"/>
          <w:sz w:val="22"/>
          <w:szCs w:val="22"/>
          <w:lang w:val="it-IT" w:eastAsia="zh-CN"/>
        </w:rPr>
      </w:pPr>
      <w:r w:rsidRPr="005E36DC">
        <w:rPr>
          <w:rFonts w:cs="Tahoma"/>
          <w:lang w:val="it-IT"/>
        </w:rPr>
        <w:t>Visual Studio</w:t>
      </w:r>
      <w:r w:rsidR="0069040B" w:rsidRPr="0069040B">
        <w:rPr>
          <w:rFonts w:cs="Tahoma"/>
          <w:vertAlign w:val="superscript"/>
          <w:lang w:val="it-IT"/>
        </w:rPr>
        <w:t>®</w:t>
      </w:r>
      <w:r w:rsidRPr="005E36DC">
        <w:rPr>
          <w:rFonts w:cs="Tahoma"/>
          <w:lang w:val="it-IT"/>
        </w:rPr>
        <w:t xml:space="preserve"> Professional 2012</w:t>
      </w:r>
      <w:r w:rsidRPr="005E36DC">
        <w:rPr>
          <w:rFonts w:cs="Tahoma"/>
          <w:lang w:val="it-IT"/>
        </w:rPr>
        <w:tab/>
      </w:r>
      <w:r w:rsidRPr="005E36DC">
        <w:rPr>
          <w:rFonts w:cs="Tahoma"/>
        </w:rPr>
        <w:fldChar w:fldCharType="begin"/>
      </w:r>
      <w:r w:rsidRPr="005E36DC">
        <w:rPr>
          <w:rFonts w:cs="Tahoma"/>
          <w:lang w:val="it-IT"/>
        </w:rPr>
        <w:instrText xml:space="preserve"> PAGEREF _Toc363998643 \h </w:instrText>
      </w:r>
      <w:r w:rsidRPr="005E36DC">
        <w:rPr>
          <w:rFonts w:cs="Tahoma"/>
        </w:rPr>
      </w:r>
      <w:r w:rsidRPr="005E36DC">
        <w:rPr>
          <w:rFonts w:cs="Tahoma"/>
        </w:rPr>
        <w:fldChar w:fldCharType="separate"/>
      </w:r>
      <w:r w:rsidR="00DC4771">
        <w:rPr>
          <w:rFonts w:cs="Tahoma"/>
          <w:lang w:val="it-IT"/>
        </w:rPr>
        <w:t>18</w:t>
      </w:r>
      <w:r w:rsidRPr="005E36DC">
        <w:rPr>
          <w:rFonts w:cs="Tahoma"/>
        </w:rPr>
        <w:fldChar w:fldCharType="end"/>
      </w:r>
    </w:p>
    <w:p w:rsidR="005E36DC" w:rsidRPr="005E36DC" w:rsidRDefault="005E36DC">
      <w:pPr>
        <w:pStyle w:val="TOC2"/>
        <w:rPr>
          <w:rFonts w:eastAsiaTheme="minorEastAsia" w:cs="Tahoma"/>
          <w:sz w:val="22"/>
          <w:szCs w:val="22"/>
          <w:lang w:val="it-IT" w:eastAsia="zh-CN"/>
        </w:rPr>
      </w:pPr>
      <w:r w:rsidRPr="005E36DC">
        <w:rPr>
          <w:rFonts w:cs="Tahoma"/>
          <w:lang w:val="it-IT"/>
        </w:rPr>
        <w:t>Visual Studio</w:t>
      </w:r>
      <w:r w:rsidR="0069040B" w:rsidRPr="0069040B">
        <w:rPr>
          <w:rFonts w:cs="Tahoma"/>
          <w:vertAlign w:val="superscript"/>
          <w:lang w:val="it-IT"/>
        </w:rPr>
        <w:t>®</w:t>
      </w:r>
      <w:r w:rsidRPr="005E36DC">
        <w:rPr>
          <w:rFonts w:cs="Tahoma"/>
          <w:lang w:val="it-IT"/>
        </w:rPr>
        <w:t xml:space="preserve"> Professional 2012 mit MSDN</w:t>
      </w:r>
      <w:r w:rsidRPr="005E36DC">
        <w:rPr>
          <w:rFonts w:cs="Tahoma"/>
          <w:lang w:val="it-IT"/>
        </w:rPr>
        <w:tab/>
      </w:r>
      <w:r w:rsidRPr="005E36DC">
        <w:rPr>
          <w:rFonts w:cs="Tahoma"/>
        </w:rPr>
        <w:fldChar w:fldCharType="begin"/>
      </w:r>
      <w:r w:rsidRPr="005E36DC">
        <w:rPr>
          <w:rFonts w:cs="Tahoma"/>
          <w:lang w:val="it-IT"/>
        </w:rPr>
        <w:instrText xml:space="preserve"> PAGEREF _Toc363998644 \h </w:instrText>
      </w:r>
      <w:r w:rsidRPr="005E36DC">
        <w:rPr>
          <w:rFonts w:cs="Tahoma"/>
        </w:rPr>
      </w:r>
      <w:r w:rsidRPr="005E36DC">
        <w:rPr>
          <w:rFonts w:cs="Tahoma"/>
        </w:rPr>
        <w:fldChar w:fldCharType="separate"/>
      </w:r>
      <w:r w:rsidR="00DC4771">
        <w:rPr>
          <w:rFonts w:cs="Tahoma"/>
          <w:lang w:val="it-IT"/>
        </w:rPr>
        <w:t>18</w:t>
      </w:r>
      <w:r w:rsidRPr="005E36DC">
        <w:rPr>
          <w:rFonts w:cs="Tahoma"/>
        </w:rPr>
        <w:fldChar w:fldCharType="end"/>
      </w:r>
    </w:p>
    <w:p w:rsidR="005E36DC" w:rsidRPr="005E36DC" w:rsidRDefault="005E36DC">
      <w:pPr>
        <w:pStyle w:val="TOC2"/>
        <w:rPr>
          <w:rFonts w:eastAsiaTheme="minorEastAsia" w:cs="Tahoma"/>
          <w:sz w:val="22"/>
          <w:szCs w:val="22"/>
          <w:lang w:val="it-IT" w:eastAsia="zh-CN"/>
        </w:rPr>
      </w:pPr>
      <w:r w:rsidRPr="005E36DC">
        <w:rPr>
          <w:rFonts w:cs="Tahoma"/>
          <w:lang w:val="it-IT"/>
        </w:rPr>
        <w:t>Visual Studio</w:t>
      </w:r>
      <w:r w:rsidR="0069040B" w:rsidRPr="0069040B">
        <w:rPr>
          <w:rFonts w:cs="Tahoma"/>
          <w:vertAlign w:val="superscript"/>
          <w:lang w:val="it-IT"/>
        </w:rPr>
        <w:t>®</w:t>
      </w:r>
      <w:r w:rsidRPr="005E36DC">
        <w:rPr>
          <w:rFonts w:cs="Tahoma"/>
          <w:lang w:val="it-IT"/>
        </w:rPr>
        <w:t xml:space="preserve"> Premium 2012 mit MSDN</w:t>
      </w:r>
      <w:r w:rsidRPr="005E36DC">
        <w:rPr>
          <w:rFonts w:cs="Tahoma"/>
          <w:lang w:val="it-IT"/>
        </w:rPr>
        <w:tab/>
      </w:r>
      <w:r w:rsidRPr="005E36DC">
        <w:rPr>
          <w:rFonts w:cs="Tahoma"/>
        </w:rPr>
        <w:fldChar w:fldCharType="begin"/>
      </w:r>
      <w:r w:rsidRPr="005E36DC">
        <w:rPr>
          <w:rFonts w:cs="Tahoma"/>
          <w:lang w:val="it-IT"/>
        </w:rPr>
        <w:instrText xml:space="preserve"> PAGEREF _Toc363998645 \h </w:instrText>
      </w:r>
      <w:r w:rsidRPr="005E36DC">
        <w:rPr>
          <w:rFonts w:cs="Tahoma"/>
        </w:rPr>
      </w:r>
      <w:r w:rsidRPr="005E36DC">
        <w:rPr>
          <w:rFonts w:cs="Tahoma"/>
        </w:rPr>
        <w:fldChar w:fldCharType="separate"/>
      </w:r>
      <w:r w:rsidR="00DC4771">
        <w:rPr>
          <w:rFonts w:cs="Tahoma"/>
          <w:lang w:val="it-IT"/>
        </w:rPr>
        <w:t>18</w:t>
      </w:r>
      <w:r w:rsidRPr="005E36DC">
        <w:rPr>
          <w:rFonts w:cs="Tahoma"/>
        </w:rPr>
        <w:fldChar w:fldCharType="end"/>
      </w:r>
    </w:p>
    <w:p w:rsidR="005E36DC" w:rsidRPr="005E36DC" w:rsidRDefault="005E36DC">
      <w:pPr>
        <w:pStyle w:val="TOC2"/>
        <w:rPr>
          <w:rFonts w:eastAsiaTheme="minorEastAsia" w:cs="Tahoma"/>
          <w:sz w:val="22"/>
          <w:szCs w:val="22"/>
          <w:lang w:val="it-IT" w:eastAsia="zh-CN"/>
        </w:rPr>
      </w:pPr>
      <w:r w:rsidRPr="005E36DC">
        <w:rPr>
          <w:rFonts w:cs="Tahoma"/>
          <w:lang w:val="it-IT"/>
        </w:rPr>
        <w:t>Visual Studio</w:t>
      </w:r>
      <w:r w:rsidR="0069040B" w:rsidRPr="0069040B">
        <w:rPr>
          <w:rFonts w:cs="Tahoma"/>
          <w:vertAlign w:val="superscript"/>
          <w:lang w:val="it-IT"/>
        </w:rPr>
        <w:t>®</w:t>
      </w:r>
      <w:r w:rsidRPr="005E36DC">
        <w:rPr>
          <w:rFonts w:cs="Tahoma"/>
          <w:lang w:val="it-IT"/>
        </w:rPr>
        <w:t xml:space="preserve"> Ultimate 2012 mit MSDN</w:t>
      </w:r>
      <w:r w:rsidRPr="005E36DC">
        <w:rPr>
          <w:rFonts w:cs="Tahoma"/>
          <w:lang w:val="it-IT"/>
        </w:rPr>
        <w:tab/>
      </w:r>
      <w:r w:rsidRPr="005E36DC">
        <w:rPr>
          <w:rFonts w:cs="Tahoma"/>
        </w:rPr>
        <w:fldChar w:fldCharType="begin"/>
      </w:r>
      <w:r w:rsidRPr="005E36DC">
        <w:rPr>
          <w:rFonts w:cs="Tahoma"/>
          <w:lang w:val="it-IT"/>
        </w:rPr>
        <w:instrText xml:space="preserve"> PAGEREF _Toc363998646 \h </w:instrText>
      </w:r>
      <w:r w:rsidRPr="005E36DC">
        <w:rPr>
          <w:rFonts w:cs="Tahoma"/>
        </w:rPr>
      </w:r>
      <w:r w:rsidRPr="005E36DC">
        <w:rPr>
          <w:rFonts w:cs="Tahoma"/>
        </w:rPr>
        <w:fldChar w:fldCharType="separate"/>
      </w:r>
      <w:r w:rsidR="00DC4771">
        <w:rPr>
          <w:rFonts w:cs="Tahoma"/>
          <w:lang w:val="it-IT"/>
        </w:rPr>
        <w:t>18</w:t>
      </w:r>
      <w:r w:rsidRPr="005E36DC">
        <w:rPr>
          <w:rFonts w:cs="Tahoma"/>
        </w:rPr>
        <w:fldChar w:fldCharType="end"/>
      </w:r>
    </w:p>
    <w:p w:rsidR="005E36DC" w:rsidRPr="005E36DC" w:rsidRDefault="005E36DC">
      <w:pPr>
        <w:pStyle w:val="TOC2"/>
        <w:rPr>
          <w:rFonts w:eastAsiaTheme="minorEastAsia" w:cs="Tahoma"/>
          <w:sz w:val="22"/>
          <w:szCs w:val="22"/>
          <w:lang w:val="it-IT" w:eastAsia="zh-CN"/>
        </w:rPr>
      </w:pPr>
      <w:r w:rsidRPr="005E36DC">
        <w:rPr>
          <w:rFonts w:cs="Tahoma"/>
          <w:lang w:val="it-IT"/>
        </w:rPr>
        <w:t>Visual Studio</w:t>
      </w:r>
      <w:r w:rsidR="0069040B" w:rsidRPr="0069040B">
        <w:rPr>
          <w:rFonts w:cs="Tahoma"/>
          <w:vertAlign w:val="superscript"/>
          <w:lang w:val="it-IT"/>
        </w:rPr>
        <w:t>®</w:t>
      </w:r>
      <w:r w:rsidRPr="005E36DC">
        <w:rPr>
          <w:rFonts w:cs="Tahoma"/>
          <w:lang w:val="it-IT"/>
        </w:rPr>
        <w:t xml:space="preserve"> Test Professional 2012 mit MSDN</w:t>
      </w:r>
      <w:r w:rsidRPr="005E36DC">
        <w:rPr>
          <w:rFonts w:cs="Tahoma"/>
          <w:lang w:val="it-IT"/>
        </w:rPr>
        <w:tab/>
      </w:r>
      <w:r w:rsidRPr="005E36DC">
        <w:rPr>
          <w:rFonts w:cs="Tahoma"/>
        </w:rPr>
        <w:fldChar w:fldCharType="begin"/>
      </w:r>
      <w:r w:rsidRPr="005E36DC">
        <w:rPr>
          <w:rFonts w:cs="Tahoma"/>
          <w:lang w:val="it-IT"/>
        </w:rPr>
        <w:instrText xml:space="preserve"> PAGEREF _Toc363998647 \h </w:instrText>
      </w:r>
      <w:r w:rsidRPr="005E36DC">
        <w:rPr>
          <w:rFonts w:cs="Tahoma"/>
        </w:rPr>
      </w:r>
      <w:r w:rsidRPr="005E36DC">
        <w:rPr>
          <w:rFonts w:cs="Tahoma"/>
        </w:rPr>
        <w:fldChar w:fldCharType="separate"/>
      </w:r>
      <w:r w:rsidR="00DC4771">
        <w:rPr>
          <w:rFonts w:cs="Tahoma"/>
          <w:lang w:val="it-IT"/>
        </w:rPr>
        <w:t>18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Word 2013</w:t>
      </w:r>
      <w:r w:rsidRPr="005E36DC">
        <w:rPr>
          <w:rFonts w:cs="Tahoma"/>
        </w:rPr>
        <w:tab/>
      </w:r>
      <w:r w:rsidRPr="005E36DC">
        <w:rPr>
          <w:rFonts w:cs="Tahoma"/>
        </w:rPr>
        <w:fldChar w:fldCharType="begin"/>
      </w:r>
      <w:r w:rsidRPr="005E36DC">
        <w:rPr>
          <w:rFonts w:cs="Tahoma"/>
        </w:rPr>
        <w:instrText xml:space="preserve"> PAGEREF _Toc363998648 \h </w:instrText>
      </w:r>
      <w:r w:rsidRPr="005E36DC">
        <w:rPr>
          <w:rFonts w:cs="Tahoma"/>
        </w:rPr>
      </w:r>
      <w:r w:rsidRPr="005E36DC">
        <w:rPr>
          <w:rFonts w:cs="Tahoma"/>
        </w:rPr>
        <w:fldChar w:fldCharType="separate"/>
      </w:r>
      <w:r w:rsidR="00DC4771">
        <w:rPr>
          <w:rFonts w:cs="Tahoma"/>
        </w:rPr>
        <w:t>18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Word für Mac 2011</w:t>
      </w:r>
      <w:r w:rsidRPr="005E36DC">
        <w:rPr>
          <w:rFonts w:cs="Tahoma"/>
        </w:rPr>
        <w:tab/>
      </w:r>
      <w:r w:rsidRPr="005E36DC">
        <w:rPr>
          <w:rFonts w:cs="Tahoma"/>
        </w:rPr>
        <w:fldChar w:fldCharType="begin"/>
      </w:r>
      <w:r w:rsidRPr="005E36DC">
        <w:rPr>
          <w:rFonts w:cs="Tahoma"/>
        </w:rPr>
        <w:instrText xml:space="preserve"> PAGEREF _Toc363998649 \h </w:instrText>
      </w:r>
      <w:r w:rsidRPr="005E36DC">
        <w:rPr>
          <w:rFonts w:cs="Tahoma"/>
        </w:rPr>
      </w:r>
      <w:r w:rsidRPr="005E36DC">
        <w:rPr>
          <w:rFonts w:cs="Tahoma"/>
        </w:rPr>
        <w:fldChar w:fldCharType="separate"/>
      </w:r>
      <w:r w:rsidR="00DC4771">
        <w:rPr>
          <w:rFonts w:cs="Tahoma"/>
        </w:rPr>
        <w:t>18</w:t>
      </w:r>
      <w:r w:rsidRPr="005E36DC">
        <w:rPr>
          <w:rFonts w:cs="Tahoma"/>
        </w:rPr>
        <w:fldChar w:fldCharType="end"/>
      </w:r>
    </w:p>
    <w:p w:rsidR="005E36DC" w:rsidRPr="00A56539" w:rsidRDefault="005E36DC" w:rsidP="00A56539">
      <w:pPr>
        <w:pStyle w:val="TOC3"/>
        <w:rPr>
          <w:rFonts w:eastAsiaTheme="minorEastAsia"/>
          <w:b/>
          <w:bCs w:val="0"/>
          <w:sz w:val="22"/>
          <w:szCs w:val="22"/>
          <w:lang w:eastAsia="zh-CN"/>
        </w:rPr>
      </w:pPr>
      <w:r w:rsidRPr="00A56539">
        <w:rPr>
          <w:b/>
          <w:bCs w:val="0"/>
        </w:rPr>
        <w:t>SYSTEM-POOL</w:t>
      </w:r>
      <w:r w:rsidRPr="00A56539">
        <w:rPr>
          <w:b/>
          <w:bCs w:val="0"/>
        </w:rPr>
        <w:tab/>
      </w:r>
      <w:r w:rsidRPr="00A56539">
        <w:rPr>
          <w:b/>
          <w:bCs w:val="0"/>
        </w:rPr>
        <w:fldChar w:fldCharType="begin"/>
      </w:r>
      <w:r w:rsidRPr="00A56539">
        <w:rPr>
          <w:b/>
          <w:bCs w:val="0"/>
        </w:rPr>
        <w:instrText xml:space="preserve"> PAGEREF _Toc363998650 \h </w:instrText>
      </w:r>
      <w:r w:rsidRPr="00A56539">
        <w:rPr>
          <w:b/>
          <w:bCs w:val="0"/>
        </w:rPr>
      </w:r>
      <w:r w:rsidRPr="00A56539">
        <w:rPr>
          <w:b/>
          <w:bCs w:val="0"/>
        </w:rPr>
        <w:fldChar w:fldCharType="separate"/>
      </w:r>
      <w:r w:rsidR="00DC4771">
        <w:rPr>
          <w:b/>
          <w:bCs w:val="0"/>
        </w:rPr>
        <w:t>19</w:t>
      </w:r>
      <w:r w:rsidRPr="00A56539">
        <w:rPr>
          <w:b/>
          <w:bCs w:val="0"/>
        </w:rPr>
        <w:fldChar w:fldCharType="end"/>
      </w:r>
    </w:p>
    <w:p w:rsidR="005E36DC" w:rsidRPr="005E36DC" w:rsidRDefault="005E36DC">
      <w:pPr>
        <w:pStyle w:val="TOC2"/>
        <w:rPr>
          <w:rFonts w:eastAsiaTheme="minorEastAsia" w:cs="Tahoma"/>
          <w:sz w:val="22"/>
          <w:szCs w:val="22"/>
          <w:lang w:eastAsia="zh-CN"/>
        </w:rPr>
      </w:pPr>
      <w:r w:rsidRPr="005E36DC">
        <w:rPr>
          <w:rFonts w:cs="Tahoma"/>
        </w:rPr>
        <w:t>Microsoft Desktop Optimization Pack für Software Assurance</w:t>
      </w:r>
      <w:r w:rsidRPr="005E36DC">
        <w:rPr>
          <w:rFonts w:cs="Tahoma"/>
        </w:rPr>
        <w:tab/>
      </w:r>
      <w:r w:rsidRPr="005E36DC">
        <w:rPr>
          <w:rFonts w:cs="Tahoma"/>
        </w:rPr>
        <w:fldChar w:fldCharType="begin"/>
      </w:r>
      <w:r w:rsidRPr="005E36DC">
        <w:rPr>
          <w:rFonts w:cs="Tahoma"/>
        </w:rPr>
        <w:instrText xml:space="preserve"> PAGEREF _Toc363998651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Companion-Abonnementlizenz</w:t>
      </w:r>
      <w:r w:rsidRPr="005E36DC">
        <w:rPr>
          <w:rFonts w:cs="Tahoma"/>
        </w:rPr>
        <w:tab/>
      </w:r>
      <w:r w:rsidRPr="005E36DC">
        <w:rPr>
          <w:rFonts w:cs="Tahoma"/>
        </w:rPr>
        <w:fldChar w:fldCharType="begin"/>
      </w:r>
      <w:r w:rsidRPr="005E36DC">
        <w:rPr>
          <w:rFonts w:cs="Tahoma"/>
        </w:rPr>
        <w:instrText xml:space="preserve"> PAGEREF _Toc363998652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w:t>
      </w:r>
      <w:r w:rsidR="0069040B" w:rsidRPr="0069040B">
        <w:rPr>
          <w:rFonts w:cs="Tahoma"/>
          <w:vertAlign w:val="superscript"/>
        </w:rPr>
        <w:t>®</w:t>
      </w:r>
      <w:r w:rsidRPr="005E36DC">
        <w:rPr>
          <w:rFonts w:cs="Tahoma"/>
        </w:rPr>
        <w:t xml:space="preserve"> Embedded 8 Industry Pro</w:t>
      </w:r>
      <w:r w:rsidRPr="005E36DC">
        <w:rPr>
          <w:rFonts w:cs="Tahoma"/>
        </w:rPr>
        <w:tab/>
      </w:r>
      <w:r w:rsidRPr="005E36DC">
        <w:rPr>
          <w:rFonts w:cs="Tahoma"/>
        </w:rPr>
        <w:fldChar w:fldCharType="begin"/>
      </w:r>
      <w:r w:rsidRPr="005E36DC">
        <w:rPr>
          <w:rFonts w:cs="Tahoma"/>
        </w:rPr>
        <w:instrText xml:space="preserve"> PAGEREF _Toc363998653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w:t>
      </w:r>
      <w:r w:rsidR="0069040B" w:rsidRPr="0069040B">
        <w:rPr>
          <w:rFonts w:cs="Tahoma"/>
          <w:vertAlign w:val="superscript"/>
        </w:rPr>
        <w:t>®</w:t>
      </w:r>
      <w:r w:rsidRPr="005E36DC">
        <w:rPr>
          <w:rFonts w:cs="Tahoma"/>
        </w:rPr>
        <w:t xml:space="preserve"> Embedded 8 Industry Pro Side loading</w:t>
      </w:r>
      <w:r w:rsidRPr="005E36DC">
        <w:rPr>
          <w:rFonts w:cs="Tahoma"/>
        </w:rPr>
        <w:tab/>
      </w:r>
      <w:r w:rsidRPr="005E36DC">
        <w:rPr>
          <w:rFonts w:cs="Tahoma"/>
        </w:rPr>
        <w:fldChar w:fldCharType="begin"/>
      </w:r>
      <w:r w:rsidRPr="005E36DC">
        <w:rPr>
          <w:rFonts w:cs="Tahoma"/>
        </w:rPr>
        <w:instrText xml:space="preserve"> PAGEREF _Toc363998654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w:t>
      </w:r>
      <w:r w:rsidR="0069040B" w:rsidRPr="0069040B">
        <w:rPr>
          <w:rFonts w:cs="Tahoma"/>
          <w:vertAlign w:val="superscript"/>
        </w:rPr>
        <w:t>®</w:t>
      </w:r>
      <w:r w:rsidRPr="005E36DC">
        <w:rPr>
          <w:rFonts w:cs="Tahoma"/>
        </w:rPr>
        <w:t xml:space="preserve"> Embedded 8 Standard Enterprise Kit</w:t>
      </w:r>
      <w:r w:rsidRPr="005E36DC">
        <w:rPr>
          <w:rFonts w:cs="Tahoma"/>
        </w:rPr>
        <w:tab/>
      </w:r>
      <w:r w:rsidRPr="005E36DC">
        <w:rPr>
          <w:rFonts w:cs="Tahoma"/>
        </w:rPr>
        <w:fldChar w:fldCharType="begin"/>
      </w:r>
      <w:r w:rsidRPr="005E36DC">
        <w:rPr>
          <w:rFonts w:cs="Tahoma"/>
        </w:rPr>
        <w:instrText xml:space="preserve"> PAGEREF _Toc363998655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Vista DVD Playback Pack</w:t>
      </w:r>
      <w:r w:rsidRPr="005E36DC">
        <w:rPr>
          <w:rFonts w:cs="Tahoma"/>
        </w:rPr>
        <w:tab/>
      </w:r>
      <w:r w:rsidRPr="005E36DC">
        <w:rPr>
          <w:rFonts w:cs="Tahoma"/>
        </w:rPr>
        <w:fldChar w:fldCharType="begin"/>
      </w:r>
      <w:r w:rsidRPr="005E36DC">
        <w:rPr>
          <w:rFonts w:cs="Tahoma"/>
        </w:rPr>
        <w:instrText xml:space="preserve"> PAGEREF _Toc363998656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Vermietungsrechte für Windows</w:t>
      </w:r>
      <w:r w:rsidRPr="005E36DC">
        <w:rPr>
          <w:rFonts w:cs="Tahoma"/>
          <w:lang w:val="de-DE"/>
        </w:rPr>
        <w:tab/>
      </w:r>
      <w:r w:rsidRPr="005E36DC">
        <w:rPr>
          <w:rFonts w:cs="Tahoma"/>
        </w:rPr>
        <w:fldChar w:fldCharType="begin"/>
      </w:r>
      <w:r w:rsidRPr="005E36DC">
        <w:rPr>
          <w:rFonts w:cs="Tahoma"/>
          <w:lang w:val="de-DE"/>
        </w:rPr>
        <w:instrText xml:space="preserve"> PAGEREF _Toc363998657 \h </w:instrText>
      </w:r>
      <w:r w:rsidRPr="005E36DC">
        <w:rPr>
          <w:rFonts w:cs="Tahoma"/>
        </w:rPr>
      </w:r>
      <w:r w:rsidRPr="005E36DC">
        <w:rPr>
          <w:rFonts w:cs="Tahoma"/>
        </w:rPr>
        <w:fldChar w:fldCharType="separate"/>
      </w:r>
      <w:r w:rsidR="00DC4771">
        <w:rPr>
          <w:rFonts w:cs="Tahoma"/>
          <w:lang w:val="de-DE"/>
        </w:rPr>
        <w:t>19</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Windows</w:t>
      </w:r>
      <w:r w:rsidR="0069040B" w:rsidRPr="0069040B">
        <w:rPr>
          <w:rFonts w:cs="Tahoma"/>
          <w:vertAlign w:val="superscript"/>
          <w:lang w:val="de-DE"/>
        </w:rPr>
        <w:t>®</w:t>
      </w:r>
      <w:r w:rsidRPr="005E36DC">
        <w:rPr>
          <w:rFonts w:cs="Tahoma"/>
          <w:lang w:val="de-DE"/>
        </w:rPr>
        <w:t xml:space="preserve"> 7 Partners in Learning</w:t>
      </w:r>
      <w:r w:rsidRPr="005E36DC">
        <w:rPr>
          <w:rFonts w:cs="Tahoma"/>
          <w:lang w:val="de-DE"/>
        </w:rPr>
        <w:tab/>
      </w:r>
      <w:r w:rsidRPr="005E36DC">
        <w:rPr>
          <w:rFonts w:cs="Tahoma"/>
        </w:rPr>
        <w:fldChar w:fldCharType="begin"/>
      </w:r>
      <w:r w:rsidRPr="005E36DC">
        <w:rPr>
          <w:rFonts w:cs="Tahoma"/>
          <w:lang w:val="de-DE"/>
        </w:rPr>
        <w:instrText xml:space="preserve"> PAGEREF _Toc363998658 \h </w:instrText>
      </w:r>
      <w:r w:rsidRPr="005E36DC">
        <w:rPr>
          <w:rFonts w:cs="Tahoma"/>
        </w:rPr>
      </w:r>
      <w:r w:rsidRPr="005E36DC">
        <w:rPr>
          <w:rFonts w:cs="Tahoma"/>
        </w:rPr>
        <w:fldChar w:fldCharType="separate"/>
      </w:r>
      <w:r w:rsidR="00DC4771">
        <w:rPr>
          <w:rFonts w:cs="Tahoma"/>
          <w:lang w:val="de-DE"/>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8 Enterprise Sideloading (100 Pack)</w:t>
      </w:r>
      <w:r w:rsidRPr="005E36DC">
        <w:rPr>
          <w:rFonts w:cs="Tahoma"/>
        </w:rPr>
        <w:tab/>
      </w:r>
      <w:r w:rsidRPr="005E36DC">
        <w:rPr>
          <w:rFonts w:cs="Tahoma"/>
        </w:rPr>
        <w:fldChar w:fldCharType="begin"/>
      </w:r>
      <w:r w:rsidRPr="005E36DC">
        <w:rPr>
          <w:rFonts w:cs="Tahoma"/>
        </w:rPr>
        <w:instrText xml:space="preserve"> PAGEREF _Toc363998659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w:t>
      </w:r>
      <w:r w:rsidR="0069040B" w:rsidRPr="0069040B">
        <w:rPr>
          <w:rFonts w:cs="Tahoma"/>
          <w:vertAlign w:val="superscript"/>
        </w:rPr>
        <w:t>®</w:t>
      </w:r>
      <w:r w:rsidRPr="005E36DC">
        <w:rPr>
          <w:rFonts w:cs="Tahoma"/>
        </w:rPr>
        <w:t xml:space="preserve"> 8 Pro</w:t>
      </w:r>
      <w:r w:rsidRPr="005E36DC">
        <w:rPr>
          <w:rFonts w:cs="Tahoma"/>
        </w:rPr>
        <w:tab/>
      </w:r>
      <w:r w:rsidRPr="005E36DC">
        <w:rPr>
          <w:rFonts w:cs="Tahoma"/>
        </w:rPr>
        <w:fldChar w:fldCharType="begin"/>
      </w:r>
      <w:r w:rsidRPr="005E36DC">
        <w:rPr>
          <w:rFonts w:cs="Tahoma"/>
        </w:rPr>
        <w:instrText xml:space="preserve"> PAGEREF _Toc363998660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w:t>
      </w:r>
      <w:r w:rsidR="0069040B" w:rsidRPr="0069040B">
        <w:rPr>
          <w:rFonts w:cs="Tahoma"/>
          <w:vertAlign w:val="superscript"/>
        </w:rPr>
        <w:t>®</w:t>
      </w:r>
      <w:r w:rsidRPr="005E36DC">
        <w:rPr>
          <w:rFonts w:cs="Tahoma"/>
        </w:rPr>
        <w:t xml:space="preserve"> 8 Pro mit MDOP</w:t>
      </w:r>
      <w:r w:rsidRPr="005E36DC">
        <w:rPr>
          <w:rFonts w:cs="Tahoma"/>
        </w:rPr>
        <w:tab/>
      </w:r>
      <w:r w:rsidRPr="005E36DC">
        <w:rPr>
          <w:rFonts w:cs="Tahoma"/>
        </w:rPr>
        <w:fldChar w:fldCharType="begin"/>
      </w:r>
      <w:r w:rsidRPr="005E36DC">
        <w:rPr>
          <w:rFonts w:cs="Tahoma"/>
        </w:rPr>
        <w:instrText xml:space="preserve"> PAGEREF _Toc363998661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Virtual Desktop Access (VDA)</w:t>
      </w:r>
      <w:r w:rsidRPr="005E36DC">
        <w:rPr>
          <w:rFonts w:cs="Tahoma"/>
        </w:rPr>
        <w:tab/>
      </w:r>
      <w:r w:rsidRPr="005E36DC">
        <w:rPr>
          <w:rFonts w:cs="Tahoma"/>
        </w:rPr>
        <w:fldChar w:fldCharType="begin"/>
      </w:r>
      <w:r w:rsidRPr="005E36DC">
        <w:rPr>
          <w:rFonts w:cs="Tahoma"/>
        </w:rPr>
        <w:instrText xml:space="preserve"> PAGEREF _Toc363998662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Intune (Pro Gerät)</w:t>
      </w:r>
      <w:r w:rsidRPr="005E36DC">
        <w:rPr>
          <w:rFonts w:cs="Tahoma"/>
        </w:rPr>
        <w:tab/>
      </w:r>
      <w:r w:rsidRPr="005E36DC">
        <w:rPr>
          <w:rFonts w:cs="Tahoma"/>
        </w:rPr>
        <w:fldChar w:fldCharType="begin"/>
      </w:r>
      <w:r w:rsidRPr="005E36DC">
        <w:rPr>
          <w:rFonts w:cs="Tahoma"/>
        </w:rPr>
        <w:instrText xml:space="preserve"> PAGEREF _Toc363998663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Intune-Add-On (Pro Gerät)</w:t>
      </w:r>
      <w:r w:rsidRPr="005E36DC">
        <w:rPr>
          <w:rFonts w:cs="Tahoma"/>
        </w:rPr>
        <w:tab/>
      </w:r>
      <w:r w:rsidRPr="005E36DC">
        <w:rPr>
          <w:rFonts w:cs="Tahoma"/>
        </w:rPr>
        <w:fldChar w:fldCharType="begin"/>
      </w:r>
      <w:r w:rsidRPr="005E36DC">
        <w:rPr>
          <w:rFonts w:cs="Tahoma"/>
        </w:rPr>
        <w:instrText xml:space="preserve"> PAGEREF _Toc363998664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A56539" w:rsidRDefault="005E36DC" w:rsidP="00A56539">
      <w:pPr>
        <w:pStyle w:val="TOC3"/>
        <w:rPr>
          <w:rFonts w:eastAsiaTheme="minorEastAsia"/>
          <w:b/>
          <w:bCs w:val="0"/>
          <w:sz w:val="22"/>
          <w:szCs w:val="22"/>
          <w:lang w:eastAsia="zh-CN"/>
        </w:rPr>
      </w:pPr>
      <w:r w:rsidRPr="00A56539">
        <w:rPr>
          <w:b/>
          <w:bCs w:val="0"/>
        </w:rPr>
        <w:t>SERVER-POOL</w:t>
      </w:r>
      <w:r w:rsidRPr="00A56539">
        <w:rPr>
          <w:b/>
          <w:bCs w:val="0"/>
        </w:rPr>
        <w:tab/>
      </w:r>
      <w:r w:rsidRPr="00A56539">
        <w:rPr>
          <w:b/>
          <w:bCs w:val="0"/>
        </w:rPr>
        <w:fldChar w:fldCharType="begin"/>
      </w:r>
      <w:r w:rsidRPr="00A56539">
        <w:rPr>
          <w:b/>
          <w:bCs w:val="0"/>
        </w:rPr>
        <w:instrText xml:space="preserve"> PAGEREF _Toc363998665 \h </w:instrText>
      </w:r>
      <w:r w:rsidRPr="00A56539">
        <w:rPr>
          <w:b/>
          <w:bCs w:val="0"/>
        </w:rPr>
      </w:r>
      <w:r w:rsidRPr="00A56539">
        <w:rPr>
          <w:b/>
          <w:bCs w:val="0"/>
        </w:rPr>
        <w:fldChar w:fldCharType="separate"/>
      </w:r>
      <w:r w:rsidR="00DC4771">
        <w:rPr>
          <w:b/>
          <w:bCs w:val="0"/>
        </w:rPr>
        <w:t>19</w:t>
      </w:r>
      <w:r w:rsidRPr="00A56539">
        <w:rPr>
          <w:b/>
          <w:bCs w:val="0"/>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Consumer Tracked Per Asset Monthly Sub</w:t>
      </w:r>
      <w:r w:rsidRPr="005E36DC">
        <w:rPr>
          <w:rFonts w:cs="Tahoma"/>
        </w:rPr>
        <w:tab/>
      </w:r>
      <w:r w:rsidRPr="005E36DC">
        <w:rPr>
          <w:rFonts w:cs="Tahoma"/>
        </w:rPr>
        <w:fldChar w:fldCharType="begin"/>
      </w:r>
      <w:r w:rsidRPr="005E36DC">
        <w:rPr>
          <w:rFonts w:cs="Tahoma"/>
        </w:rPr>
        <w:instrText xml:space="preserve"> PAGEREF _Toc363998666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Enterprise Fee Monthly Sub</w:t>
      </w:r>
      <w:r w:rsidRPr="005E36DC">
        <w:rPr>
          <w:rFonts w:cs="Tahoma"/>
        </w:rPr>
        <w:tab/>
      </w:r>
      <w:r w:rsidRPr="005E36DC">
        <w:rPr>
          <w:rFonts w:cs="Tahoma"/>
        </w:rPr>
        <w:fldChar w:fldCharType="begin"/>
      </w:r>
      <w:r w:rsidRPr="005E36DC">
        <w:rPr>
          <w:rFonts w:cs="Tahoma"/>
        </w:rPr>
        <w:instrText xml:space="preserve"> PAGEREF _Toc363998667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Public Website Usage 100K Transactions Monthly Sub</w:t>
      </w:r>
      <w:r w:rsidRPr="005E36DC">
        <w:rPr>
          <w:rFonts w:cs="Tahoma"/>
        </w:rPr>
        <w:tab/>
      </w:r>
      <w:r w:rsidRPr="005E36DC">
        <w:rPr>
          <w:rFonts w:cs="Tahoma"/>
        </w:rPr>
        <w:fldChar w:fldCharType="begin"/>
      </w:r>
      <w:r w:rsidRPr="005E36DC">
        <w:rPr>
          <w:rFonts w:cs="Tahoma"/>
        </w:rPr>
        <w:instrText xml:space="preserve"> PAGEREF _Toc363998668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Public Website Usage 250K Transactions Monthly Sub</w:t>
      </w:r>
      <w:r w:rsidRPr="005E36DC">
        <w:rPr>
          <w:rFonts w:cs="Tahoma"/>
        </w:rPr>
        <w:tab/>
      </w:r>
      <w:r w:rsidRPr="005E36DC">
        <w:rPr>
          <w:rFonts w:cs="Tahoma"/>
        </w:rPr>
        <w:fldChar w:fldCharType="begin"/>
      </w:r>
      <w:r w:rsidRPr="005E36DC">
        <w:rPr>
          <w:rFonts w:cs="Tahoma"/>
        </w:rPr>
        <w:instrText xml:space="preserve"> PAGEREF _Toc363998669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Public Website Usage 420K (und höher) Transactions Monthly Sub</w:t>
      </w:r>
      <w:r w:rsidRPr="005E36DC">
        <w:rPr>
          <w:rFonts w:cs="Tahoma"/>
        </w:rPr>
        <w:tab/>
      </w:r>
      <w:r w:rsidRPr="005E36DC">
        <w:rPr>
          <w:rFonts w:cs="Tahoma"/>
        </w:rPr>
        <w:fldChar w:fldCharType="begin"/>
      </w:r>
      <w:r w:rsidRPr="005E36DC">
        <w:rPr>
          <w:rFonts w:cs="Tahoma"/>
        </w:rPr>
        <w:instrText xml:space="preserve"> PAGEREF _Toc363998670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Internal Website Usage 100K Transactions Monthly Sub</w:t>
      </w:r>
      <w:r w:rsidRPr="005E36DC">
        <w:rPr>
          <w:rFonts w:cs="Tahoma"/>
        </w:rPr>
        <w:tab/>
      </w:r>
      <w:r w:rsidRPr="005E36DC">
        <w:rPr>
          <w:rFonts w:cs="Tahoma"/>
        </w:rPr>
        <w:fldChar w:fldCharType="begin"/>
      </w:r>
      <w:r w:rsidRPr="005E36DC">
        <w:rPr>
          <w:rFonts w:cs="Tahoma"/>
        </w:rPr>
        <w:instrText xml:space="preserve"> PAGEREF _Toc363998671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Internal Website Usage 250K (und höher) Transactions Monthly Sub</w:t>
      </w:r>
      <w:r w:rsidRPr="005E36DC">
        <w:rPr>
          <w:rFonts w:cs="Tahoma"/>
        </w:rPr>
        <w:tab/>
      </w:r>
      <w:r w:rsidRPr="005E36DC">
        <w:rPr>
          <w:rFonts w:cs="Tahoma"/>
        </w:rPr>
        <w:fldChar w:fldCharType="begin"/>
      </w:r>
      <w:r w:rsidRPr="005E36DC">
        <w:rPr>
          <w:rFonts w:cs="Tahoma"/>
        </w:rPr>
        <w:instrText xml:space="preserve"> PAGEREF _Toc363998672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Known Per User Monthly Sub</w:t>
      </w:r>
      <w:r w:rsidRPr="005E36DC">
        <w:rPr>
          <w:rFonts w:cs="Tahoma"/>
        </w:rPr>
        <w:tab/>
      </w:r>
      <w:r w:rsidRPr="005E36DC">
        <w:rPr>
          <w:rFonts w:cs="Tahoma"/>
        </w:rPr>
        <w:fldChar w:fldCharType="begin"/>
      </w:r>
      <w:r w:rsidRPr="005E36DC">
        <w:rPr>
          <w:rFonts w:cs="Tahoma"/>
        </w:rPr>
        <w:instrText xml:space="preserve"> PAGEREF _Toc363998673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Known 5K User Bundle Monthly Sub</w:t>
      </w:r>
      <w:r w:rsidRPr="005E36DC">
        <w:rPr>
          <w:rFonts w:cs="Tahoma"/>
        </w:rPr>
        <w:tab/>
      </w:r>
      <w:r w:rsidRPr="005E36DC">
        <w:rPr>
          <w:rFonts w:cs="Tahoma"/>
        </w:rPr>
        <w:fldChar w:fldCharType="begin"/>
      </w:r>
      <w:r w:rsidRPr="005E36DC">
        <w:rPr>
          <w:rFonts w:cs="Tahoma"/>
        </w:rPr>
        <w:instrText xml:space="preserve"> PAGEREF _Toc363998674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Light Known Per User Monthly Sub</w:t>
      </w:r>
      <w:r w:rsidRPr="005E36DC">
        <w:rPr>
          <w:rFonts w:cs="Tahoma"/>
        </w:rPr>
        <w:tab/>
      </w:r>
      <w:r w:rsidRPr="005E36DC">
        <w:rPr>
          <w:rFonts w:cs="Tahoma"/>
        </w:rPr>
        <w:fldChar w:fldCharType="begin"/>
      </w:r>
      <w:r w:rsidRPr="005E36DC">
        <w:rPr>
          <w:rFonts w:cs="Tahoma"/>
        </w:rPr>
        <w:instrText xml:space="preserve"> PAGEREF _Toc363998675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Light Known 5K User Bundle Monthly Sub</w:t>
      </w:r>
      <w:r w:rsidRPr="005E36DC">
        <w:rPr>
          <w:rFonts w:cs="Tahoma"/>
        </w:rPr>
        <w:tab/>
      </w:r>
      <w:r w:rsidRPr="005E36DC">
        <w:rPr>
          <w:rFonts w:cs="Tahoma"/>
        </w:rPr>
        <w:fldChar w:fldCharType="begin"/>
      </w:r>
      <w:r w:rsidRPr="005E36DC">
        <w:rPr>
          <w:rFonts w:cs="Tahoma"/>
        </w:rPr>
        <w:instrText xml:space="preserve"> PAGEREF _Toc363998676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Mobile Asset Management Platform Fee Monthly Sub</w:t>
      </w:r>
      <w:r w:rsidRPr="005E36DC">
        <w:rPr>
          <w:rFonts w:cs="Tahoma"/>
        </w:rPr>
        <w:tab/>
      </w:r>
      <w:r w:rsidRPr="005E36DC">
        <w:rPr>
          <w:rFonts w:cs="Tahoma"/>
        </w:rPr>
        <w:fldChar w:fldCharType="begin"/>
      </w:r>
      <w:r w:rsidRPr="005E36DC">
        <w:rPr>
          <w:rFonts w:cs="Tahoma"/>
        </w:rPr>
        <w:instrText xml:space="preserve"> PAGEREF _Toc363998677 \h </w:instrText>
      </w:r>
      <w:r w:rsidRPr="005E36DC">
        <w:rPr>
          <w:rFonts w:cs="Tahoma"/>
        </w:rPr>
      </w:r>
      <w:r w:rsidRPr="005E36DC">
        <w:rPr>
          <w:rFonts w:cs="Tahoma"/>
        </w:rPr>
        <w:fldChar w:fldCharType="separate"/>
      </w:r>
      <w:r w:rsidR="00DC4771">
        <w:rPr>
          <w:rFonts w:cs="Tahoma"/>
        </w:rPr>
        <w:t>19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Mobile Asset Management NA mit Routing Per Asset Monthly Sub</w:t>
      </w:r>
      <w:r w:rsidRPr="005E36DC">
        <w:rPr>
          <w:rFonts w:cs="Tahoma"/>
        </w:rPr>
        <w:tab/>
      </w:r>
      <w:r w:rsidRPr="005E36DC">
        <w:rPr>
          <w:rFonts w:cs="Tahoma"/>
        </w:rPr>
        <w:fldChar w:fldCharType="begin"/>
      </w:r>
      <w:r w:rsidRPr="005E36DC">
        <w:rPr>
          <w:rFonts w:cs="Tahoma"/>
        </w:rPr>
        <w:instrText xml:space="preserve"> PAGEREF _Toc363998678 \h </w:instrText>
      </w:r>
      <w:r w:rsidRPr="005E36DC">
        <w:rPr>
          <w:rFonts w:cs="Tahoma"/>
        </w:rPr>
      </w:r>
      <w:r w:rsidRPr="005E36DC">
        <w:rPr>
          <w:rFonts w:cs="Tahoma"/>
        </w:rPr>
        <w:fldChar w:fldCharType="separate"/>
      </w:r>
      <w:r w:rsidR="00DC4771">
        <w:rPr>
          <w:rFonts w:cs="Tahoma"/>
        </w:rPr>
        <w:t>20</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Mobile Asset Management NA ohne Routing Per Asset Monthly Sub</w:t>
      </w:r>
      <w:r w:rsidRPr="005E36DC">
        <w:rPr>
          <w:rFonts w:cs="Tahoma"/>
        </w:rPr>
        <w:tab/>
      </w:r>
      <w:r w:rsidRPr="005E36DC">
        <w:rPr>
          <w:rFonts w:cs="Tahoma"/>
        </w:rPr>
        <w:fldChar w:fldCharType="begin"/>
      </w:r>
      <w:r w:rsidRPr="005E36DC">
        <w:rPr>
          <w:rFonts w:cs="Tahoma"/>
        </w:rPr>
        <w:instrText xml:space="preserve"> PAGEREF _Toc363998679 \h </w:instrText>
      </w:r>
      <w:r w:rsidRPr="005E36DC">
        <w:rPr>
          <w:rFonts w:cs="Tahoma"/>
        </w:rPr>
      </w:r>
      <w:r w:rsidRPr="005E36DC">
        <w:rPr>
          <w:rFonts w:cs="Tahoma"/>
        </w:rPr>
        <w:fldChar w:fldCharType="separate"/>
      </w:r>
      <w:r w:rsidR="00DC4771">
        <w:rPr>
          <w:rFonts w:cs="Tahoma"/>
        </w:rPr>
        <w:t>20</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Mobile Asset Management Europe mit Routing Per Asset Monthly Sub</w:t>
      </w:r>
      <w:r w:rsidRPr="005E36DC">
        <w:rPr>
          <w:rFonts w:cs="Tahoma"/>
        </w:rPr>
        <w:tab/>
      </w:r>
      <w:r w:rsidRPr="005E36DC">
        <w:rPr>
          <w:rFonts w:cs="Tahoma"/>
        </w:rPr>
        <w:fldChar w:fldCharType="begin"/>
      </w:r>
      <w:r w:rsidRPr="005E36DC">
        <w:rPr>
          <w:rFonts w:cs="Tahoma"/>
        </w:rPr>
        <w:instrText xml:space="preserve"> PAGEREF _Toc363998680 \h </w:instrText>
      </w:r>
      <w:r w:rsidRPr="005E36DC">
        <w:rPr>
          <w:rFonts w:cs="Tahoma"/>
        </w:rPr>
      </w:r>
      <w:r w:rsidRPr="005E36DC">
        <w:rPr>
          <w:rFonts w:cs="Tahoma"/>
        </w:rPr>
        <w:fldChar w:fldCharType="separate"/>
      </w:r>
      <w:r w:rsidR="00DC4771">
        <w:rPr>
          <w:rFonts w:cs="Tahoma"/>
        </w:rPr>
        <w:t>20</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Bing Maps Mobile Asset Management Europe ohne Routing Per Asset Monthly Sub</w:t>
      </w:r>
      <w:r w:rsidRPr="005E36DC">
        <w:rPr>
          <w:rFonts w:cs="Tahoma"/>
        </w:rPr>
        <w:tab/>
      </w:r>
      <w:r w:rsidRPr="005E36DC">
        <w:rPr>
          <w:rFonts w:cs="Tahoma"/>
        </w:rPr>
        <w:fldChar w:fldCharType="begin"/>
      </w:r>
      <w:r w:rsidRPr="005E36DC">
        <w:rPr>
          <w:rFonts w:cs="Tahoma"/>
        </w:rPr>
        <w:instrText xml:space="preserve"> PAGEREF _Toc363998681 \h </w:instrText>
      </w:r>
      <w:r w:rsidRPr="005E36DC">
        <w:rPr>
          <w:rFonts w:cs="Tahoma"/>
        </w:rPr>
      </w:r>
      <w:r w:rsidRPr="005E36DC">
        <w:rPr>
          <w:rFonts w:cs="Tahoma"/>
        </w:rPr>
        <w:fldChar w:fldCharType="separate"/>
      </w:r>
      <w:r w:rsidR="00DC4771">
        <w:rPr>
          <w:rFonts w:cs="Tahoma"/>
        </w:rPr>
        <w:t>20</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BizTalk</w:t>
      </w:r>
      <w:r w:rsidR="0069040B" w:rsidRPr="0069040B">
        <w:rPr>
          <w:rFonts w:cs="Tahoma"/>
          <w:vertAlign w:val="superscript"/>
        </w:rPr>
        <w:t>®</w:t>
      </w:r>
      <w:r w:rsidRPr="005E36DC">
        <w:rPr>
          <w:rFonts w:cs="Tahoma"/>
        </w:rPr>
        <w:t xml:space="preserve"> Server 2013 Branch Edition</w:t>
      </w:r>
      <w:r w:rsidRPr="005E36DC">
        <w:rPr>
          <w:rFonts w:cs="Tahoma"/>
        </w:rPr>
        <w:tab/>
      </w:r>
      <w:r w:rsidRPr="005E36DC">
        <w:rPr>
          <w:rFonts w:cs="Tahoma"/>
        </w:rPr>
        <w:fldChar w:fldCharType="begin"/>
      </w:r>
      <w:r w:rsidRPr="005E36DC">
        <w:rPr>
          <w:rFonts w:cs="Tahoma"/>
        </w:rPr>
        <w:instrText xml:space="preserve"> PAGEREF _Toc363998682 \h </w:instrText>
      </w:r>
      <w:r w:rsidRPr="005E36DC">
        <w:rPr>
          <w:rFonts w:cs="Tahoma"/>
        </w:rPr>
      </w:r>
      <w:r w:rsidRPr="005E36DC">
        <w:rPr>
          <w:rFonts w:cs="Tahoma"/>
        </w:rPr>
        <w:fldChar w:fldCharType="separate"/>
      </w:r>
      <w:r w:rsidR="00DC4771">
        <w:rPr>
          <w:rFonts w:cs="Tahoma"/>
        </w:rPr>
        <w:t>20</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BizTalk</w:t>
      </w:r>
      <w:r w:rsidR="0069040B" w:rsidRPr="0069040B">
        <w:rPr>
          <w:rFonts w:cs="Tahoma"/>
          <w:vertAlign w:val="superscript"/>
        </w:rPr>
        <w:t>®</w:t>
      </w:r>
      <w:r w:rsidRPr="005E36DC">
        <w:rPr>
          <w:rFonts w:cs="Tahoma"/>
        </w:rPr>
        <w:t xml:space="preserve"> Server 2013 Enterprise Edition</w:t>
      </w:r>
      <w:r w:rsidRPr="005E36DC">
        <w:rPr>
          <w:rFonts w:cs="Tahoma"/>
        </w:rPr>
        <w:tab/>
      </w:r>
      <w:r w:rsidRPr="005E36DC">
        <w:rPr>
          <w:rFonts w:cs="Tahoma"/>
        </w:rPr>
        <w:fldChar w:fldCharType="begin"/>
      </w:r>
      <w:r w:rsidRPr="005E36DC">
        <w:rPr>
          <w:rFonts w:cs="Tahoma"/>
        </w:rPr>
        <w:instrText xml:space="preserve"> PAGEREF _Toc363998683 \h </w:instrText>
      </w:r>
      <w:r w:rsidRPr="005E36DC">
        <w:rPr>
          <w:rFonts w:cs="Tahoma"/>
        </w:rPr>
      </w:r>
      <w:r w:rsidRPr="005E36DC">
        <w:rPr>
          <w:rFonts w:cs="Tahoma"/>
        </w:rPr>
        <w:fldChar w:fldCharType="separate"/>
      </w:r>
      <w:r w:rsidR="00DC4771">
        <w:rPr>
          <w:rFonts w:cs="Tahoma"/>
        </w:rPr>
        <w:t>20</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BizTalk</w:t>
      </w:r>
      <w:r w:rsidR="0069040B" w:rsidRPr="0069040B">
        <w:rPr>
          <w:rFonts w:cs="Tahoma"/>
          <w:vertAlign w:val="superscript"/>
        </w:rPr>
        <w:t>®</w:t>
      </w:r>
      <w:r w:rsidRPr="005E36DC">
        <w:rPr>
          <w:rFonts w:cs="Tahoma"/>
        </w:rPr>
        <w:t xml:space="preserve"> Server 2013 Branch IDC</w:t>
      </w:r>
      <w:r w:rsidRPr="005E36DC">
        <w:rPr>
          <w:rFonts w:cs="Tahoma"/>
        </w:rPr>
        <w:tab/>
      </w:r>
      <w:r w:rsidRPr="005E36DC">
        <w:rPr>
          <w:rFonts w:cs="Tahoma"/>
        </w:rPr>
        <w:fldChar w:fldCharType="begin"/>
      </w:r>
      <w:r w:rsidRPr="005E36DC">
        <w:rPr>
          <w:rFonts w:cs="Tahoma"/>
        </w:rPr>
        <w:instrText xml:space="preserve"> PAGEREF _Toc363998684 \h </w:instrText>
      </w:r>
      <w:r w:rsidRPr="005E36DC">
        <w:rPr>
          <w:rFonts w:cs="Tahoma"/>
        </w:rPr>
      </w:r>
      <w:r w:rsidRPr="005E36DC">
        <w:rPr>
          <w:rFonts w:cs="Tahoma"/>
        </w:rPr>
        <w:fldChar w:fldCharType="separate"/>
      </w:r>
      <w:r w:rsidR="00DC4771">
        <w:rPr>
          <w:rFonts w:cs="Tahoma"/>
        </w:rPr>
        <w:t>20</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BizTalk</w:t>
      </w:r>
      <w:r w:rsidR="0069040B" w:rsidRPr="0069040B">
        <w:rPr>
          <w:rFonts w:cs="Tahoma"/>
          <w:vertAlign w:val="superscript"/>
        </w:rPr>
        <w:t>®</w:t>
      </w:r>
      <w:r w:rsidRPr="005E36DC">
        <w:rPr>
          <w:rFonts w:cs="Tahoma"/>
        </w:rPr>
        <w:t xml:space="preserve"> Server 2013 Standard Edition</w:t>
      </w:r>
      <w:r w:rsidRPr="005E36DC">
        <w:rPr>
          <w:rFonts w:cs="Tahoma"/>
        </w:rPr>
        <w:tab/>
      </w:r>
      <w:r w:rsidRPr="005E36DC">
        <w:rPr>
          <w:rFonts w:cs="Tahoma"/>
        </w:rPr>
        <w:fldChar w:fldCharType="begin"/>
      </w:r>
      <w:r w:rsidRPr="005E36DC">
        <w:rPr>
          <w:rFonts w:cs="Tahoma"/>
        </w:rPr>
        <w:instrText xml:space="preserve"> PAGEREF _Toc363998685 \h </w:instrText>
      </w:r>
      <w:r w:rsidRPr="005E36DC">
        <w:rPr>
          <w:rFonts w:cs="Tahoma"/>
        </w:rPr>
      </w:r>
      <w:r w:rsidRPr="005E36DC">
        <w:rPr>
          <w:rFonts w:cs="Tahoma"/>
        </w:rPr>
        <w:fldChar w:fldCharType="separate"/>
      </w:r>
      <w:r w:rsidR="00DC4771">
        <w:rPr>
          <w:rFonts w:cs="Tahoma"/>
        </w:rPr>
        <w:t>20</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BizTalk</w:t>
      </w:r>
      <w:r w:rsidR="0069040B" w:rsidRPr="0069040B">
        <w:rPr>
          <w:rFonts w:cs="Tahoma"/>
          <w:vertAlign w:val="superscript"/>
        </w:rPr>
        <w:t>®</w:t>
      </w:r>
      <w:r w:rsidRPr="005E36DC">
        <w:rPr>
          <w:rFonts w:cs="Tahoma"/>
        </w:rPr>
        <w:t xml:space="preserve"> Server 2013 Standard Edition IDC</w:t>
      </w:r>
      <w:r w:rsidRPr="005E36DC">
        <w:rPr>
          <w:rFonts w:cs="Tahoma"/>
        </w:rPr>
        <w:tab/>
      </w:r>
      <w:r w:rsidRPr="005E36DC">
        <w:rPr>
          <w:rFonts w:cs="Tahoma"/>
        </w:rPr>
        <w:fldChar w:fldCharType="begin"/>
      </w:r>
      <w:r w:rsidRPr="005E36DC">
        <w:rPr>
          <w:rFonts w:cs="Tahoma"/>
        </w:rPr>
        <w:instrText xml:space="preserve"> PAGEREF _Toc363998686 \h </w:instrText>
      </w:r>
      <w:r w:rsidRPr="005E36DC">
        <w:rPr>
          <w:rFonts w:cs="Tahoma"/>
        </w:rPr>
      </w:r>
      <w:r w:rsidRPr="005E36DC">
        <w:rPr>
          <w:rFonts w:cs="Tahoma"/>
        </w:rPr>
        <w:fldChar w:fldCharType="separate"/>
      </w:r>
      <w:r w:rsidR="00DC4771">
        <w:rPr>
          <w:rFonts w:cs="Tahoma"/>
        </w:rPr>
        <w:t>20</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Business Intelligence Appliance 2012</w:t>
      </w:r>
      <w:r w:rsidRPr="005E36DC">
        <w:rPr>
          <w:rFonts w:cs="Tahoma"/>
        </w:rPr>
        <w:tab/>
      </w:r>
      <w:r w:rsidRPr="005E36DC">
        <w:rPr>
          <w:rFonts w:cs="Tahoma"/>
        </w:rPr>
        <w:fldChar w:fldCharType="begin"/>
      </w:r>
      <w:r w:rsidRPr="005E36DC">
        <w:rPr>
          <w:rFonts w:cs="Tahoma"/>
        </w:rPr>
        <w:instrText xml:space="preserve"> PAGEREF _Toc363998687 \h </w:instrText>
      </w:r>
      <w:r w:rsidRPr="005E36DC">
        <w:rPr>
          <w:rFonts w:cs="Tahoma"/>
        </w:rPr>
      </w:r>
      <w:r w:rsidRPr="005E36DC">
        <w:rPr>
          <w:rFonts w:cs="Tahoma"/>
        </w:rPr>
        <w:fldChar w:fldCharType="separate"/>
      </w:r>
      <w:r w:rsidR="00DC4771">
        <w:rPr>
          <w:rFonts w:cs="Tahoma"/>
        </w:rPr>
        <w:t>20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Core CAL Suite Bridge für Office 365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_Toc363998688 \h </w:instrText>
      </w:r>
      <w:r w:rsidRPr="005E36DC">
        <w:rPr>
          <w:rFonts w:cs="Tahoma"/>
        </w:rPr>
      </w:r>
      <w:r w:rsidRPr="005E36DC">
        <w:rPr>
          <w:rFonts w:cs="Tahoma"/>
        </w:rPr>
        <w:fldChar w:fldCharType="separate"/>
      </w:r>
      <w:r w:rsidR="00DC4771">
        <w:rPr>
          <w:rFonts w:cs="Tahoma"/>
          <w:lang w:val="de-DE"/>
        </w:rPr>
        <w:t>20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Core CAL Suite Bridge für Office 365 und Windows</w:t>
      </w:r>
      <w:r w:rsidR="0069040B" w:rsidRPr="0069040B">
        <w:rPr>
          <w:rFonts w:cs="Tahoma"/>
          <w:vertAlign w:val="superscript"/>
          <w:lang w:val="de-DE"/>
        </w:rPr>
        <w:t>®</w:t>
      </w:r>
      <w:r w:rsidRPr="005E36DC">
        <w:rPr>
          <w:rFonts w:cs="Tahoma"/>
          <w:lang w:val="de-DE"/>
        </w:rPr>
        <w:t xml:space="preserve"> Intune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_Toc363998689 \h </w:instrText>
      </w:r>
      <w:r w:rsidRPr="005E36DC">
        <w:rPr>
          <w:rFonts w:cs="Tahoma"/>
        </w:rPr>
      </w:r>
      <w:r w:rsidRPr="005E36DC">
        <w:rPr>
          <w:rFonts w:cs="Tahoma"/>
        </w:rPr>
        <w:fldChar w:fldCharType="separate"/>
      </w:r>
      <w:r w:rsidR="00DC4771">
        <w:rPr>
          <w:rFonts w:cs="Tahoma"/>
          <w:lang w:val="de-DE"/>
        </w:rPr>
        <w:t>20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Core CAL Suite Bridge für Windows</w:t>
      </w:r>
      <w:r w:rsidR="0069040B" w:rsidRPr="0069040B">
        <w:rPr>
          <w:rFonts w:cs="Tahoma"/>
          <w:vertAlign w:val="superscript"/>
          <w:lang w:val="de-DE"/>
        </w:rPr>
        <w:t>®</w:t>
      </w:r>
      <w:r w:rsidRPr="005E36DC">
        <w:rPr>
          <w:rFonts w:cs="Tahoma"/>
          <w:lang w:val="de-DE"/>
        </w:rPr>
        <w:t xml:space="preserve"> Intune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_Toc363998690 \h </w:instrText>
      </w:r>
      <w:r w:rsidRPr="005E36DC">
        <w:rPr>
          <w:rFonts w:cs="Tahoma"/>
        </w:rPr>
      </w:r>
      <w:r w:rsidRPr="005E36DC">
        <w:rPr>
          <w:rFonts w:cs="Tahoma"/>
        </w:rPr>
        <w:fldChar w:fldCharType="separate"/>
      </w:r>
      <w:r w:rsidR="00DC4771">
        <w:rPr>
          <w:rFonts w:cs="Tahoma"/>
          <w:lang w:val="de-DE"/>
        </w:rPr>
        <w:t>20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Core CAL Suite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_Toc363998691 \h </w:instrText>
      </w:r>
      <w:r w:rsidRPr="005E36DC">
        <w:rPr>
          <w:rFonts w:cs="Tahoma"/>
        </w:rPr>
      </w:r>
      <w:r w:rsidRPr="005E36DC">
        <w:rPr>
          <w:rFonts w:cs="Tahoma"/>
        </w:rPr>
        <w:fldChar w:fldCharType="separate"/>
      </w:r>
      <w:r w:rsidR="00DC4771">
        <w:rPr>
          <w:rFonts w:cs="Tahoma"/>
          <w:lang w:val="de-DE"/>
        </w:rPr>
        <w:t>20</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Core Infrastructure Server Suite Standard</w:t>
      </w:r>
      <w:r w:rsidRPr="005E36DC">
        <w:rPr>
          <w:rFonts w:cs="Tahoma"/>
          <w:lang w:val="fr-FR"/>
        </w:rPr>
        <w:tab/>
      </w:r>
      <w:r w:rsidRPr="005E36DC">
        <w:rPr>
          <w:rFonts w:cs="Tahoma"/>
        </w:rPr>
        <w:fldChar w:fldCharType="begin"/>
      </w:r>
      <w:r w:rsidRPr="005E36DC">
        <w:rPr>
          <w:rFonts w:cs="Tahoma"/>
          <w:lang w:val="fr-FR"/>
        </w:rPr>
        <w:instrText xml:space="preserve"> PAGEREF _Toc363998692 \h </w:instrText>
      </w:r>
      <w:r w:rsidRPr="005E36DC">
        <w:rPr>
          <w:rFonts w:cs="Tahoma"/>
        </w:rPr>
      </w:r>
      <w:r w:rsidRPr="005E36DC">
        <w:rPr>
          <w:rFonts w:cs="Tahoma"/>
        </w:rPr>
        <w:fldChar w:fldCharType="separate"/>
      </w:r>
      <w:r w:rsidR="00DC4771">
        <w:rPr>
          <w:rFonts w:cs="Tahoma"/>
          <w:lang w:val="fr-FR"/>
        </w:rPr>
        <w:t>20</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Core Infrastructure Server Suite Enterprise</w:t>
      </w:r>
      <w:r w:rsidRPr="005E36DC">
        <w:rPr>
          <w:rFonts w:cs="Tahoma"/>
          <w:lang w:val="fr-FR"/>
        </w:rPr>
        <w:tab/>
      </w:r>
      <w:r w:rsidRPr="005E36DC">
        <w:rPr>
          <w:rFonts w:cs="Tahoma"/>
        </w:rPr>
        <w:fldChar w:fldCharType="begin"/>
      </w:r>
      <w:r w:rsidRPr="005E36DC">
        <w:rPr>
          <w:rFonts w:cs="Tahoma"/>
          <w:lang w:val="fr-FR"/>
        </w:rPr>
        <w:instrText xml:space="preserve"> PAGEREF _Toc363998693 \h </w:instrText>
      </w:r>
      <w:r w:rsidRPr="005E36DC">
        <w:rPr>
          <w:rFonts w:cs="Tahoma"/>
        </w:rPr>
      </w:r>
      <w:r w:rsidRPr="005E36DC">
        <w:rPr>
          <w:rFonts w:cs="Tahoma"/>
        </w:rPr>
        <w:fldChar w:fldCharType="separate"/>
      </w:r>
      <w:r w:rsidR="00DC4771">
        <w:rPr>
          <w:rFonts w:cs="Tahoma"/>
          <w:lang w:val="fr-FR"/>
        </w:rPr>
        <w:t>20</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Core Infrastructure Server Suite Datacenter</w:t>
      </w:r>
      <w:r w:rsidRPr="005E36DC">
        <w:rPr>
          <w:rFonts w:cs="Tahoma"/>
          <w:lang w:val="fr-FR"/>
        </w:rPr>
        <w:tab/>
      </w:r>
      <w:r w:rsidRPr="005E36DC">
        <w:rPr>
          <w:rFonts w:cs="Tahoma"/>
        </w:rPr>
        <w:fldChar w:fldCharType="begin"/>
      </w:r>
      <w:r w:rsidRPr="005E36DC">
        <w:rPr>
          <w:rFonts w:cs="Tahoma"/>
          <w:lang w:val="fr-FR"/>
        </w:rPr>
        <w:instrText xml:space="preserve"> PAGEREF _Toc363998694 \h </w:instrText>
      </w:r>
      <w:r w:rsidRPr="005E36DC">
        <w:rPr>
          <w:rFonts w:cs="Tahoma"/>
        </w:rPr>
      </w:r>
      <w:r w:rsidRPr="005E36DC">
        <w:rPr>
          <w:rFonts w:cs="Tahoma"/>
        </w:rPr>
        <w:fldChar w:fldCharType="separate"/>
      </w:r>
      <w:r w:rsidR="00DC4771">
        <w:rPr>
          <w:rFonts w:cs="Tahoma"/>
          <w:lang w:val="fr-FR"/>
        </w:rPr>
        <w:t>20</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Duet Enterprise 2</w:t>
      </w:r>
      <w:r w:rsidR="00844B7C">
        <w:rPr>
          <w:rFonts w:cs="Tahoma"/>
          <w:lang w:val="fr-FR"/>
        </w:rPr>
        <w:t>.</w:t>
      </w:r>
      <w:r w:rsidRPr="005E36DC">
        <w:rPr>
          <w:rFonts w:cs="Tahoma"/>
          <w:lang w:val="fr-FR"/>
        </w:rPr>
        <w:t>0</w:t>
      </w:r>
      <w:r w:rsidRPr="005E36DC">
        <w:rPr>
          <w:rFonts w:cs="Tahoma"/>
          <w:lang w:val="fr-FR"/>
        </w:rPr>
        <w:tab/>
      </w:r>
      <w:r w:rsidRPr="005E36DC">
        <w:rPr>
          <w:rFonts w:cs="Tahoma"/>
        </w:rPr>
        <w:fldChar w:fldCharType="begin"/>
      </w:r>
      <w:r w:rsidRPr="005E36DC">
        <w:rPr>
          <w:rFonts w:cs="Tahoma"/>
          <w:lang w:val="fr-FR"/>
        </w:rPr>
        <w:instrText xml:space="preserve"> PAGEREF _Toc363998695 \h </w:instrText>
      </w:r>
      <w:r w:rsidRPr="005E36DC">
        <w:rPr>
          <w:rFonts w:cs="Tahoma"/>
        </w:rPr>
      </w:r>
      <w:r w:rsidRPr="005E36DC">
        <w:rPr>
          <w:rFonts w:cs="Tahoma"/>
        </w:rPr>
        <w:fldChar w:fldCharType="separate"/>
      </w:r>
      <w:r w:rsidR="00DC4771">
        <w:rPr>
          <w:rFonts w:cs="Tahoma"/>
          <w:lang w:val="fr-FR"/>
        </w:rPr>
        <w:t>20</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Microsoft Dynamics CRM Online-Zusatzspeicher</w:t>
      </w:r>
      <w:r w:rsidRPr="005E36DC">
        <w:rPr>
          <w:rFonts w:cs="Tahoma"/>
          <w:lang w:val="fr-FR"/>
        </w:rPr>
        <w:tab/>
      </w:r>
      <w:r w:rsidRPr="005E36DC">
        <w:rPr>
          <w:rFonts w:cs="Tahoma"/>
        </w:rPr>
        <w:fldChar w:fldCharType="begin"/>
      </w:r>
      <w:r w:rsidRPr="005E36DC">
        <w:rPr>
          <w:rFonts w:cs="Tahoma"/>
          <w:lang w:val="fr-FR"/>
        </w:rPr>
        <w:instrText xml:space="preserve"> PAGEREF _Toc363998696 \h </w:instrText>
      </w:r>
      <w:r w:rsidRPr="005E36DC">
        <w:rPr>
          <w:rFonts w:cs="Tahoma"/>
        </w:rPr>
      </w:r>
      <w:r w:rsidRPr="005E36DC">
        <w:rPr>
          <w:rFonts w:cs="Tahoma"/>
        </w:rPr>
        <w:fldChar w:fldCharType="separate"/>
      </w:r>
      <w:r w:rsidR="00DC4771">
        <w:rPr>
          <w:rFonts w:cs="Tahoma"/>
          <w:lang w:val="fr-FR"/>
        </w:rPr>
        <w:t>20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Microsoft Dynamics CRM Online pro Nutzer</w:t>
      </w:r>
      <w:r w:rsidRPr="005E36DC">
        <w:rPr>
          <w:rFonts w:cs="Tahoma"/>
          <w:lang w:val="de-DE"/>
        </w:rPr>
        <w:tab/>
      </w:r>
      <w:r w:rsidRPr="005E36DC">
        <w:rPr>
          <w:rFonts w:cs="Tahoma"/>
        </w:rPr>
        <w:fldChar w:fldCharType="begin"/>
      </w:r>
      <w:r w:rsidRPr="005E36DC">
        <w:rPr>
          <w:rFonts w:cs="Tahoma"/>
          <w:lang w:val="de-DE"/>
        </w:rPr>
        <w:instrText xml:space="preserve"> PAGEREF _Toc363998697 \h </w:instrText>
      </w:r>
      <w:r w:rsidRPr="005E36DC">
        <w:rPr>
          <w:rFonts w:cs="Tahoma"/>
        </w:rPr>
      </w:r>
      <w:r w:rsidRPr="005E36DC">
        <w:rPr>
          <w:rFonts w:cs="Tahoma"/>
        </w:rPr>
        <w:fldChar w:fldCharType="separate"/>
      </w:r>
      <w:r w:rsidR="00DC4771">
        <w:rPr>
          <w:rFonts w:cs="Tahoma"/>
          <w:lang w:val="de-DE"/>
        </w:rPr>
        <w:t>20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Microsoft Dynamics CRM Online für Software Assurance</w:t>
      </w:r>
      <w:r w:rsidRPr="005E36DC">
        <w:rPr>
          <w:rFonts w:cs="Tahoma"/>
          <w:lang w:val="de-DE"/>
        </w:rPr>
        <w:tab/>
      </w:r>
      <w:r w:rsidRPr="005E36DC">
        <w:rPr>
          <w:rFonts w:cs="Tahoma"/>
        </w:rPr>
        <w:fldChar w:fldCharType="begin"/>
      </w:r>
      <w:r w:rsidRPr="005E36DC">
        <w:rPr>
          <w:rFonts w:cs="Tahoma"/>
          <w:lang w:val="de-DE"/>
        </w:rPr>
        <w:instrText xml:space="preserve"> PAGEREF _Toc363998698 \h </w:instrText>
      </w:r>
      <w:r w:rsidRPr="005E36DC">
        <w:rPr>
          <w:rFonts w:cs="Tahoma"/>
        </w:rPr>
      </w:r>
      <w:r w:rsidRPr="005E36DC">
        <w:rPr>
          <w:rFonts w:cs="Tahoma"/>
        </w:rPr>
        <w:fldChar w:fldCharType="separate"/>
      </w:r>
      <w:r w:rsidR="00DC4771">
        <w:rPr>
          <w:rFonts w:cs="Tahoma"/>
          <w:lang w:val="de-DE"/>
        </w:rPr>
        <w:t>20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Enterprise CAL Suite Bridge für Office 365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_Toc363998699 \h </w:instrText>
      </w:r>
      <w:r w:rsidRPr="005E36DC">
        <w:rPr>
          <w:rFonts w:cs="Tahoma"/>
        </w:rPr>
      </w:r>
      <w:r w:rsidRPr="005E36DC">
        <w:rPr>
          <w:rFonts w:cs="Tahoma"/>
        </w:rPr>
        <w:fldChar w:fldCharType="separate"/>
      </w:r>
      <w:r w:rsidR="00DC4771">
        <w:rPr>
          <w:rFonts w:cs="Tahoma"/>
          <w:lang w:val="de-DE"/>
        </w:rPr>
        <w:t>20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Enterprise CAL Suite Bridge für Office 365 und Windows</w:t>
      </w:r>
      <w:r w:rsidR="0069040B" w:rsidRPr="0069040B">
        <w:rPr>
          <w:rFonts w:cs="Tahoma"/>
          <w:vertAlign w:val="superscript"/>
          <w:lang w:val="de-DE"/>
        </w:rPr>
        <w:t>®</w:t>
      </w:r>
      <w:r w:rsidRPr="005E36DC">
        <w:rPr>
          <w:rFonts w:cs="Tahoma"/>
          <w:lang w:val="de-DE"/>
        </w:rPr>
        <w:t xml:space="preserve"> Intune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_Toc363998700 \h </w:instrText>
      </w:r>
      <w:r w:rsidRPr="005E36DC">
        <w:rPr>
          <w:rFonts w:cs="Tahoma"/>
        </w:rPr>
      </w:r>
      <w:r w:rsidRPr="005E36DC">
        <w:rPr>
          <w:rFonts w:cs="Tahoma"/>
        </w:rPr>
        <w:fldChar w:fldCharType="separate"/>
      </w:r>
      <w:r w:rsidR="00DC4771">
        <w:rPr>
          <w:rFonts w:cs="Tahoma"/>
          <w:lang w:val="de-DE"/>
        </w:rPr>
        <w:t>20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Enterprise CAL Suite Bridge für Windows</w:t>
      </w:r>
      <w:r w:rsidR="0069040B" w:rsidRPr="0069040B">
        <w:rPr>
          <w:rFonts w:cs="Tahoma"/>
          <w:vertAlign w:val="superscript"/>
          <w:lang w:val="de-DE"/>
        </w:rPr>
        <w:t>®</w:t>
      </w:r>
      <w:r w:rsidRPr="005E36DC">
        <w:rPr>
          <w:rFonts w:cs="Tahoma"/>
          <w:lang w:val="de-DE"/>
        </w:rPr>
        <w:t xml:space="preserve"> Intune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_Toc363998701 \h </w:instrText>
      </w:r>
      <w:r w:rsidRPr="005E36DC">
        <w:rPr>
          <w:rFonts w:cs="Tahoma"/>
        </w:rPr>
      </w:r>
      <w:r w:rsidRPr="005E36DC">
        <w:rPr>
          <w:rFonts w:cs="Tahoma"/>
        </w:rPr>
        <w:fldChar w:fldCharType="separate"/>
      </w:r>
      <w:r w:rsidR="00DC4771">
        <w:rPr>
          <w:rFonts w:cs="Tahoma"/>
          <w:lang w:val="de-DE"/>
        </w:rPr>
        <w:t>20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Enterprise CAL Suite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_Toc363998702 \h </w:instrText>
      </w:r>
      <w:r w:rsidRPr="005E36DC">
        <w:rPr>
          <w:rFonts w:cs="Tahoma"/>
        </w:rPr>
      </w:r>
      <w:r w:rsidRPr="005E36DC">
        <w:rPr>
          <w:rFonts w:cs="Tahoma"/>
        </w:rPr>
        <w:fldChar w:fldCharType="separate"/>
      </w:r>
      <w:r w:rsidR="00DC4771">
        <w:rPr>
          <w:rFonts w:cs="Tahoma"/>
          <w:lang w:val="de-DE"/>
        </w:rPr>
        <w:t>20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Enterprise CAL mit Diensten2013</w:t>
      </w:r>
      <w:r w:rsidRPr="005E36DC">
        <w:rPr>
          <w:rFonts w:cs="Tahoma"/>
          <w:lang w:val="de-DE"/>
        </w:rPr>
        <w:tab/>
      </w:r>
      <w:r w:rsidRPr="005E36DC">
        <w:rPr>
          <w:rFonts w:cs="Tahoma"/>
        </w:rPr>
        <w:fldChar w:fldCharType="begin"/>
      </w:r>
      <w:r w:rsidRPr="005E36DC">
        <w:rPr>
          <w:rFonts w:cs="Tahoma"/>
          <w:lang w:val="de-DE"/>
        </w:rPr>
        <w:instrText xml:space="preserve"> PAGEREF _Toc363998703 \h </w:instrText>
      </w:r>
      <w:r w:rsidRPr="005E36DC">
        <w:rPr>
          <w:rFonts w:cs="Tahoma"/>
        </w:rPr>
      </w:r>
      <w:r w:rsidRPr="005E36DC">
        <w:rPr>
          <w:rFonts w:cs="Tahoma"/>
        </w:rPr>
        <w:fldChar w:fldCharType="separate"/>
      </w:r>
      <w:r w:rsidR="00DC4771">
        <w:rPr>
          <w:rFonts w:cs="Tahoma"/>
          <w:lang w:val="de-DE"/>
        </w:rPr>
        <w:t>20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Enterprise CAL ohne Dienste 2013</w:t>
      </w:r>
      <w:r w:rsidRPr="005E36DC">
        <w:rPr>
          <w:rFonts w:cs="Tahoma"/>
          <w:lang w:val="de-DE"/>
        </w:rPr>
        <w:tab/>
      </w:r>
      <w:r w:rsidRPr="005E36DC">
        <w:rPr>
          <w:rFonts w:cs="Tahoma"/>
        </w:rPr>
        <w:fldChar w:fldCharType="begin"/>
      </w:r>
      <w:r w:rsidRPr="005E36DC">
        <w:rPr>
          <w:rFonts w:cs="Tahoma"/>
          <w:lang w:val="de-DE"/>
        </w:rPr>
        <w:instrText xml:space="preserve"> PAGEREF _Toc363998704 \h </w:instrText>
      </w:r>
      <w:r w:rsidRPr="005E36DC">
        <w:rPr>
          <w:rFonts w:cs="Tahoma"/>
        </w:rPr>
      </w:r>
      <w:r w:rsidRPr="005E36DC">
        <w:rPr>
          <w:rFonts w:cs="Tahoma"/>
        </w:rPr>
        <w:fldChar w:fldCharType="separate"/>
      </w:r>
      <w:r w:rsidR="00DC4771">
        <w:rPr>
          <w:rFonts w:cs="Tahoma"/>
          <w:lang w:val="de-DE"/>
        </w:rPr>
        <w:t>20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Online-Archivierung für Exchange Server (Nutzer-AL)</w:t>
      </w:r>
      <w:r w:rsidRPr="005E36DC">
        <w:rPr>
          <w:rFonts w:cs="Tahoma"/>
          <w:lang w:val="de-DE"/>
        </w:rPr>
        <w:tab/>
      </w:r>
      <w:r w:rsidRPr="005E36DC">
        <w:rPr>
          <w:rFonts w:cs="Tahoma"/>
        </w:rPr>
        <w:fldChar w:fldCharType="begin"/>
      </w:r>
      <w:r w:rsidRPr="005E36DC">
        <w:rPr>
          <w:rFonts w:cs="Tahoma"/>
          <w:lang w:val="de-DE"/>
        </w:rPr>
        <w:instrText xml:space="preserve"> PAGEREF _Toc363998705 \h </w:instrText>
      </w:r>
      <w:r w:rsidRPr="005E36DC">
        <w:rPr>
          <w:rFonts w:cs="Tahoma"/>
        </w:rPr>
      </w:r>
      <w:r w:rsidRPr="005E36DC">
        <w:rPr>
          <w:rFonts w:cs="Tahoma"/>
        </w:rPr>
        <w:fldChar w:fldCharType="separate"/>
      </w:r>
      <w:r w:rsidR="00DC4771">
        <w:rPr>
          <w:rFonts w:cs="Tahoma"/>
          <w:lang w:val="de-DE"/>
        </w:rPr>
        <w:t>20</w:t>
      </w:r>
      <w:r w:rsidRPr="005E36DC">
        <w:rPr>
          <w:rFonts w:cs="Tahoma"/>
        </w:rPr>
        <w:fldChar w:fldCharType="end"/>
      </w:r>
    </w:p>
    <w:p w:rsidR="005E36DC" w:rsidRPr="00FB51BA" w:rsidRDefault="005E36DC" w:rsidP="00FB51BA">
      <w:pPr>
        <w:pStyle w:val="TOC2"/>
        <w:rPr>
          <w:rFonts w:cs="Tahoma"/>
          <w:lang w:val="de-DE"/>
        </w:rPr>
      </w:pPr>
      <w:r w:rsidRPr="00FB51BA">
        <w:rPr>
          <w:rFonts w:cs="Tahoma"/>
          <w:lang w:val="de-DE"/>
        </w:rPr>
        <w:t>Exchange Online-Archivierung für Exchange Server A (Nutzer-AL)</w:t>
      </w:r>
      <w:r w:rsidRPr="00FB51BA">
        <w:rPr>
          <w:rFonts w:cs="Tahoma"/>
          <w:lang w:val="de-DE"/>
        </w:rPr>
        <w:tab/>
      </w:r>
      <w:r w:rsidRPr="00FB51BA">
        <w:rPr>
          <w:rFonts w:cs="Tahoma"/>
          <w:lang w:val="de-DE"/>
        </w:rPr>
        <w:fldChar w:fldCharType="begin"/>
      </w:r>
      <w:r w:rsidRPr="00FB51BA">
        <w:rPr>
          <w:rFonts w:cs="Tahoma"/>
          <w:lang w:val="de-DE"/>
        </w:rPr>
        <w:instrText xml:space="preserve"> PAGEREF _Toc363998706 \h </w:instrText>
      </w:r>
      <w:r w:rsidRPr="00FB51BA">
        <w:rPr>
          <w:rFonts w:cs="Tahoma"/>
          <w:lang w:val="de-DE"/>
        </w:rPr>
      </w:r>
      <w:r w:rsidRPr="00FB51BA">
        <w:rPr>
          <w:rFonts w:cs="Tahoma"/>
          <w:lang w:val="de-DE"/>
        </w:rPr>
        <w:fldChar w:fldCharType="separate"/>
      </w:r>
      <w:r w:rsidR="00DC4771">
        <w:rPr>
          <w:rFonts w:cs="Tahoma"/>
          <w:lang w:val="de-DE"/>
        </w:rPr>
        <w:t>20</w:t>
      </w:r>
      <w:r w:rsidRPr="00FB51BA">
        <w:rPr>
          <w:rFonts w:cs="Tahoma"/>
          <w:lang w:val="de-DE"/>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Hosted Archive (Nutzer-AL)</w:t>
      </w:r>
      <w:r w:rsidRPr="005E36DC">
        <w:rPr>
          <w:rFonts w:cs="Tahoma"/>
          <w:lang w:val="de-DE"/>
        </w:rPr>
        <w:tab/>
      </w:r>
      <w:r w:rsidRPr="005E36DC">
        <w:rPr>
          <w:rFonts w:cs="Tahoma"/>
        </w:rPr>
        <w:fldChar w:fldCharType="begin"/>
      </w:r>
      <w:r w:rsidRPr="005E36DC">
        <w:rPr>
          <w:rFonts w:cs="Tahoma"/>
          <w:lang w:val="de-DE"/>
        </w:rPr>
        <w:instrText xml:space="preserve"> PAGEREF _Toc363998707 \h </w:instrText>
      </w:r>
      <w:r w:rsidRPr="005E36DC">
        <w:rPr>
          <w:rFonts w:cs="Tahoma"/>
        </w:rPr>
      </w:r>
      <w:r w:rsidRPr="005E36DC">
        <w:rPr>
          <w:rFonts w:cs="Tahoma"/>
        </w:rPr>
        <w:fldChar w:fldCharType="separate"/>
      </w:r>
      <w:r w:rsidR="00DC4771">
        <w:rPr>
          <w:rFonts w:cs="Tahoma"/>
          <w:lang w:val="de-DE"/>
        </w:rPr>
        <w:t>20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Hosted Archive Extra Storage (Nutzer-AL)</w:t>
      </w:r>
      <w:r w:rsidRPr="005E36DC">
        <w:rPr>
          <w:rFonts w:cs="Tahoma"/>
          <w:lang w:val="de-DE"/>
        </w:rPr>
        <w:tab/>
      </w:r>
      <w:r w:rsidRPr="005E36DC">
        <w:rPr>
          <w:rFonts w:cs="Tahoma"/>
        </w:rPr>
        <w:fldChar w:fldCharType="begin"/>
      </w:r>
      <w:r w:rsidRPr="005E36DC">
        <w:rPr>
          <w:rFonts w:cs="Tahoma"/>
          <w:lang w:val="de-DE"/>
        </w:rPr>
        <w:instrText xml:space="preserve"> PAGEREF _Toc363998708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Hosted Encryption (Nutzer-AL)</w:t>
      </w:r>
      <w:r w:rsidRPr="005E36DC">
        <w:rPr>
          <w:rFonts w:cs="Tahoma"/>
          <w:lang w:val="de-DE"/>
        </w:rPr>
        <w:tab/>
      </w:r>
      <w:r w:rsidRPr="005E36DC">
        <w:rPr>
          <w:rFonts w:cs="Tahoma"/>
        </w:rPr>
        <w:fldChar w:fldCharType="begin"/>
      </w:r>
      <w:r w:rsidRPr="005E36DC">
        <w:rPr>
          <w:rFonts w:cs="Tahoma"/>
          <w:lang w:val="de-DE"/>
        </w:rPr>
        <w:instrText xml:space="preserve"> PAGEREF _Toc363998709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Online-Archivierung für Exchange Online A</w:t>
      </w:r>
      <w:r w:rsidRPr="005E36DC">
        <w:rPr>
          <w:rFonts w:cs="Tahoma"/>
          <w:lang w:val="de-DE"/>
        </w:rPr>
        <w:tab/>
      </w:r>
      <w:r w:rsidRPr="005E36DC">
        <w:rPr>
          <w:rFonts w:cs="Tahoma"/>
        </w:rPr>
        <w:fldChar w:fldCharType="begin"/>
      </w:r>
      <w:r w:rsidRPr="005E36DC">
        <w:rPr>
          <w:rFonts w:cs="Tahoma"/>
          <w:lang w:val="de-DE"/>
        </w:rPr>
        <w:instrText xml:space="preserve"> PAGEREF _Toc363998710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Online-Archivierung für Exchange Online</w:t>
      </w:r>
      <w:r w:rsidRPr="005E36DC">
        <w:rPr>
          <w:rFonts w:cs="Tahoma"/>
          <w:lang w:val="de-DE"/>
        </w:rPr>
        <w:tab/>
      </w:r>
      <w:r w:rsidRPr="005E36DC">
        <w:rPr>
          <w:rFonts w:cs="Tahoma"/>
        </w:rPr>
        <w:fldChar w:fldCharType="begin"/>
      </w:r>
      <w:r w:rsidRPr="005E36DC">
        <w:rPr>
          <w:rFonts w:cs="Tahoma"/>
          <w:lang w:val="de-DE"/>
        </w:rPr>
        <w:instrText xml:space="preserve"> PAGEREF _Toc363998711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Online Kiosk (Nutzer-AL)</w:t>
      </w:r>
      <w:r w:rsidRPr="005E36DC">
        <w:rPr>
          <w:rFonts w:cs="Tahoma"/>
          <w:lang w:val="de-DE"/>
        </w:rPr>
        <w:tab/>
      </w:r>
      <w:r w:rsidRPr="005E36DC">
        <w:rPr>
          <w:rFonts w:cs="Tahoma"/>
        </w:rPr>
        <w:fldChar w:fldCharType="begin"/>
      </w:r>
      <w:r w:rsidRPr="005E36DC">
        <w:rPr>
          <w:rFonts w:cs="Tahoma"/>
          <w:lang w:val="de-DE"/>
        </w:rPr>
        <w:instrText xml:space="preserve"> PAGEREF _Toc363998712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Add-On für Exchange Online Plan 1(Nutzer-AL)</w:t>
      </w:r>
      <w:r w:rsidRPr="005E36DC">
        <w:rPr>
          <w:rFonts w:cs="Tahoma"/>
          <w:lang w:val="de-DE"/>
        </w:rPr>
        <w:tab/>
      </w:r>
      <w:r w:rsidRPr="005E36DC">
        <w:rPr>
          <w:rFonts w:cs="Tahoma"/>
        </w:rPr>
        <w:fldChar w:fldCharType="begin"/>
      </w:r>
      <w:r w:rsidRPr="005E36DC">
        <w:rPr>
          <w:rFonts w:cs="Tahoma"/>
          <w:lang w:val="de-DE"/>
        </w:rPr>
        <w:instrText xml:space="preserve"> PAGEREF _Toc363998713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Online Plan 1 (Nutzer-AL)</w:t>
      </w:r>
      <w:r w:rsidRPr="005E36DC">
        <w:rPr>
          <w:rFonts w:cs="Tahoma"/>
          <w:lang w:val="de-DE"/>
        </w:rPr>
        <w:tab/>
      </w:r>
      <w:r w:rsidRPr="005E36DC">
        <w:rPr>
          <w:rFonts w:cs="Tahoma"/>
        </w:rPr>
        <w:fldChar w:fldCharType="begin"/>
      </w:r>
      <w:r w:rsidRPr="005E36DC">
        <w:rPr>
          <w:rFonts w:cs="Tahoma"/>
          <w:lang w:val="de-DE"/>
        </w:rPr>
        <w:instrText xml:space="preserve"> PAGEREF _Toc363998714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Online Plan 2 (Nutzer-AL)</w:t>
      </w:r>
      <w:r w:rsidRPr="005E36DC">
        <w:rPr>
          <w:rFonts w:cs="Tahoma"/>
          <w:lang w:val="de-DE"/>
        </w:rPr>
        <w:tab/>
      </w:r>
      <w:r w:rsidRPr="005E36DC">
        <w:rPr>
          <w:rFonts w:cs="Tahoma"/>
        </w:rPr>
        <w:fldChar w:fldCharType="begin"/>
      </w:r>
      <w:r w:rsidRPr="005E36DC">
        <w:rPr>
          <w:rFonts w:cs="Tahoma"/>
          <w:lang w:val="de-DE"/>
        </w:rPr>
        <w:instrText xml:space="preserve"> PAGEREF _Toc363998715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FB51BA" w:rsidRDefault="005E36DC" w:rsidP="00FB51BA">
      <w:pPr>
        <w:pStyle w:val="TOC2"/>
        <w:rPr>
          <w:rFonts w:cs="Tahoma"/>
          <w:lang w:val="de-DE"/>
        </w:rPr>
      </w:pPr>
      <w:r w:rsidRPr="00051083">
        <w:rPr>
          <w:lang w:val="de-DE"/>
        </w:rPr>
        <w:t>E</w:t>
      </w:r>
      <w:r w:rsidRPr="00FB51BA">
        <w:rPr>
          <w:rFonts w:cs="Tahoma"/>
          <w:lang w:val="de-DE"/>
        </w:rPr>
        <w:t>xchange Online Plan 1A für Alumni (Nutzer-AL)</w:t>
      </w:r>
      <w:r w:rsidRPr="00FB51BA">
        <w:rPr>
          <w:rFonts w:cs="Tahoma"/>
          <w:lang w:val="de-DE"/>
        </w:rPr>
        <w:tab/>
      </w:r>
      <w:r w:rsidRPr="00FB51BA">
        <w:rPr>
          <w:rFonts w:cs="Tahoma"/>
          <w:lang w:val="de-DE"/>
        </w:rPr>
        <w:fldChar w:fldCharType="begin"/>
      </w:r>
      <w:r w:rsidRPr="00FB51BA">
        <w:rPr>
          <w:rFonts w:cs="Tahoma"/>
          <w:lang w:val="de-DE"/>
        </w:rPr>
        <w:instrText xml:space="preserve"> PAGEREF _Toc363998716 \h </w:instrText>
      </w:r>
      <w:r w:rsidRPr="00FB51BA">
        <w:rPr>
          <w:rFonts w:cs="Tahoma"/>
          <w:lang w:val="de-DE"/>
        </w:rPr>
      </w:r>
      <w:r w:rsidRPr="00FB51BA">
        <w:rPr>
          <w:rFonts w:cs="Tahoma"/>
          <w:lang w:val="de-DE"/>
        </w:rPr>
        <w:fldChar w:fldCharType="separate"/>
      </w:r>
      <w:r w:rsidR="00DC4771">
        <w:rPr>
          <w:rFonts w:cs="Tahoma"/>
          <w:lang w:val="de-DE"/>
        </w:rPr>
        <w:t>21</w:t>
      </w:r>
      <w:r w:rsidRPr="00FB51BA">
        <w:rPr>
          <w:rFonts w:cs="Tahoma"/>
          <w:lang w:val="de-DE"/>
        </w:rPr>
        <w:fldChar w:fldCharType="end"/>
      </w:r>
    </w:p>
    <w:p w:rsidR="005E36DC" w:rsidRPr="00FB51BA" w:rsidRDefault="005E36DC" w:rsidP="00FB51BA">
      <w:pPr>
        <w:pStyle w:val="TOC2"/>
        <w:rPr>
          <w:rFonts w:cs="Tahoma"/>
          <w:lang w:val="de-DE"/>
        </w:rPr>
      </w:pPr>
      <w:r w:rsidRPr="00FB51BA">
        <w:rPr>
          <w:rFonts w:cs="Tahoma"/>
          <w:lang w:val="de-DE"/>
        </w:rPr>
        <w:t>Exchange Online Plan 2A (Nutzer-AL)</w:t>
      </w:r>
      <w:r w:rsidRPr="00FB51BA">
        <w:rPr>
          <w:rFonts w:cs="Tahoma"/>
          <w:lang w:val="de-DE"/>
        </w:rPr>
        <w:tab/>
      </w:r>
      <w:r w:rsidRPr="00FB51BA">
        <w:rPr>
          <w:rFonts w:cs="Tahoma"/>
          <w:lang w:val="de-DE"/>
        </w:rPr>
        <w:fldChar w:fldCharType="begin"/>
      </w:r>
      <w:r w:rsidRPr="00FB51BA">
        <w:rPr>
          <w:rFonts w:cs="Tahoma"/>
          <w:lang w:val="de-DE"/>
        </w:rPr>
        <w:instrText xml:space="preserve"> PAGEREF _Toc363998717 \h </w:instrText>
      </w:r>
      <w:r w:rsidRPr="00FB51BA">
        <w:rPr>
          <w:rFonts w:cs="Tahoma"/>
          <w:lang w:val="de-DE"/>
        </w:rPr>
      </w:r>
      <w:r w:rsidRPr="00FB51BA">
        <w:rPr>
          <w:rFonts w:cs="Tahoma"/>
          <w:lang w:val="de-DE"/>
        </w:rPr>
        <w:fldChar w:fldCharType="separate"/>
      </w:r>
      <w:r w:rsidR="00DC4771">
        <w:rPr>
          <w:rFonts w:cs="Tahoma"/>
          <w:lang w:val="de-DE"/>
        </w:rPr>
        <w:t>21</w:t>
      </w:r>
      <w:r w:rsidRPr="00FB51BA">
        <w:rPr>
          <w:rFonts w:cs="Tahoma"/>
          <w:lang w:val="de-DE"/>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Online Protection (Nutzer-AL)</w:t>
      </w:r>
      <w:r w:rsidRPr="005E36DC">
        <w:rPr>
          <w:rFonts w:cs="Tahoma"/>
          <w:lang w:val="de-DE"/>
        </w:rPr>
        <w:tab/>
      </w:r>
      <w:r w:rsidRPr="005E36DC">
        <w:rPr>
          <w:rFonts w:cs="Tahoma"/>
        </w:rPr>
        <w:fldChar w:fldCharType="begin"/>
      </w:r>
      <w:r w:rsidRPr="005E36DC">
        <w:rPr>
          <w:rFonts w:cs="Tahoma"/>
          <w:lang w:val="de-DE"/>
        </w:rPr>
        <w:instrText xml:space="preserve"> PAGEREF _Toc363998718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Server Enterprise 2013</w:t>
      </w:r>
      <w:r w:rsidRPr="005E36DC">
        <w:rPr>
          <w:rFonts w:cs="Tahoma"/>
          <w:lang w:val="de-DE"/>
        </w:rPr>
        <w:tab/>
      </w:r>
      <w:r w:rsidRPr="005E36DC">
        <w:rPr>
          <w:rFonts w:cs="Tahoma"/>
        </w:rPr>
        <w:fldChar w:fldCharType="begin"/>
      </w:r>
      <w:r w:rsidRPr="005E36DC">
        <w:rPr>
          <w:rFonts w:cs="Tahoma"/>
          <w:lang w:val="de-DE"/>
        </w:rPr>
        <w:instrText xml:space="preserve"> PAGEREF _Toc363998719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Server Standard 2013</w:t>
      </w:r>
      <w:r w:rsidRPr="005E36DC">
        <w:rPr>
          <w:rFonts w:cs="Tahoma"/>
          <w:lang w:val="de-DE"/>
        </w:rPr>
        <w:tab/>
      </w:r>
      <w:r w:rsidRPr="005E36DC">
        <w:rPr>
          <w:rFonts w:cs="Tahoma"/>
        </w:rPr>
        <w:fldChar w:fldCharType="begin"/>
      </w:r>
      <w:r w:rsidRPr="005E36DC">
        <w:rPr>
          <w:rFonts w:cs="Tahoma"/>
          <w:lang w:val="de-DE"/>
        </w:rPr>
        <w:instrText xml:space="preserve"> PAGEREF _Toc363998720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Exchange Server 2007 Standard für Small Business</w:t>
      </w:r>
      <w:r w:rsidRPr="005E36DC">
        <w:rPr>
          <w:rFonts w:cs="Tahoma"/>
          <w:lang w:val="de-DE"/>
        </w:rPr>
        <w:tab/>
      </w:r>
      <w:r w:rsidRPr="005E36DC">
        <w:rPr>
          <w:rFonts w:cs="Tahoma"/>
        </w:rPr>
        <w:fldChar w:fldCharType="begin"/>
      </w:r>
      <w:r w:rsidRPr="005E36DC">
        <w:rPr>
          <w:rFonts w:cs="Tahoma"/>
          <w:lang w:val="de-DE"/>
        </w:rPr>
        <w:instrText xml:space="preserve"> PAGEREF _Toc363998721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 für Exchange Server 2007 Standard für Small Business</w:t>
      </w:r>
      <w:r w:rsidRPr="005E36DC">
        <w:rPr>
          <w:rFonts w:cs="Tahoma"/>
          <w:lang w:val="de-DE"/>
        </w:rPr>
        <w:tab/>
      </w:r>
      <w:r w:rsidRPr="005E36DC">
        <w:rPr>
          <w:rFonts w:cs="Tahoma"/>
        </w:rPr>
        <w:fldChar w:fldCharType="begin"/>
      </w:r>
      <w:r w:rsidRPr="005E36DC">
        <w:rPr>
          <w:rFonts w:cs="Tahoma"/>
          <w:lang w:val="de-DE"/>
        </w:rPr>
        <w:instrText xml:space="preserve"> PAGEREF _Toc363998722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Standard-CAL für Exchange Server 2010 (Gerät &amp; Nutzer)</w:t>
      </w:r>
      <w:r w:rsidRPr="005E36DC">
        <w:rPr>
          <w:rFonts w:cs="Tahoma"/>
          <w:lang w:val="de-DE"/>
        </w:rPr>
        <w:tab/>
      </w:r>
      <w:r w:rsidRPr="005E36DC">
        <w:rPr>
          <w:rFonts w:cs="Tahoma"/>
        </w:rPr>
        <w:fldChar w:fldCharType="begin"/>
      </w:r>
      <w:r w:rsidRPr="005E36DC">
        <w:rPr>
          <w:rFonts w:cs="Tahoma"/>
          <w:lang w:val="de-DE"/>
        </w:rPr>
        <w:instrText xml:space="preserve"> PAGEREF _Toc363998723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Forefront Endpoint Protection</w:t>
      </w:r>
      <w:r w:rsidRPr="005E36DC">
        <w:rPr>
          <w:rFonts w:cs="Tahoma"/>
          <w:lang w:val="de-DE"/>
        </w:rPr>
        <w:tab/>
      </w:r>
      <w:r w:rsidRPr="005E36DC">
        <w:rPr>
          <w:rFonts w:cs="Tahoma"/>
        </w:rPr>
        <w:fldChar w:fldCharType="begin"/>
      </w:r>
      <w:r w:rsidRPr="005E36DC">
        <w:rPr>
          <w:rFonts w:cs="Tahoma"/>
          <w:lang w:val="de-DE"/>
        </w:rPr>
        <w:instrText xml:space="preserve"> PAGEREF _Toc363998724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 für Forefront Identity Manager 2010 R2 (nur Nutzer)</w:t>
      </w:r>
      <w:r w:rsidRPr="005E36DC">
        <w:rPr>
          <w:rFonts w:cs="Tahoma"/>
          <w:lang w:val="de-DE"/>
        </w:rPr>
        <w:tab/>
      </w:r>
      <w:r w:rsidRPr="005E36DC">
        <w:rPr>
          <w:rFonts w:cs="Tahoma"/>
        </w:rPr>
        <w:fldChar w:fldCharType="begin"/>
      </w:r>
      <w:r w:rsidRPr="005E36DC">
        <w:rPr>
          <w:rFonts w:cs="Tahoma"/>
          <w:lang w:val="de-DE"/>
        </w:rPr>
        <w:instrText xml:space="preserve"> PAGEREF _Toc363998725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Externer Connector für Forefront Identity Manager 2010 R2</w:t>
      </w:r>
      <w:r w:rsidRPr="005E36DC">
        <w:rPr>
          <w:rFonts w:cs="Tahoma"/>
        </w:rPr>
        <w:tab/>
      </w:r>
      <w:r w:rsidRPr="005E36DC">
        <w:rPr>
          <w:rFonts w:cs="Tahoma"/>
        </w:rPr>
        <w:fldChar w:fldCharType="begin"/>
      </w:r>
      <w:r w:rsidRPr="005E36DC">
        <w:rPr>
          <w:rFonts w:cs="Tahoma"/>
        </w:rPr>
        <w:instrText xml:space="preserve"> PAGEREF _Toc363998726 \h </w:instrText>
      </w:r>
      <w:r w:rsidRPr="005E36DC">
        <w:rPr>
          <w:rFonts w:cs="Tahoma"/>
        </w:rPr>
      </w:r>
      <w:r w:rsidRPr="005E36DC">
        <w:rPr>
          <w:rFonts w:cs="Tahoma"/>
        </w:rPr>
        <w:fldChar w:fldCharType="separate"/>
      </w:r>
      <w:r w:rsidR="00DC4771">
        <w:rPr>
          <w:rFonts w:cs="Tahoma"/>
        </w:rPr>
        <w:t>21</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Forefront Identity Manager 2010 R2 Server</w:t>
      </w:r>
      <w:r w:rsidRPr="005E36DC">
        <w:rPr>
          <w:rFonts w:cs="Tahoma"/>
        </w:rPr>
        <w:tab/>
      </w:r>
      <w:r w:rsidRPr="005E36DC">
        <w:rPr>
          <w:rFonts w:cs="Tahoma"/>
        </w:rPr>
        <w:fldChar w:fldCharType="begin"/>
      </w:r>
      <w:r w:rsidRPr="005E36DC">
        <w:rPr>
          <w:rFonts w:cs="Tahoma"/>
        </w:rPr>
        <w:instrText xml:space="preserve"> PAGEREF _Toc363998727 \h </w:instrText>
      </w:r>
      <w:r w:rsidRPr="005E36DC">
        <w:rPr>
          <w:rFonts w:cs="Tahoma"/>
        </w:rPr>
      </w:r>
      <w:r w:rsidRPr="005E36DC">
        <w:rPr>
          <w:rFonts w:cs="Tahoma"/>
        </w:rPr>
        <w:fldChar w:fldCharType="separate"/>
      </w:r>
      <w:r w:rsidR="00DC4771">
        <w:rPr>
          <w:rFonts w:cs="Tahoma"/>
        </w:rPr>
        <w:t>21</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Forefront Identity Manager 2010 R2 – Windows Live Edition</w:t>
      </w:r>
      <w:r w:rsidRPr="005E36DC">
        <w:rPr>
          <w:rFonts w:cs="Tahoma"/>
        </w:rPr>
        <w:tab/>
      </w:r>
      <w:r w:rsidRPr="005E36DC">
        <w:rPr>
          <w:rFonts w:cs="Tahoma"/>
        </w:rPr>
        <w:fldChar w:fldCharType="begin"/>
      </w:r>
      <w:r w:rsidRPr="005E36DC">
        <w:rPr>
          <w:rFonts w:cs="Tahoma"/>
        </w:rPr>
        <w:instrText xml:space="preserve"> PAGEREF _Toc363998728 \h </w:instrText>
      </w:r>
      <w:r w:rsidRPr="005E36DC">
        <w:rPr>
          <w:rFonts w:cs="Tahoma"/>
        </w:rPr>
      </w:r>
      <w:r w:rsidRPr="005E36DC">
        <w:rPr>
          <w:rFonts w:cs="Tahoma"/>
        </w:rPr>
        <w:fldChar w:fldCharType="separate"/>
      </w:r>
      <w:r w:rsidR="00DC4771">
        <w:rPr>
          <w:rFonts w:cs="Tahoma"/>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Forefront Online Protection für Exchange (Geräte- und Nutzer-AL)</w:t>
      </w:r>
      <w:r w:rsidRPr="005E36DC">
        <w:rPr>
          <w:rFonts w:cs="Tahoma"/>
          <w:lang w:val="de-DE"/>
        </w:rPr>
        <w:tab/>
      </w:r>
      <w:r w:rsidRPr="005E36DC">
        <w:rPr>
          <w:rFonts w:cs="Tahoma"/>
        </w:rPr>
        <w:fldChar w:fldCharType="begin"/>
      </w:r>
      <w:r w:rsidRPr="005E36DC">
        <w:rPr>
          <w:rFonts w:cs="Tahoma"/>
          <w:lang w:val="de-DE"/>
        </w:rPr>
        <w:instrText xml:space="preserve"> PAGEREF _Toc363998729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Forefront Protection 2010 für Exchange Server (Geräte- und Nutzer-AL)</w:t>
      </w:r>
      <w:r w:rsidRPr="005E36DC">
        <w:rPr>
          <w:rFonts w:cs="Tahoma"/>
          <w:lang w:val="de-DE"/>
        </w:rPr>
        <w:tab/>
      </w:r>
      <w:r w:rsidRPr="005E36DC">
        <w:rPr>
          <w:rFonts w:cs="Tahoma"/>
        </w:rPr>
        <w:fldChar w:fldCharType="begin"/>
      </w:r>
      <w:r w:rsidRPr="005E36DC">
        <w:rPr>
          <w:rFonts w:cs="Tahoma"/>
          <w:lang w:val="de-DE"/>
        </w:rPr>
        <w:instrText xml:space="preserve"> PAGEREF _Toc363998730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Forefront Protection Suite (Geräte- und Nutzer-AL)</w:t>
      </w:r>
      <w:r w:rsidRPr="005E36DC">
        <w:rPr>
          <w:rFonts w:cs="Tahoma"/>
          <w:lang w:val="de-DE"/>
        </w:rPr>
        <w:tab/>
      </w:r>
      <w:r w:rsidRPr="005E36DC">
        <w:rPr>
          <w:rFonts w:cs="Tahoma"/>
        </w:rPr>
        <w:fldChar w:fldCharType="begin"/>
      </w:r>
      <w:r w:rsidRPr="005E36DC">
        <w:rPr>
          <w:rFonts w:cs="Tahoma"/>
          <w:lang w:val="de-DE"/>
        </w:rPr>
        <w:instrText xml:space="preserve"> PAGEREF _Toc363998731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Forefront Security für Office Communications Server (Nutzer- und Geräte-AL)</w:t>
      </w:r>
      <w:r w:rsidRPr="005E36DC">
        <w:rPr>
          <w:rFonts w:cs="Tahoma"/>
          <w:lang w:val="de-DE"/>
        </w:rPr>
        <w:tab/>
      </w:r>
      <w:r w:rsidRPr="005E36DC">
        <w:rPr>
          <w:rFonts w:cs="Tahoma"/>
        </w:rPr>
        <w:fldChar w:fldCharType="begin"/>
      </w:r>
      <w:r w:rsidRPr="005E36DC">
        <w:rPr>
          <w:rFonts w:cs="Tahoma"/>
          <w:lang w:val="de-DE"/>
        </w:rPr>
        <w:instrText xml:space="preserve"> PAGEREF _Toc363998732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Forefront Protection 2010 for SharePoint (Geräte- und Nutzer-AL)</w:t>
      </w:r>
      <w:r w:rsidRPr="005E36DC">
        <w:rPr>
          <w:rFonts w:cs="Tahoma"/>
          <w:lang w:val="de-DE"/>
        </w:rPr>
        <w:tab/>
      </w:r>
      <w:r w:rsidRPr="005E36DC">
        <w:rPr>
          <w:rFonts w:cs="Tahoma"/>
        </w:rPr>
        <w:fldChar w:fldCharType="begin"/>
      </w:r>
      <w:r w:rsidRPr="005E36DC">
        <w:rPr>
          <w:rFonts w:cs="Tahoma"/>
          <w:lang w:val="de-DE"/>
        </w:rPr>
        <w:instrText xml:space="preserve"> PAGEREF _Toc363998733 \h </w:instrText>
      </w:r>
      <w:r w:rsidRPr="005E36DC">
        <w:rPr>
          <w:rFonts w:cs="Tahoma"/>
        </w:rPr>
      </w:r>
      <w:r w:rsidRPr="005E36DC">
        <w:rPr>
          <w:rFonts w:cs="Tahoma"/>
        </w:rPr>
        <w:fldChar w:fldCharType="separate"/>
      </w:r>
      <w:r w:rsidR="00DC4771">
        <w:rPr>
          <w:rFonts w:cs="Tahoma"/>
          <w:lang w:val="de-DE"/>
        </w:rPr>
        <w:t>21</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Forefront Protection 2010 for SharePoint for Internet Sites (Add-On-AL)</w:t>
      </w:r>
      <w:r w:rsidRPr="005E36DC">
        <w:rPr>
          <w:rFonts w:cs="Tahoma"/>
        </w:rPr>
        <w:tab/>
      </w:r>
      <w:r w:rsidRPr="005E36DC">
        <w:rPr>
          <w:rFonts w:cs="Tahoma"/>
        </w:rPr>
        <w:fldChar w:fldCharType="begin"/>
      </w:r>
      <w:r w:rsidRPr="005E36DC">
        <w:rPr>
          <w:rFonts w:cs="Tahoma"/>
        </w:rPr>
        <w:instrText xml:space="preserve"> PAGEREF _Toc363998734 \h </w:instrText>
      </w:r>
      <w:r w:rsidRPr="005E36DC">
        <w:rPr>
          <w:rFonts w:cs="Tahoma"/>
        </w:rPr>
      </w:r>
      <w:r w:rsidRPr="005E36DC">
        <w:rPr>
          <w:rFonts w:cs="Tahoma"/>
        </w:rPr>
        <w:fldChar w:fldCharType="separate"/>
      </w:r>
      <w:r w:rsidR="00DC4771">
        <w:rPr>
          <w:rFonts w:cs="Tahoma"/>
        </w:rPr>
        <w:t>21</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Forefront Threat Management Gateway Web Protection Services</w:t>
      </w:r>
      <w:r w:rsidRPr="005E36DC">
        <w:rPr>
          <w:rFonts w:cs="Tahoma"/>
        </w:rPr>
        <w:tab/>
      </w:r>
      <w:r w:rsidRPr="005E36DC">
        <w:rPr>
          <w:rFonts w:cs="Tahoma"/>
        </w:rPr>
        <w:fldChar w:fldCharType="begin"/>
      </w:r>
      <w:r w:rsidRPr="005E36DC">
        <w:rPr>
          <w:rFonts w:cs="Tahoma"/>
        </w:rPr>
        <w:instrText xml:space="preserve"> PAGEREF _Toc363998735 \h </w:instrText>
      </w:r>
      <w:r w:rsidRPr="005E36DC">
        <w:rPr>
          <w:rFonts w:cs="Tahoma"/>
        </w:rPr>
      </w:r>
      <w:r w:rsidRPr="005E36DC">
        <w:rPr>
          <w:rFonts w:cs="Tahoma"/>
        </w:rPr>
        <w:fldChar w:fldCharType="separate"/>
      </w:r>
      <w:r w:rsidR="00DC4771">
        <w:rPr>
          <w:rFonts w:cs="Tahoma"/>
        </w:rPr>
        <w:t>21</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Forefront Unified Access Gateway Server 2010</w:t>
      </w:r>
      <w:r w:rsidRPr="005E36DC">
        <w:rPr>
          <w:rFonts w:cs="Tahoma"/>
        </w:rPr>
        <w:tab/>
      </w:r>
      <w:r w:rsidRPr="005E36DC">
        <w:rPr>
          <w:rFonts w:cs="Tahoma"/>
        </w:rPr>
        <w:fldChar w:fldCharType="begin"/>
      </w:r>
      <w:r w:rsidRPr="005E36DC">
        <w:rPr>
          <w:rFonts w:cs="Tahoma"/>
        </w:rPr>
        <w:instrText xml:space="preserve"> PAGEREF _Toc363998736 \h </w:instrText>
      </w:r>
      <w:r w:rsidRPr="005E36DC">
        <w:rPr>
          <w:rFonts w:cs="Tahoma"/>
        </w:rPr>
      </w:r>
      <w:r w:rsidRPr="005E36DC">
        <w:rPr>
          <w:rFonts w:cs="Tahoma"/>
        </w:rPr>
        <w:fldChar w:fldCharType="separate"/>
      </w:r>
      <w:r w:rsidR="00DC4771">
        <w:rPr>
          <w:rFonts w:cs="Tahoma"/>
        </w:rPr>
        <w:t>22</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Externer Connector für Forefront Unified Access Gateway 2010</w:t>
      </w:r>
      <w:r w:rsidRPr="005E36DC">
        <w:rPr>
          <w:rFonts w:cs="Tahoma"/>
        </w:rPr>
        <w:tab/>
      </w:r>
      <w:r w:rsidRPr="005E36DC">
        <w:rPr>
          <w:rFonts w:cs="Tahoma"/>
        </w:rPr>
        <w:fldChar w:fldCharType="begin"/>
      </w:r>
      <w:r w:rsidRPr="005E36DC">
        <w:rPr>
          <w:rFonts w:cs="Tahoma"/>
        </w:rPr>
        <w:instrText xml:space="preserve"> PAGEREF _Toc363998737 \h </w:instrText>
      </w:r>
      <w:r w:rsidRPr="005E36DC">
        <w:rPr>
          <w:rFonts w:cs="Tahoma"/>
        </w:rPr>
      </w:r>
      <w:r w:rsidRPr="005E36DC">
        <w:rPr>
          <w:rFonts w:cs="Tahoma"/>
        </w:rPr>
        <w:fldChar w:fldCharType="separate"/>
      </w:r>
      <w:r w:rsidR="00DC4771">
        <w:rPr>
          <w:rFonts w:cs="Tahoma"/>
        </w:rPr>
        <w:t>22</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CAL für Forefront Unified Access Gateway 2010</w:t>
      </w:r>
      <w:r w:rsidRPr="005E36DC">
        <w:rPr>
          <w:rFonts w:cs="Tahoma"/>
        </w:rPr>
        <w:tab/>
      </w:r>
      <w:r w:rsidRPr="005E36DC">
        <w:rPr>
          <w:rFonts w:cs="Tahoma"/>
        </w:rPr>
        <w:fldChar w:fldCharType="begin"/>
      </w:r>
      <w:r w:rsidRPr="005E36DC">
        <w:rPr>
          <w:rFonts w:cs="Tahoma"/>
        </w:rPr>
        <w:instrText xml:space="preserve"> PAGEREF _Toc363998738 \h </w:instrText>
      </w:r>
      <w:r w:rsidRPr="005E36DC">
        <w:rPr>
          <w:rFonts w:cs="Tahoma"/>
        </w:rPr>
      </w:r>
      <w:r w:rsidRPr="005E36DC">
        <w:rPr>
          <w:rFonts w:cs="Tahoma"/>
        </w:rPr>
        <w:fldChar w:fldCharType="separate"/>
      </w:r>
      <w:r w:rsidR="00DC4771">
        <w:rPr>
          <w:rFonts w:cs="Tahoma"/>
        </w:rPr>
        <w:t>22</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10K CAL Pack für Forefront Unified Access Gateway 2010</w:t>
      </w:r>
      <w:r w:rsidRPr="005E36DC">
        <w:rPr>
          <w:rFonts w:cs="Tahoma"/>
        </w:rPr>
        <w:tab/>
      </w:r>
      <w:r w:rsidRPr="005E36DC">
        <w:rPr>
          <w:rFonts w:cs="Tahoma"/>
        </w:rPr>
        <w:fldChar w:fldCharType="begin"/>
      </w:r>
      <w:r w:rsidRPr="005E36DC">
        <w:rPr>
          <w:rFonts w:cs="Tahoma"/>
        </w:rPr>
        <w:instrText xml:space="preserve"> PAGEREF _Toc363998739 \h </w:instrText>
      </w:r>
      <w:r w:rsidRPr="005E36DC">
        <w:rPr>
          <w:rFonts w:cs="Tahoma"/>
        </w:rPr>
      </w:r>
      <w:r w:rsidRPr="005E36DC">
        <w:rPr>
          <w:rFonts w:cs="Tahoma"/>
        </w:rPr>
        <w:fldChar w:fldCharType="separate"/>
      </w:r>
      <w:r w:rsidR="00DC4771">
        <w:rPr>
          <w:rFonts w:cs="Tahoma"/>
        </w:rPr>
        <w:t>22</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HPC Pack 2008 R2 Enterprise</w:t>
      </w:r>
      <w:r w:rsidRPr="005E36DC">
        <w:rPr>
          <w:rFonts w:cs="Tahoma"/>
        </w:rPr>
        <w:tab/>
      </w:r>
      <w:r w:rsidRPr="005E36DC">
        <w:rPr>
          <w:rFonts w:cs="Tahoma"/>
        </w:rPr>
        <w:fldChar w:fldCharType="begin"/>
      </w:r>
      <w:r w:rsidRPr="005E36DC">
        <w:rPr>
          <w:rFonts w:cs="Tahoma"/>
        </w:rPr>
        <w:instrText xml:space="preserve"> PAGEREF _Toc363998740 \h </w:instrText>
      </w:r>
      <w:r w:rsidRPr="005E36DC">
        <w:rPr>
          <w:rFonts w:cs="Tahoma"/>
        </w:rPr>
      </w:r>
      <w:r w:rsidRPr="005E36DC">
        <w:rPr>
          <w:rFonts w:cs="Tahoma"/>
        </w:rPr>
        <w:fldChar w:fldCharType="separate"/>
      </w:r>
      <w:r w:rsidR="00DC4771">
        <w:rPr>
          <w:rFonts w:cs="Tahoma"/>
        </w:rPr>
        <w:t>22</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HPC Pack 2008 R2 für Workstation</w:t>
      </w:r>
      <w:r w:rsidRPr="005E36DC">
        <w:rPr>
          <w:rFonts w:cs="Tahoma"/>
        </w:rPr>
        <w:tab/>
      </w:r>
      <w:r w:rsidRPr="005E36DC">
        <w:rPr>
          <w:rFonts w:cs="Tahoma"/>
        </w:rPr>
        <w:fldChar w:fldCharType="begin"/>
      </w:r>
      <w:r w:rsidRPr="005E36DC">
        <w:rPr>
          <w:rFonts w:cs="Tahoma"/>
        </w:rPr>
        <w:instrText xml:space="preserve"> PAGEREF _Toc363998741 \h </w:instrText>
      </w:r>
      <w:r w:rsidRPr="005E36DC">
        <w:rPr>
          <w:rFonts w:cs="Tahoma"/>
        </w:rPr>
      </w:r>
      <w:r w:rsidRPr="005E36DC">
        <w:rPr>
          <w:rFonts w:cs="Tahoma"/>
        </w:rPr>
        <w:fldChar w:fldCharType="separate"/>
      </w:r>
      <w:r w:rsidR="00DC4771">
        <w:rPr>
          <w:rFonts w:cs="Tahoma"/>
        </w:rPr>
        <w:t>22</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Add-On für Lync Online Plan 1 (Nutzer-AL)</w:t>
      </w:r>
      <w:r w:rsidRPr="005E36DC">
        <w:rPr>
          <w:rFonts w:cs="Tahoma"/>
        </w:rPr>
        <w:tab/>
      </w:r>
      <w:r w:rsidRPr="005E36DC">
        <w:rPr>
          <w:rFonts w:cs="Tahoma"/>
        </w:rPr>
        <w:fldChar w:fldCharType="begin"/>
      </w:r>
      <w:r w:rsidRPr="005E36DC">
        <w:rPr>
          <w:rFonts w:cs="Tahoma"/>
        </w:rPr>
        <w:instrText xml:space="preserve"> PAGEREF _Toc363998742 \h </w:instrText>
      </w:r>
      <w:r w:rsidRPr="005E36DC">
        <w:rPr>
          <w:rFonts w:cs="Tahoma"/>
        </w:rPr>
      </w:r>
      <w:r w:rsidRPr="005E36DC">
        <w:rPr>
          <w:rFonts w:cs="Tahoma"/>
        </w:rPr>
        <w:fldChar w:fldCharType="separate"/>
      </w:r>
      <w:r w:rsidR="00DC4771">
        <w:rPr>
          <w:rFonts w:cs="Tahoma"/>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Lync Online Plan 1 (Nutzer-AL)</w:t>
      </w:r>
      <w:r w:rsidRPr="005E36DC">
        <w:rPr>
          <w:rFonts w:cs="Tahoma"/>
          <w:lang w:val="de-DE"/>
        </w:rPr>
        <w:tab/>
      </w:r>
      <w:r w:rsidRPr="005E36DC">
        <w:rPr>
          <w:rFonts w:cs="Tahoma"/>
        </w:rPr>
        <w:fldChar w:fldCharType="begin"/>
      </w:r>
      <w:r w:rsidRPr="005E36DC">
        <w:rPr>
          <w:rFonts w:cs="Tahoma"/>
          <w:lang w:val="de-DE"/>
        </w:rPr>
        <w:instrText xml:space="preserve"> PAGEREF _Toc363998743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Lync Online Plan 2 (Nutzer-AL)</w:t>
      </w:r>
      <w:r w:rsidRPr="005E36DC">
        <w:rPr>
          <w:rFonts w:cs="Tahoma"/>
          <w:lang w:val="de-DE"/>
        </w:rPr>
        <w:tab/>
      </w:r>
      <w:r w:rsidRPr="005E36DC">
        <w:rPr>
          <w:rFonts w:cs="Tahoma"/>
        </w:rPr>
        <w:fldChar w:fldCharType="begin"/>
      </w:r>
      <w:r w:rsidRPr="005E36DC">
        <w:rPr>
          <w:rFonts w:cs="Tahoma"/>
          <w:lang w:val="de-DE"/>
        </w:rPr>
        <w:instrText xml:space="preserve"> PAGEREF _Toc363998744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Lync Online Plan 3 (Nutzer-AL)</w:t>
      </w:r>
      <w:r w:rsidRPr="005E36DC">
        <w:rPr>
          <w:rFonts w:cs="Tahoma"/>
          <w:lang w:val="de-DE"/>
        </w:rPr>
        <w:tab/>
      </w:r>
      <w:r w:rsidRPr="005E36DC">
        <w:rPr>
          <w:rFonts w:cs="Tahoma"/>
        </w:rPr>
        <w:fldChar w:fldCharType="begin"/>
      </w:r>
      <w:r w:rsidRPr="005E36DC">
        <w:rPr>
          <w:rFonts w:cs="Tahoma"/>
          <w:lang w:val="de-DE"/>
        </w:rPr>
        <w:instrText xml:space="preserve"> PAGEREF _Toc363998745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Lync Online Plan 3A (Nutzer-AL)</w:t>
      </w:r>
      <w:r w:rsidRPr="005E36DC">
        <w:rPr>
          <w:rFonts w:cs="Tahoma"/>
          <w:lang w:val="de-DE"/>
        </w:rPr>
        <w:tab/>
      </w:r>
      <w:r w:rsidRPr="005E36DC">
        <w:rPr>
          <w:rFonts w:cs="Tahoma"/>
        </w:rPr>
        <w:fldChar w:fldCharType="begin"/>
      </w:r>
      <w:r w:rsidRPr="005E36DC">
        <w:rPr>
          <w:rFonts w:cs="Tahoma"/>
          <w:lang w:val="de-DE"/>
        </w:rPr>
        <w:instrText xml:space="preserve"> PAGEREF _Toc363998746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Lync Server 2013</w:t>
      </w:r>
      <w:r w:rsidRPr="005E36DC">
        <w:rPr>
          <w:rFonts w:cs="Tahoma"/>
          <w:lang w:val="fr-FR"/>
        </w:rPr>
        <w:tab/>
      </w:r>
      <w:r w:rsidRPr="005E36DC">
        <w:rPr>
          <w:rFonts w:cs="Tahoma"/>
        </w:rPr>
        <w:fldChar w:fldCharType="begin"/>
      </w:r>
      <w:r w:rsidRPr="005E36DC">
        <w:rPr>
          <w:rFonts w:cs="Tahoma"/>
          <w:lang w:val="fr-FR"/>
        </w:rPr>
        <w:instrText xml:space="preserve"> PAGEREF _Toc363998747 \h </w:instrText>
      </w:r>
      <w:r w:rsidRPr="005E36DC">
        <w:rPr>
          <w:rFonts w:cs="Tahoma"/>
        </w:rPr>
      </w:r>
      <w:r w:rsidRPr="005E36DC">
        <w:rPr>
          <w:rFonts w:cs="Tahoma"/>
        </w:rPr>
        <w:fldChar w:fldCharType="separate"/>
      </w:r>
      <w:r w:rsidR="00DC4771">
        <w:rPr>
          <w:rFonts w:cs="Tahoma"/>
          <w:lang w:val="fr-FR"/>
        </w:rPr>
        <w:t>22</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Enterprise-CAL für Lync Server 2013</w:t>
      </w:r>
      <w:r w:rsidRPr="005E36DC">
        <w:rPr>
          <w:rFonts w:cs="Tahoma"/>
          <w:lang w:val="fr-FR"/>
        </w:rPr>
        <w:tab/>
      </w:r>
      <w:r w:rsidRPr="005E36DC">
        <w:rPr>
          <w:rFonts w:cs="Tahoma"/>
        </w:rPr>
        <w:fldChar w:fldCharType="begin"/>
      </w:r>
      <w:r w:rsidRPr="005E36DC">
        <w:rPr>
          <w:rFonts w:cs="Tahoma"/>
          <w:lang w:val="fr-FR"/>
        </w:rPr>
        <w:instrText xml:space="preserve"> PAGEREF _Toc363998748 \h </w:instrText>
      </w:r>
      <w:r w:rsidRPr="005E36DC">
        <w:rPr>
          <w:rFonts w:cs="Tahoma"/>
        </w:rPr>
      </w:r>
      <w:r w:rsidRPr="005E36DC">
        <w:rPr>
          <w:rFonts w:cs="Tahoma"/>
        </w:rPr>
        <w:fldChar w:fldCharType="separate"/>
      </w:r>
      <w:r w:rsidR="00DC4771">
        <w:rPr>
          <w:rFonts w:cs="Tahoma"/>
          <w:lang w:val="fr-FR"/>
        </w:rPr>
        <w:t>22</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CAL für Lync Server Plus 2013</w:t>
      </w:r>
      <w:r w:rsidRPr="005E36DC">
        <w:rPr>
          <w:rFonts w:cs="Tahoma"/>
          <w:lang w:val="fr-FR"/>
        </w:rPr>
        <w:tab/>
      </w:r>
      <w:r w:rsidRPr="005E36DC">
        <w:rPr>
          <w:rFonts w:cs="Tahoma"/>
        </w:rPr>
        <w:fldChar w:fldCharType="begin"/>
      </w:r>
      <w:r w:rsidRPr="005E36DC">
        <w:rPr>
          <w:rFonts w:cs="Tahoma"/>
          <w:lang w:val="fr-FR"/>
        </w:rPr>
        <w:instrText xml:space="preserve"> PAGEREF _Toc363998749 \h </w:instrText>
      </w:r>
      <w:r w:rsidRPr="005E36DC">
        <w:rPr>
          <w:rFonts w:cs="Tahoma"/>
        </w:rPr>
      </w:r>
      <w:r w:rsidRPr="005E36DC">
        <w:rPr>
          <w:rFonts w:cs="Tahoma"/>
        </w:rPr>
        <w:fldChar w:fldCharType="separate"/>
      </w:r>
      <w:r w:rsidR="00DC4771">
        <w:rPr>
          <w:rFonts w:cs="Tahoma"/>
          <w:lang w:val="fr-FR"/>
        </w:rPr>
        <w:t>22</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Standard-CAL für Lync Server 2013</w:t>
      </w:r>
      <w:r w:rsidRPr="005E36DC">
        <w:rPr>
          <w:rFonts w:cs="Tahoma"/>
          <w:lang w:val="fr-FR"/>
        </w:rPr>
        <w:tab/>
      </w:r>
      <w:r w:rsidRPr="005E36DC">
        <w:rPr>
          <w:rFonts w:cs="Tahoma"/>
        </w:rPr>
        <w:fldChar w:fldCharType="begin"/>
      </w:r>
      <w:r w:rsidRPr="005E36DC">
        <w:rPr>
          <w:rFonts w:cs="Tahoma"/>
          <w:lang w:val="fr-FR"/>
        </w:rPr>
        <w:instrText xml:space="preserve"> PAGEREF _Toc363998750 \h </w:instrText>
      </w:r>
      <w:r w:rsidRPr="005E36DC">
        <w:rPr>
          <w:rFonts w:cs="Tahoma"/>
        </w:rPr>
      </w:r>
      <w:r w:rsidRPr="005E36DC">
        <w:rPr>
          <w:rFonts w:cs="Tahoma"/>
        </w:rPr>
        <w:fldChar w:fldCharType="separate"/>
      </w:r>
      <w:r w:rsidR="00DC4771">
        <w:rPr>
          <w:rFonts w:cs="Tahoma"/>
          <w:lang w:val="fr-FR"/>
        </w:rPr>
        <w:t>22</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Zusätzliche CAL für Microsoft Dynamics AX 2012 R2 Enterprise (Nutzer &amp; Gerät)</w:t>
      </w:r>
      <w:r w:rsidRPr="005E36DC">
        <w:rPr>
          <w:rFonts w:cs="Tahoma"/>
          <w:lang w:val="fr-FR"/>
        </w:rPr>
        <w:tab/>
      </w:r>
      <w:r w:rsidRPr="005E36DC">
        <w:rPr>
          <w:rFonts w:cs="Tahoma"/>
        </w:rPr>
        <w:fldChar w:fldCharType="begin"/>
      </w:r>
      <w:r w:rsidRPr="005E36DC">
        <w:rPr>
          <w:rFonts w:cs="Tahoma"/>
          <w:lang w:val="fr-FR"/>
        </w:rPr>
        <w:instrText xml:space="preserve"> PAGEREF _Toc363998751 \h </w:instrText>
      </w:r>
      <w:r w:rsidRPr="005E36DC">
        <w:rPr>
          <w:rFonts w:cs="Tahoma"/>
        </w:rPr>
      </w:r>
      <w:r w:rsidRPr="005E36DC">
        <w:rPr>
          <w:rFonts w:cs="Tahoma"/>
        </w:rPr>
        <w:fldChar w:fldCharType="separate"/>
      </w:r>
      <w:r w:rsidR="00DC4771">
        <w:rPr>
          <w:rFonts w:cs="Tahoma"/>
          <w:lang w:val="fr-FR"/>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 für Microsoft Dynamics AX 2012 R2 Enterprise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_Toc363998752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Zusätzliche Funktions-CAL für Microsoft Dynamics AX 2012 R2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_Toc363998753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Funktions-CAL für Microsoft Dynamics AX 2012 R2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_Toc363998754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 für Microsoft Dynamics AX 2012 R2 Self-Service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_Toc363998755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Microsoft Dynamics AX 2012 R2 Server</w:t>
      </w:r>
      <w:r w:rsidRPr="005E36DC">
        <w:rPr>
          <w:rFonts w:cs="Tahoma"/>
          <w:lang w:val="de-DE"/>
        </w:rPr>
        <w:tab/>
      </w:r>
      <w:r w:rsidRPr="005E36DC">
        <w:rPr>
          <w:rFonts w:cs="Tahoma"/>
        </w:rPr>
        <w:fldChar w:fldCharType="begin"/>
      </w:r>
      <w:r w:rsidRPr="005E36DC">
        <w:rPr>
          <w:rFonts w:cs="Tahoma"/>
          <w:lang w:val="de-DE"/>
        </w:rPr>
        <w:instrText xml:space="preserve"> PAGEREF _Toc363998756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Zusätzliche Aufgaben-CAL für Microsoft Dynamics AX 2012 R2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_Toc363998757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Aufgaben-CAL für Microsoft Dynamics AX 2012 R2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_Toc363998758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 für Microsoft Dynamics CRM 2011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_Toc363998759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 für Microsoft Dynamics CRM 2011 Employee Self Service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_Toc363998760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Externer Connector für Microsoft Dynamics CRM 2011</w:t>
      </w:r>
      <w:r w:rsidRPr="005E36DC">
        <w:rPr>
          <w:rFonts w:cs="Tahoma"/>
          <w:lang w:val="de-DE"/>
        </w:rPr>
        <w:tab/>
      </w:r>
      <w:r w:rsidRPr="005E36DC">
        <w:rPr>
          <w:rFonts w:cs="Tahoma"/>
        </w:rPr>
        <w:fldChar w:fldCharType="begin"/>
      </w:r>
      <w:r w:rsidRPr="005E36DC">
        <w:rPr>
          <w:rFonts w:cs="Tahoma"/>
          <w:lang w:val="de-DE"/>
        </w:rPr>
        <w:instrText xml:space="preserve"> PAGEREF _Toc363998761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Zusätzliche CAL zur vollständigen Verwendung von Microsoft Dynamics CRM 2011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_Toc363998762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 zur Eingeschränkten Verwendung von Microsoft Dynamics CRM 2011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_Toc363998763 \h </w:instrText>
      </w:r>
      <w:r w:rsidRPr="005E36DC">
        <w:rPr>
          <w:rFonts w:cs="Tahoma"/>
        </w:rPr>
      </w:r>
      <w:r w:rsidRPr="005E36DC">
        <w:rPr>
          <w:rFonts w:cs="Tahoma"/>
        </w:rPr>
        <w:fldChar w:fldCharType="separate"/>
      </w:r>
      <w:r w:rsidR="00DC4771">
        <w:rPr>
          <w:rFonts w:cs="Tahoma"/>
          <w:lang w:val="de-DE"/>
        </w:rPr>
        <w:t>22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Zusätzliche CAL zur Eingeschränkten Verwendung von Microsoft Dynamics CRM 2011 (Nutzer &amp; Gerät)</w:t>
      </w:r>
      <w:r w:rsidRPr="005E36DC">
        <w:rPr>
          <w:rFonts w:cs="Tahoma"/>
          <w:lang w:val="de-DE"/>
        </w:rPr>
        <w:tab/>
      </w:r>
      <w:r w:rsidRPr="005E36DC">
        <w:rPr>
          <w:rFonts w:cs="Tahoma"/>
        </w:rPr>
        <w:fldChar w:fldCharType="begin"/>
      </w:r>
      <w:r w:rsidRPr="005E36DC">
        <w:rPr>
          <w:rFonts w:cs="Tahoma"/>
          <w:lang w:val="de-DE"/>
        </w:rPr>
        <w:instrText xml:space="preserve"> PAGEREF _Toc363998764 \h </w:instrText>
      </w:r>
      <w:r w:rsidRPr="005E36DC">
        <w:rPr>
          <w:rFonts w:cs="Tahoma"/>
        </w:rPr>
      </w:r>
      <w:r w:rsidRPr="005E36DC">
        <w:rPr>
          <w:rFonts w:cs="Tahoma"/>
        </w:rPr>
        <w:fldChar w:fldCharType="separate"/>
      </w:r>
      <w:r w:rsidR="00DC4771">
        <w:rPr>
          <w:rFonts w:cs="Tahoma"/>
          <w:lang w:val="de-DE"/>
        </w:rPr>
        <w:t>23</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Microsoft Dynamics CRM Server 2011</w:t>
      </w:r>
      <w:r w:rsidRPr="005E36DC">
        <w:rPr>
          <w:rFonts w:cs="Tahoma"/>
          <w:lang w:val="de-DE"/>
        </w:rPr>
        <w:tab/>
      </w:r>
      <w:r w:rsidRPr="005E36DC">
        <w:rPr>
          <w:rFonts w:cs="Tahoma"/>
        </w:rPr>
        <w:fldChar w:fldCharType="begin"/>
      </w:r>
      <w:r w:rsidRPr="005E36DC">
        <w:rPr>
          <w:rFonts w:cs="Tahoma"/>
          <w:lang w:val="de-DE"/>
        </w:rPr>
        <w:instrText xml:space="preserve"> PAGEREF _Toc363998765 \h </w:instrText>
      </w:r>
      <w:r w:rsidRPr="005E36DC">
        <w:rPr>
          <w:rFonts w:cs="Tahoma"/>
        </w:rPr>
      </w:r>
      <w:r w:rsidRPr="005E36DC">
        <w:rPr>
          <w:rFonts w:cs="Tahoma"/>
        </w:rPr>
        <w:fldChar w:fldCharType="separate"/>
      </w:r>
      <w:r w:rsidR="00DC4771">
        <w:rPr>
          <w:rFonts w:cs="Tahoma"/>
          <w:lang w:val="de-DE"/>
        </w:rPr>
        <w:t>23</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Microsoft Dynamics CRM Workgroup Server 2011</w:t>
      </w:r>
      <w:r w:rsidRPr="005E36DC">
        <w:rPr>
          <w:rFonts w:cs="Tahoma"/>
          <w:lang w:val="de-DE"/>
        </w:rPr>
        <w:tab/>
      </w:r>
      <w:r w:rsidRPr="005E36DC">
        <w:rPr>
          <w:rFonts w:cs="Tahoma"/>
        </w:rPr>
        <w:fldChar w:fldCharType="begin"/>
      </w:r>
      <w:r w:rsidRPr="005E36DC">
        <w:rPr>
          <w:rFonts w:cs="Tahoma"/>
          <w:lang w:val="de-DE"/>
        </w:rPr>
        <w:instrText xml:space="preserve"> PAGEREF _Toc363998766 \h </w:instrText>
      </w:r>
      <w:r w:rsidRPr="005E36DC">
        <w:rPr>
          <w:rFonts w:cs="Tahoma"/>
        </w:rPr>
      </w:r>
      <w:r w:rsidRPr="005E36DC">
        <w:rPr>
          <w:rFonts w:cs="Tahoma"/>
        </w:rPr>
        <w:fldChar w:fldCharType="separate"/>
      </w:r>
      <w:r w:rsidR="00DC4771">
        <w:rPr>
          <w:rFonts w:cs="Tahoma"/>
          <w:lang w:val="de-DE"/>
        </w:rPr>
        <w:t>23</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Microsoft Learning E-Reference Library (Nutzer-AL)</w:t>
      </w:r>
      <w:r w:rsidRPr="005E36DC">
        <w:rPr>
          <w:rFonts w:cs="Tahoma"/>
          <w:lang w:val="de-DE"/>
        </w:rPr>
        <w:tab/>
      </w:r>
      <w:r w:rsidRPr="005E36DC">
        <w:rPr>
          <w:rFonts w:cs="Tahoma"/>
        </w:rPr>
        <w:fldChar w:fldCharType="begin"/>
      </w:r>
      <w:r w:rsidRPr="005E36DC">
        <w:rPr>
          <w:rFonts w:cs="Tahoma"/>
          <w:lang w:val="de-DE"/>
        </w:rPr>
        <w:instrText xml:space="preserve"> PAGEREF _Toc363998767 \h </w:instrText>
      </w:r>
      <w:r w:rsidRPr="005E36DC">
        <w:rPr>
          <w:rFonts w:cs="Tahoma"/>
        </w:rPr>
      </w:r>
      <w:r w:rsidRPr="005E36DC">
        <w:rPr>
          <w:rFonts w:cs="Tahoma"/>
        </w:rPr>
        <w:fldChar w:fldCharType="separate"/>
      </w:r>
      <w:r w:rsidR="00DC4771">
        <w:rPr>
          <w:rFonts w:cs="Tahoma"/>
          <w:lang w:val="de-DE"/>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Microsoft Learning IT Academy (Dienste-AL)</w:t>
      </w:r>
      <w:r w:rsidRPr="005E36DC">
        <w:rPr>
          <w:rFonts w:cs="Tahoma"/>
        </w:rPr>
        <w:tab/>
      </w:r>
      <w:r w:rsidRPr="005E36DC">
        <w:rPr>
          <w:rFonts w:cs="Tahoma"/>
        </w:rPr>
        <w:fldChar w:fldCharType="begin"/>
      </w:r>
      <w:r w:rsidRPr="005E36DC">
        <w:rPr>
          <w:rFonts w:cs="Tahoma"/>
        </w:rPr>
        <w:instrText xml:space="preserve"> PAGEREF _Toc363998768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Microsoft Learning MCP 1 Prüfungsgutscheine (Dienste-AL)</w:t>
      </w:r>
      <w:r w:rsidRPr="005E36DC">
        <w:rPr>
          <w:rFonts w:cs="Tahoma"/>
          <w:lang w:val="de-DE"/>
        </w:rPr>
        <w:tab/>
      </w:r>
      <w:r w:rsidRPr="005E36DC">
        <w:rPr>
          <w:rFonts w:cs="Tahoma"/>
        </w:rPr>
        <w:fldChar w:fldCharType="begin"/>
      </w:r>
      <w:r w:rsidRPr="005E36DC">
        <w:rPr>
          <w:rFonts w:cs="Tahoma"/>
          <w:lang w:val="de-DE"/>
        </w:rPr>
        <w:instrText xml:space="preserve"> PAGEREF _Toc363998769 \h </w:instrText>
      </w:r>
      <w:r w:rsidRPr="005E36DC">
        <w:rPr>
          <w:rFonts w:cs="Tahoma"/>
        </w:rPr>
      </w:r>
      <w:r w:rsidRPr="005E36DC">
        <w:rPr>
          <w:rFonts w:cs="Tahoma"/>
        </w:rPr>
        <w:fldChar w:fldCharType="separate"/>
      </w:r>
      <w:r w:rsidR="00DC4771">
        <w:rPr>
          <w:rFonts w:cs="Tahoma"/>
          <w:lang w:val="de-DE"/>
        </w:rPr>
        <w:t>23</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Microsoft Learning MCP 30 Prüfungsgutscheine (Nutzer-AL)</w:t>
      </w:r>
      <w:r w:rsidRPr="005E36DC">
        <w:rPr>
          <w:rFonts w:cs="Tahoma"/>
          <w:lang w:val="de-DE"/>
        </w:rPr>
        <w:tab/>
      </w:r>
      <w:r w:rsidRPr="005E36DC">
        <w:rPr>
          <w:rFonts w:cs="Tahoma"/>
        </w:rPr>
        <w:fldChar w:fldCharType="begin"/>
      </w:r>
      <w:r w:rsidRPr="005E36DC">
        <w:rPr>
          <w:rFonts w:cs="Tahoma"/>
          <w:lang w:val="de-DE"/>
        </w:rPr>
        <w:instrText xml:space="preserve"> PAGEREF _Toc363998770 \h </w:instrText>
      </w:r>
      <w:r w:rsidRPr="005E36DC">
        <w:rPr>
          <w:rFonts w:cs="Tahoma"/>
        </w:rPr>
      </w:r>
      <w:r w:rsidRPr="005E36DC">
        <w:rPr>
          <w:rFonts w:cs="Tahoma"/>
        </w:rPr>
        <w:fldChar w:fldCharType="separate"/>
      </w:r>
      <w:r w:rsidR="00DC4771">
        <w:rPr>
          <w:rFonts w:cs="Tahoma"/>
          <w:lang w:val="de-DE"/>
        </w:rPr>
        <w:t>23</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Microsoft Learning MOS 500 Exam Site License (Dienste-AL)</w:t>
      </w:r>
      <w:r w:rsidRPr="005E36DC">
        <w:rPr>
          <w:rFonts w:cs="Tahoma"/>
          <w:lang w:val="de-DE"/>
        </w:rPr>
        <w:tab/>
      </w:r>
      <w:r w:rsidRPr="005E36DC">
        <w:rPr>
          <w:rFonts w:cs="Tahoma"/>
        </w:rPr>
        <w:fldChar w:fldCharType="begin"/>
      </w:r>
      <w:r w:rsidRPr="005E36DC">
        <w:rPr>
          <w:rFonts w:cs="Tahoma"/>
          <w:lang w:val="de-DE"/>
        </w:rPr>
        <w:instrText xml:space="preserve"> PAGEREF _Toc363998771 \h </w:instrText>
      </w:r>
      <w:r w:rsidRPr="005E36DC">
        <w:rPr>
          <w:rFonts w:cs="Tahoma"/>
        </w:rPr>
      </w:r>
      <w:r w:rsidRPr="005E36DC">
        <w:rPr>
          <w:rFonts w:cs="Tahoma"/>
        </w:rPr>
        <w:fldChar w:fldCharType="separate"/>
      </w:r>
      <w:r w:rsidR="00DC4771">
        <w:rPr>
          <w:rFonts w:cs="Tahoma"/>
          <w:lang w:val="de-DE"/>
        </w:rPr>
        <w:t>23</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Microsoft Learning MTA 250 Zertifizierungsprüfungs-Website</w:t>
      </w:r>
      <w:r w:rsidR="0069040B">
        <w:rPr>
          <w:rFonts w:cs="Tahoma"/>
          <w:lang w:val="de-DE"/>
        </w:rPr>
        <w:t xml:space="preserve"> </w:t>
      </w:r>
      <w:r w:rsidRPr="005E36DC">
        <w:rPr>
          <w:rFonts w:cs="Tahoma"/>
          <w:lang w:val="de-DE"/>
        </w:rPr>
        <w:t>(Dienste-AL)</w:t>
      </w:r>
      <w:r w:rsidRPr="005E36DC">
        <w:rPr>
          <w:rFonts w:cs="Tahoma"/>
          <w:lang w:val="de-DE"/>
        </w:rPr>
        <w:tab/>
      </w:r>
      <w:r w:rsidRPr="005E36DC">
        <w:rPr>
          <w:rFonts w:cs="Tahoma"/>
        </w:rPr>
        <w:fldChar w:fldCharType="begin"/>
      </w:r>
      <w:r w:rsidRPr="005E36DC">
        <w:rPr>
          <w:rFonts w:cs="Tahoma"/>
          <w:lang w:val="de-DE"/>
        </w:rPr>
        <w:instrText xml:space="preserve"> PAGEREF _Toc363998772 \h </w:instrText>
      </w:r>
      <w:r w:rsidRPr="005E36DC">
        <w:rPr>
          <w:rFonts w:cs="Tahoma"/>
        </w:rPr>
      </w:r>
      <w:r w:rsidRPr="005E36DC">
        <w:rPr>
          <w:rFonts w:cs="Tahoma"/>
        </w:rPr>
        <w:fldChar w:fldCharType="separate"/>
      </w:r>
      <w:r w:rsidR="00DC4771">
        <w:rPr>
          <w:rFonts w:cs="Tahoma"/>
          <w:lang w:val="de-DE"/>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Microsoft Office Audit and Control Management Server</w:t>
      </w:r>
      <w:r w:rsidRPr="005E36DC">
        <w:rPr>
          <w:rFonts w:cs="Tahoma"/>
        </w:rPr>
        <w:tab/>
      </w:r>
      <w:r w:rsidRPr="005E36DC">
        <w:rPr>
          <w:rFonts w:cs="Tahoma"/>
        </w:rPr>
        <w:fldChar w:fldCharType="begin"/>
      </w:r>
      <w:r w:rsidRPr="005E36DC">
        <w:rPr>
          <w:rFonts w:cs="Tahoma"/>
        </w:rPr>
        <w:instrText xml:space="preserve"> PAGEREF _Toc363998773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Microsoft Translator API</w:t>
      </w:r>
      <w:r w:rsidRPr="005E36DC">
        <w:rPr>
          <w:rFonts w:cs="Tahoma"/>
        </w:rPr>
        <w:tab/>
      </w:r>
      <w:r w:rsidRPr="005E36DC">
        <w:rPr>
          <w:rFonts w:cs="Tahoma"/>
        </w:rPr>
        <w:fldChar w:fldCharType="begin"/>
      </w:r>
      <w:r w:rsidRPr="005E36DC">
        <w:rPr>
          <w:rFonts w:cs="Tahoma"/>
        </w:rPr>
        <w:instrText xml:space="preserve"> PAGEREF _Toc363998774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Office 365 Midsize Business (Nutzer-AL)</w:t>
      </w:r>
      <w:r w:rsidRPr="005E36DC">
        <w:rPr>
          <w:rFonts w:cs="Tahoma"/>
        </w:rPr>
        <w:tab/>
      </w:r>
      <w:r w:rsidRPr="005E36DC">
        <w:rPr>
          <w:rFonts w:cs="Tahoma"/>
        </w:rPr>
        <w:fldChar w:fldCharType="begin"/>
      </w:r>
      <w:r w:rsidRPr="005E36DC">
        <w:rPr>
          <w:rFonts w:cs="Tahoma"/>
        </w:rPr>
        <w:instrText xml:space="preserve"> PAGEREF _Toc363998775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Office 365 Education A2 (Nutzer-AL)</w:t>
      </w:r>
      <w:r w:rsidRPr="005E36DC">
        <w:rPr>
          <w:rFonts w:cs="Tahoma"/>
        </w:rPr>
        <w:tab/>
      </w:r>
      <w:r w:rsidRPr="005E36DC">
        <w:rPr>
          <w:rFonts w:cs="Tahoma"/>
        </w:rPr>
        <w:fldChar w:fldCharType="begin"/>
      </w:r>
      <w:r w:rsidRPr="005E36DC">
        <w:rPr>
          <w:rFonts w:cs="Tahoma"/>
        </w:rPr>
        <w:instrText xml:space="preserve"> PAGEREF _Toc363998776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Office 365 Education A3 (Nutzer-AL)</w:t>
      </w:r>
      <w:r w:rsidRPr="005E36DC">
        <w:rPr>
          <w:rFonts w:cs="Tahoma"/>
        </w:rPr>
        <w:tab/>
      </w:r>
      <w:r w:rsidRPr="005E36DC">
        <w:rPr>
          <w:rFonts w:cs="Tahoma"/>
        </w:rPr>
        <w:fldChar w:fldCharType="begin"/>
      </w:r>
      <w:r w:rsidRPr="005E36DC">
        <w:rPr>
          <w:rFonts w:cs="Tahoma"/>
        </w:rPr>
        <w:instrText xml:space="preserve"> PAGEREF _Toc363998777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Office 365 Education A4 (Nutzer-AL)</w:t>
      </w:r>
      <w:r w:rsidRPr="005E36DC">
        <w:rPr>
          <w:rFonts w:cs="Tahoma"/>
        </w:rPr>
        <w:tab/>
      </w:r>
      <w:r w:rsidRPr="005E36DC">
        <w:rPr>
          <w:rFonts w:cs="Tahoma"/>
        </w:rPr>
        <w:fldChar w:fldCharType="begin"/>
      </w:r>
      <w:r w:rsidRPr="005E36DC">
        <w:rPr>
          <w:rFonts w:cs="Tahoma"/>
        </w:rPr>
        <w:instrText xml:space="preserve"> PAGEREF _Toc363998778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Office 365 Enterprise E3 (Nutzer-AL)</w:t>
      </w:r>
      <w:r w:rsidRPr="005E36DC">
        <w:rPr>
          <w:rFonts w:cs="Tahoma"/>
        </w:rPr>
        <w:tab/>
      </w:r>
      <w:r w:rsidRPr="005E36DC">
        <w:rPr>
          <w:rFonts w:cs="Tahoma"/>
        </w:rPr>
        <w:fldChar w:fldCharType="begin"/>
      </w:r>
      <w:r w:rsidRPr="005E36DC">
        <w:rPr>
          <w:rFonts w:cs="Tahoma"/>
        </w:rPr>
        <w:instrText xml:space="preserve"> PAGEREF _Toc363998779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Office 365 Enterprise E4 (Nutzer-AL)</w:t>
      </w:r>
      <w:r w:rsidRPr="005E36DC">
        <w:rPr>
          <w:rFonts w:cs="Tahoma"/>
        </w:rPr>
        <w:tab/>
      </w:r>
      <w:r w:rsidRPr="005E36DC">
        <w:rPr>
          <w:rFonts w:cs="Tahoma"/>
        </w:rPr>
        <w:fldChar w:fldCharType="begin"/>
      </w:r>
      <w:r w:rsidRPr="005E36DC">
        <w:rPr>
          <w:rFonts w:cs="Tahoma"/>
        </w:rPr>
        <w:instrText xml:space="preserve"> PAGEREF _Toc363998780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Add-On für Office 365 Enterprise E1, E3, E4 (Nutzer-AL)</w:t>
      </w:r>
      <w:r w:rsidRPr="005E36DC">
        <w:rPr>
          <w:rFonts w:cs="Tahoma"/>
        </w:rPr>
        <w:tab/>
      </w:r>
      <w:r w:rsidRPr="005E36DC">
        <w:rPr>
          <w:rFonts w:cs="Tahoma"/>
        </w:rPr>
        <w:fldChar w:fldCharType="begin"/>
      </w:r>
      <w:r w:rsidRPr="005E36DC">
        <w:rPr>
          <w:rFonts w:cs="Tahoma"/>
        </w:rPr>
        <w:instrText xml:space="preserve"> PAGEREF _Toc363998781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Add-On für Office 365 Enterprise E3, E4 ohne Office Pro Plus (Nutzer-AL)</w:t>
      </w:r>
      <w:r w:rsidRPr="005E36DC">
        <w:rPr>
          <w:rFonts w:cs="Tahoma"/>
        </w:rPr>
        <w:tab/>
      </w:r>
      <w:r w:rsidRPr="005E36DC">
        <w:rPr>
          <w:rFonts w:cs="Tahoma"/>
        </w:rPr>
        <w:fldChar w:fldCharType="begin"/>
      </w:r>
      <w:r w:rsidRPr="005E36DC">
        <w:rPr>
          <w:rFonts w:cs="Tahoma"/>
        </w:rPr>
        <w:instrText xml:space="preserve"> PAGEREF _Toc363998782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Office 365 Enterprise K1 (Nutzer-AL)</w:t>
      </w:r>
      <w:r w:rsidRPr="005E36DC">
        <w:rPr>
          <w:rFonts w:cs="Tahoma"/>
        </w:rPr>
        <w:tab/>
      </w:r>
      <w:r w:rsidRPr="005E36DC">
        <w:rPr>
          <w:rFonts w:cs="Tahoma"/>
        </w:rPr>
        <w:fldChar w:fldCharType="begin"/>
      </w:r>
      <w:r w:rsidRPr="005E36DC">
        <w:rPr>
          <w:rFonts w:cs="Tahoma"/>
        </w:rPr>
        <w:instrText xml:space="preserve"> PAGEREF _Toc363998783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Office 365 Government G1, G3, G4 (Nutzer-AL)</w:t>
      </w:r>
      <w:r w:rsidRPr="005E36DC">
        <w:rPr>
          <w:rFonts w:cs="Tahoma"/>
        </w:rPr>
        <w:tab/>
      </w:r>
      <w:r w:rsidRPr="005E36DC">
        <w:rPr>
          <w:rFonts w:cs="Tahoma"/>
        </w:rPr>
        <w:fldChar w:fldCharType="begin"/>
      </w:r>
      <w:r w:rsidRPr="005E36DC">
        <w:rPr>
          <w:rFonts w:cs="Tahoma"/>
        </w:rPr>
        <w:instrText xml:space="preserve"> PAGEREF _Toc363998784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Add-On für Office 365 Government G1, G3, G4 (Nutzer-AL)</w:t>
      </w:r>
      <w:r w:rsidRPr="005E36DC">
        <w:rPr>
          <w:rFonts w:cs="Tahoma"/>
        </w:rPr>
        <w:tab/>
      </w:r>
      <w:r w:rsidRPr="005E36DC">
        <w:rPr>
          <w:rFonts w:cs="Tahoma"/>
        </w:rPr>
        <w:fldChar w:fldCharType="begin"/>
      </w:r>
      <w:r w:rsidRPr="005E36DC">
        <w:rPr>
          <w:rFonts w:cs="Tahoma"/>
        </w:rPr>
        <w:instrText xml:space="preserve"> PAGEREF _Toc363998785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Add-On für Office 365 Government G3, G4 ohne Office Pro Plus (Nutzer-AL)</w:t>
      </w:r>
      <w:r w:rsidRPr="005E36DC">
        <w:rPr>
          <w:rFonts w:cs="Tahoma"/>
        </w:rPr>
        <w:tab/>
      </w:r>
      <w:r w:rsidRPr="005E36DC">
        <w:rPr>
          <w:rFonts w:cs="Tahoma"/>
        </w:rPr>
        <w:fldChar w:fldCharType="begin"/>
      </w:r>
      <w:r w:rsidRPr="005E36DC">
        <w:rPr>
          <w:rFonts w:cs="Tahoma"/>
        </w:rPr>
        <w:instrText xml:space="preserve"> PAGEREF _Toc363998786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Office Web-Anwendungen mit SharePoint Plan 2A (Nutzer-AL)</w:t>
      </w:r>
      <w:r w:rsidRPr="005E36DC">
        <w:rPr>
          <w:rFonts w:cs="Tahoma"/>
          <w:lang w:val="de-DE"/>
        </w:rPr>
        <w:tab/>
      </w:r>
      <w:r w:rsidRPr="005E36DC">
        <w:rPr>
          <w:rFonts w:cs="Tahoma"/>
        </w:rPr>
        <w:fldChar w:fldCharType="begin"/>
      </w:r>
      <w:r w:rsidRPr="005E36DC">
        <w:rPr>
          <w:rFonts w:cs="Tahoma"/>
          <w:lang w:val="de-DE"/>
        </w:rPr>
        <w:instrText xml:space="preserve"> PAGEREF _Toc363998787 \h </w:instrText>
      </w:r>
      <w:r w:rsidRPr="005E36DC">
        <w:rPr>
          <w:rFonts w:cs="Tahoma"/>
        </w:rPr>
      </w:r>
      <w:r w:rsidRPr="005E36DC">
        <w:rPr>
          <w:rFonts w:cs="Tahoma"/>
        </w:rPr>
        <w:fldChar w:fldCharType="separate"/>
      </w:r>
      <w:r w:rsidR="00DC4771">
        <w:rPr>
          <w:rFonts w:cs="Tahoma"/>
          <w:lang w:val="de-DE"/>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Project Online</w:t>
      </w:r>
      <w:r w:rsidRPr="005E36DC">
        <w:rPr>
          <w:rFonts w:cs="Tahoma"/>
        </w:rPr>
        <w:tab/>
      </w:r>
      <w:r w:rsidRPr="005E36DC">
        <w:rPr>
          <w:rFonts w:cs="Tahoma"/>
        </w:rPr>
        <w:fldChar w:fldCharType="begin"/>
      </w:r>
      <w:r w:rsidRPr="005E36DC">
        <w:rPr>
          <w:rFonts w:cs="Tahoma"/>
        </w:rPr>
        <w:instrText xml:space="preserve"> PAGEREF _Toc363998788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Project Online A</w:t>
      </w:r>
      <w:r w:rsidRPr="005E36DC">
        <w:rPr>
          <w:rFonts w:cs="Tahoma"/>
        </w:rPr>
        <w:tab/>
      </w:r>
      <w:r w:rsidRPr="005E36DC">
        <w:rPr>
          <w:rFonts w:cs="Tahoma"/>
        </w:rPr>
        <w:fldChar w:fldCharType="begin"/>
      </w:r>
      <w:r w:rsidRPr="005E36DC">
        <w:rPr>
          <w:rFonts w:cs="Tahoma"/>
        </w:rPr>
        <w:instrText xml:space="preserve"> PAGEREF _Toc363998789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Project Server 2013</w:t>
      </w:r>
      <w:r w:rsidRPr="005E36DC">
        <w:rPr>
          <w:rFonts w:cs="Tahoma"/>
        </w:rPr>
        <w:tab/>
      </w:r>
      <w:r w:rsidRPr="005E36DC">
        <w:rPr>
          <w:rFonts w:cs="Tahoma"/>
        </w:rPr>
        <w:fldChar w:fldCharType="begin"/>
      </w:r>
      <w:r w:rsidRPr="005E36DC">
        <w:rPr>
          <w:rFonts w:cs="Tahoma"/>
        </w:rPr>
        <w:instrText xml:space="preserve"> PAGEREF _Toc363998790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CAL für Project Server 2013</w:t>
      </w:r>
      <w:r w:rsidRPr="005E36DC">
        <w:rPr>
          <w:rFonts w:cs="Tahoma"/>
        </w:rPr>
        <w:tab/>
      </w:r>
      <w:r w:rsidRPr="005E36DC">
        <w:rPr>
          <w:rFonts w:cs="Tahoma"/>
        </w:rPr>
        <w:fldChar w:fldCharType="begin"/>
      </w:r>
      <w:r w:rsidRPr="005E36DC">
        <w:rPr>
          <w:rFonts w:cs="Tahoma"/>
        </w:rPr>
        <w:instrText xml:space="preserve"> PAGEREF _Toc363998791 \h </w:instrText>
      </w:r>
      <w:r w:rsidRPr="005E36DC">
        <w:rPr>
          <w:rFonts w:cs="Tahoma"/>
        </w:rPr>
      </w:r>
      <w:r w:rsidRPr="005E36DC">
        <w:rPr>
          <w:rFonts w:cs="Tahoma"/>
        </w:rPr>
        <w:fldChar w:fldCharType="separate"/>
      </w:r>
      <w:r w:rsidR="00DC4771">
        <w:rPr>
          <w:rFonts w:cs="Tahoma"/>
        </w:rPr>
        <w:t>23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SharePoint™ Online Extra Storage 1 GB (Add-On-AL)</w:t>
      </w:r>
      <w:r w:rsidRPr="005E36DC">
        <w:rPr>
          <w:rFonts w:cs="Tahoma"/>
        </w:rPr>
        <w:tab/>
      </w:r>
      <w:r w:rsidRPr="005E36DC">
        <w:rPr>
          <w:rFonts w:cs="Tahoma"/>
        </w:rPr>
        <w:fldChar w:fldCharType="begin"/>
      </w:r>
      <w:r w:rsidRPr="005E36DC">
        <w:rPr>
          <w:rFonts w:cs="Tahoma"/>
        </w:rPr>
        <w:instrText xml:space="preserve"> PAGEREF _Toc363998792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SharePoint™ Online Extra Storage 1 GB A (Add-On-AL)</w:t>
      </w:r>
      <w:r w:rsidRPr="005E36DC">
        <w:rPr>
          <w:rFonts w:cs="Tahoma"/>
        </w:rPr>
        <w:tab/>
      </w:r>
      <w:r w:rsidRPr="005E36DC">
        <w:rPr>
          <w:rFonts w:cs="Tahoma"/>
        </w:rPr>
        <w:fldChar w:fldCharType="begin"/>
      </w:r>
      <w:r w:rsidRPr="005E36DC">
        <w:rPr>
          <w:rFonts w:cs="Tahoma"/>
        </w:rPr>
        <w:instrText xml:space="preserve"> PAGEREF _Toc363998793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Add-On für SharePoint™ Online Plan 1 (Nutzer-AL)</w:t>
      </w:r>
      <w:r w:rsidRPr="005E36DC">
        <w:rPr>
          <w:rFonts w:cs="Tahoma"/>
          <w:lang w:val="de-DE"/>
        </w:rPr>
        <w:tab/>
      </w:r>
      <w:r w:rsidRPr="005E36DC">
        <w:rPr>
          <w:rFonts w:cs="Tahoma"/>
        </w:rPr>
        <w:fldChar w:fldCharType="begin"/>
      </w:r>
      <w:r w:rsidRPr="005E36DC">
        <w:rPr>
          <w:rFonts w:cs="Tahoma"/>
          <w:lang w:val="de-DE"/>
        </w:rPr>
        <w:instrText xml:space="preserve"> PAGEREF _Toc363998794 \h </w:instrText>
      </w:r>
      <w:r w:rsidRPr="005E36DC">
        <w:rPr>
          <w:rFonts w:cs="Tahoma"/>
        </w:rPr>
      </w:r>
      <w:r w:rsidRPr="005E36DC">
        <w:rPr>
          <w:rFonts w:cs="Tahoma"/>
        </w:rPr>
        <w:fldChar w:fldCharType="separate"/>
      </w:r>
      <w:r w:rsidR="00DC4771">
        <w:rPr>
          <w:rFonts w:cs="Tahoma"/>
          <w:lang w:val="de-DE"/>
        </w:rPr>
        <w:t>24</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SharePoint™ Online Plan 1 (Nutzer-AL)</w:t>
      </w:r>
      <w:r w:rsidRPr="005E36DC">
        <w:rPr>
          <w:rFonts w:cs="Tahoma"/>
          <w:lang w:val="de-DE"/>
        </w:rPr>
        <w:tab/>
      </w:r>
      <w:r w:rsidRPr="005E36DC">
        <w:rPr>
          <w:rFonts w:cs="Tahoma"/>
        </w:rPr>
        <w:fldChar w:fldCharType="begin"/>
      </w:r>
      <w:r w:rsidRPr="005E36DC">
        <w:rPr>
          <w:rFonts w:cs="Tahoma"/>
          <w:lang w:val="de-DE"/>
        </w:rPr>
        <w:instrText xml:space="preserve"> PAGEREF _Toc363998795 \h </w:instrText>
      </w:r>
      <w:r w:rsidRPr="005E36DC">
        <w:rPr>
          <w:rFonts w:cs="Tahoma"/>
        </w:rPr>
      </w:r>
      <w:r w:rsidRPr="005E36DC">
        <w:rPr>
          <w:rFonts w:cs="Tahoma"/>
        </w:rPr>
        <w:fldChar w:fldCharType="separate"/>
      </w:r>
      <w:r w:rsidR="00DC4771">
        <w:rPr>
          <w:rFonts w:cs="Tahoma"/>
          <w:lang w:val="de-DE"/>
        </w:rPr>
        <w:t>24</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Add-On für SharePoint™ Online Plan 1 mit Yammer (Nutzer-AL)</w:t>
      </w:r>
      <w:r w:rsidRPr="005E36DC">
        <w:rPr>
          <w:rFonts w:cs="Tahoma"/>
          <w:lang w:val="de-DE"/>
        </w:rPr>
        <w:tab/>
      </w:r>
      <w:r w:rsidRPr="005E36DC">
        <w:rPr>
          <w:rFonts w:cs="Tahoma"/>
        </w:rPr>
        <w:fldChar w:fldCharType="begin"/>
      </w:r>
      <w:r w:rsidRPr="005E36DC">
        <w:rPr>
          <w:rFonts w:cs="Tahoma"/>
          <w:lang w:val="de-DE"/>
        </w:rPr>
        <w:instrText xml:space="preserve"> PAGEREF _Toc363998796 \h </w:instrText>
      </w:r>
      <w:r w:rsidRPr="005E36DC">
        <w:rPr>
          <w:rFonts w:cs="Tahoma"/>
        </w:rPr>
      </w:r>
      <w:r w:rsidRPr="005E36DC">
        <w:rPr>
          <w:rFonts w:cs="Tahoma"/>
        </w:rPr>
        <w:fldChar w:fldCharType="separate"/>
      </w:r>
      <w:r w:rsidR="00DC4771">
        <w:rPr>
          <w:rFonts w:cs="Tahoma"/>
          <w:lang w:val="de-DE"/>
        </w:rPr>
        <w:t>24</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SharePoint™ Online Plan 2 (Nutzer-AL)</w:t>
      </w:r>
      <w:r w:rsidRPr="005E36DC">
        <w:rPr>
          <w:rFonts w:cs="Tahoma"/>
          <w:lang w:val="de-DE"/>
        </w:rPr>
        <w:tab/>
      </w:r>
      <w:r w:rsidRPr="005E36DC">
        <w:rPr>
          <w:rFonts w:cs="Tahoma"/>
        </w:rPr>
        <w:fldChar w:fldCharType="begin"/>
      </w:r>
      <w:r w:rsidRPr="005E36DC">
        <w:rPr>
          <w:rFonts w:cs="Tahoma"/>
          <w:lang w:val="de-DE"/>
        </w:rPr>
        <w:instrText xml:space="preserve"> PAGEREF _Toc363998797 \h </w:instrText>
      </w:r>
      <w:r w:rsidRPr="005E36DC">
        <w:rPr>
          <w:rFonts w:cs="Tahoma"/>
        </w:rPr>
      </w:r>
      <w:r w:rsidRPr="005E36DC">
        <w:rPr>
          <w:rFonts w:cs="Tahoma"/>
        </w:rPr>
        <w:fldChar w:fldCharType="separate"/>
      </w:r>
      <w:r w:rsidR="00DC4771">
        <w:rPr>
          <w:rFonts w:cs="Tahoma"/>
          <w:lang w:val="de-DE"/>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SharePoint™ Server 2013</w:t>
      </w:r>
      <w:r w:rsidRPr="005E36DC">
        <w:rPr>
          <w:rFonts w:cs="Tahoma"/>
        </w:rPr>
        <w:tab/>
      </w:r>
      <w:r w:rsidRPr="005E36DC">
        <w:rPr>
          <w:rFonts w:cs="Tahoma"/>
        </w:rPr>
        <w:fldChar w:fldCharType="begin"/>
      </w:r>
      <w:r w:rsidRPr="005E36DC">
        <w:rPr>
          <w:rFonts w:cs="Tahoma"/>
        </w:rPr>
        <w:instrText xml:space="preserve"> PAGEREF _Toc363998798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Enterprise CAL für SharePoint™ Server2013</w:t>
      </w:r>
      <w:r w:rsidRPr="005E36DC">
        <w:rPr>
          <w:rFonts w:cs="Tahoma"/>
        </w:rPr>
        <w:tab/>
      </w:r>
      <w:r w:rsidRPr="005E36DC">
        <w:rPr>
          <w:rFonts w:cs="Tahoma"/>
        </w:rPr>
        <w:fldChar w:fldCharType="begin"/>
      </w:r>
      <w:r w:rsidRPr="005E36DC">
        <w:rPr>
          <w:rFonts w:cs="Tahoma"/>
        </w:rPr>
        <w:instrText xml:space="preserve"> PAGEREF _Toc363998799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Standard-CAL für SharePoint™ Server2013</w:t>
      </w:r>
      <w:r w:rsidRPr="005E36DC">
        <w:rPr>
          <w:rFonts w:cs="Tahoma"/>
        </w:rPr>
        <w:tab/>
      </w:r>
      <w:r w:rsidRPr="005E36DC">
        <w:rPr>
          <w:rFonts w:cs="Tahoma"/>
        </w:rPr>
        <w:fldChar w:fldCharType="begin"/>
      </w:r>
      <w:r w:rsidRPr="005E36DC">
        <w:rPr>
          <w:rFonts w:cs="Tahoma"/>
        </w:rPr>
        <w:instrText xml:space="preserve"> PAGEREF _Toc363998800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val="pt-BR" w:eastAsia="zh-CN"/>
        </w:rPr>
      </w:pPr>
      <w:r w:rsidRPr="005E36DC">
        <w:rPr>
          <w:rFonts w:cs="Tahoma"/>
          <w:lang w:val="pt-BR"/>
        </w:rPr>
        <w:t>SQL Server</w:t>
      </w:r>
      <w:r w:rsidR="0069040B" w:rsidRPr="0069040B">
        <w:rPr>
          <w:rFonts w:eastAsia="Times New Roman" w:cs="Tahoma"/>
          <w:vertAlign w:val="superscript"/>
          <w:lang w:val="pt-BR"/>
        </w:rPr>
        <w:t>®</w:t>
      </w:r>
      <w:r w:rsidRPr="005E36DC">
        <w:rPr>
          <w:rFonts w:cs="Tahoma"/>
          <w:lang w:val="pt-BR"/>
        </w:rPr>
        <w:t xml:space="preserve"> 2008 R2 Datacenter, 1 Prozessorlizenz</w:t>
      </w:r>
      <w:r w:rsidRPr="005E36DC">
        <w:rPr>
          <w:rFonts w:cs="Tahoma"/>
          <w:lang w:val="pt-BR"/>
        </w:rPr>
        <w:tab/>
      </w:r>
      <w:r w:rsidRPr="005E36DC">
        <w:rPr>
          <w:rFonts w:cs="Tahoma"/>
        </w:rPr>
        <w:fldChar w:fldCharType="begin"/>
      </w:r>
      <w:r w:rsidRPr="005E36DC">
        <w:rPr>
          <w:rFonts w:cs="Tahoma"/>
          <w:lang w:val="pt-BR"/>
        </w:rPr>
        <w:instrText xml:space="preserve"> PAGEREF _Toc363998801 \h </w:instrText>
      </w:r>
      <w:r w:rsidRPr="005E36DC">
        <w:rPr>
          <w:rFonts w:cs="Tahoma"/>
        </w:rPr>
      </w:r>
      <w:r w:rsidRPr="005E36DC">
        <w:rPr>
          <w:rFonts w:cs="Tahoma"/>
        </w:rPr>
        <w:fldChar w:fldCharType="separate"/>
      </w:r>
      <w:r w:rsidR="00DC4771">
        <w:rPr>
          <w:rFonts w:cs="Tahoma"/>
          <w:lang w:val="pt-BR"/>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SQL Server</w:t>
      </w:r>
      <w:r w:rsidR="0069040B" w:rsidRPr="0069040B">
        <w:rPr>
          <w:rFonts w:eastAsia="Times New Roman" w:cs="Tahoma"/>
          <w:vertAlign w:val="superscript"/>
        </w:rPr>
        <w:t>®</w:t>
      </w:r>
      <w:r w:rsidRPr="005E36DC">
        <w:rPr>
          <w:rFonts w:cs="Tahoma"/>
        </w:rPr>
        <w:t xml:space="preserve"> 2008 R2 Small Business</w:t>
      </w:r>
      <w:r w:rsidRPr="005E36DC">
        <w:rPr>
          <w:rFonts w:cs="Tahoma"/>
        </w:rPr>
        <w:tab/>
      </w:r>
      <w:r w:rsidRPr="005E36DC">
        <w:rPr>
          <w:rFonts w:cs="Tahoma"/>
        </w:rPr>
        <w:fldChar w:fldCharType="begin"/>
      </w:r>
      <w:r w:rsidRPr="005E36DC">
        <w:rPr>
          <w:rFonts w:cs="Tahoma"/>
        </w:rPr>
        <w:instrText xml:space="preserve"> PAGEREF _Toc363998802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CAL für SQL Server</w:t>
      </w:r>
      <w:r w:rsidR="0069040B" w:rsidRPr="0069040B">
        <w:rPr>
          <w:rFonts w:eastAsia="Times New Roman" w:cs="Tahoma"/>
          <w:vertAlign w:val="superscript"/>
        </w:rPr>
        <w:t>®</w:t>
      </w:r>
      <w:r w:rsidRPr="005E36DC">
        <w:rPr>
          <w:rFonts w:cs="Tahoma"/>
        </w:rPr>
        <w:t xml:space="preserve"> 2008 R2 Small Business</w:t>
      </w:r>
      <w:r w:rsidRPr="005E36DC">
        <w:rPr>
          <w:rFonts w:cs="Tahoma"/>
        </w:rPr>
        <w:tab/>
      </w:r>
      <w:r w:rsidRPr="005E36DC">
        <w:rPr>
          <w:rFonts w:cs="Tahoma"/>
        </w:rPr>
        <w:fldChar w:fldCharType="begin"/>
      </w:r>
      <w:r w:rsidRPr="005E36DC">
        <w:rPr>
          <w:rFonts w:cs="Tahoma"/>
        </w:rPr>
        <w:instrText xml:space="preserve"> PAGEREF _Toc363998803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SQL Server</w:t>
      </w:r>
      <w:r w:rsidR="0069040B" w:rsidRPr="0069040B">
        <w:rPr>
          <w:rFonts w:eastAsia="Times New Roman" w:cs="Tahoma"/>
          <w:vertAlign w:val="superscript"/>
        </w:rPr>
        <w:t>®</w:t>
      </w:r>
      <w:r w:rsidRPr="005E36DC">
        <w:rPr>
          <w:rFonts w:cs="Tahoma"/>
        </w:rPr>
        <w:t xml:space="preserve"> 2008 R2 Web pro Prozessor</w:t>
      </w:r>
      <w:r w:rsidRPr="005E36DC">
        <w:rPr>
          <w:rFonts w:cs="Tahoma"/>
        </w:rPr>
        <w:tab/>
      </w:r>
      <w:r w:rsidRPr="005E36DC">
        <w:rPr>
          <w:rFonts w:cs="Tahoma"/>
        </w:rPr>
        <w:fldChar w:fldCharType="begin"/>
      </w:r>
      <w:r w:rsidRPr="005E36DC">
        <w:rPr>
          <w:rFonts w:cs="Tahoma"/>
        </w:rPr>
        <w:instrText xml:space="preserve"> PAGEREF _Toc363998804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CAL für SQL Server</w:t>
      </w:r>
      <w:r w:rsidR="0069040B" w:rsidRPr="0069040B">
        <w:rPr>
          <w:rFonts w:eastAsia="Times New Roman" w:cs="Tahoma"/>
          <w:vertAlign w:val="superscript"/>
        </w:rPr>
        <w:t>®</w:t>
      </w:r>
      <w:r w:rsidRPr="005E36DC">
        <w:rPr>
          <w:rFonts w:cs="Tahoma"/>
        </w:rPr>
        <w:t xml:space="preserve"> 2008 R2 Workgroup</w:t>
      </w:r>
      <w:r w:rsidRPr="005E36DC">
        <w:rPr>
          <w:rFonts w:cs="Tahoma"/>
        </w:rPr>
        <w:tab/>
      </w:r>
      <w:r w:rsidRPr="005E36DC">
        <w:rPr>
          <w:rFonts w:cs="Tahoma"/>
        </w:rPr>
        <w:fldChar w:fldCharType="begin"/>
      </w:r>
      <w:r w:rsidRPr="005E36DC">
        <w:rPr>
          <w:rFonts w:cs="Tahoma"/>
        </w:rPr>
        <w:instrText xml:space="preserve"> PAGEREF _Toc363998805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SQL Server</w:t>
      </w:r>
      <w:r w:rsidR="0069040B" w:rsidRPr="0069040B">
        <w:rPr>
          <w:rFonts w:eastAsia="Times New Roman" w:cs="Tahoma"/>
          <w:vertAlign w:val="superscript"/>
        </w:rPr>
        <w:t>®</w:t>
      </w:r>
      <w:r w:rsidRPr="005E36DC">
        <w:rPr>
          <w:rFonts w:cs="Tahoma"/>
        </w:rPr>
        <w:t xml:space="preserve"> 2008 R2 Workgroup</w:t>
      </w:r>
      <w:r w:rsidR="0069040B">
        <w:rPr>
          <w:rFonts w:cs="Tahoma"/>
        </w:rPr>
        <w:t xml:space="preserve"> </w:t>
      </w:r>
      <w:r w:rsidRPr="005E36DC">
        <w:rPr>
          <w:rFonts w:cs="Tahoma"/>
        </w:rPr>
        <w:t>(Add-On für 5 Clients)</w:t>
      </w:r>
      <w:r w:rsidRPr="005E36DC">
        <w:rPr>
          <w:rFonts w:cs="Tahoma"/>
        </w:rPr>
        <w:tab/>
      </w:r>
      <w:r w:rsidRPr="005E36DC">
        <w:rPr>
          <w:rFonts w:cs="Tahoma"/>
        </w:rPr>
        <w:fldChar w:fldCharType="begin"/>
      </w:r>
      <w:r w:rsidRPr="005E36DC">
        <w:rPr>
          <w:rFonts w:cs="Tahoma"/>
        </w:rPr>
        <w:instrText xml:space="preserve"> PAGEREF _Toc363998806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SQL Server</w:t>
      </w:r>
      <w:r w:rsidR="0069040B" w:rsidRPr="0069040B">
        <w:rPr>
          <w:rFonts w:eastAsia="Times New Roman" w:cs="Tahoma"/>
          <w:vertAlign w:val="superscript"/>
        </w:rPr>
        <w:t>®</w:t>
      </w:r>
      <w:r w:rsidRPr="005E36DC">
        <w:rPr>
          <w:rFonts w:cs="Tahoma"/>
        </w:rPr>
        <w:t xml:space="preserve"> 2008 R2 Workgroup, 1 Prozessorlizenz</w:t>
      </w:r>
      <w:r w:rsidRPr="005E36DC">
        <w:rPr>
          <w:rFonts w:cs="Tahoma"/>
        </w:rPr>
        <w:tab/>
      </w:r>
      <w:r w:rsidRPr="005E36DC">
        <w:rPr>
          <w:rFonts w:cs="Tahoma"/>
        </w:rPr>
        <w:fldChar w:fldCharType="begin"/>
      </w:r>
      <w:r w:rsidRPr="005E36DC">
        <w:rPr>
          <w:rFonts w:cs="Tahoma"/>
        </w:rPr>
        <w:instrText xml:space="preserve"> PAGEREF _Toc363998807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SQL Server</w:t>
      </w:r>
      <w:r w:rsidR="0069040B" w:rsidRPr="0069040B">
        <w:rPr>
          <w:rFonts w:eastAsia="Times New Roman" w:cs="Tahoma"/>
          <w:vertAlign w:val="superscript"/>
        </w:rPr>
        <w:t>®</w:t>
      </w:r>
      <w:r w:rsidRPr="005E36DC">
        <w:rPr>
          <w:rFonts w:cs="Tahoma"/>
        </w:rPr>
        <w:t xml:space="preserve"> 2012 Business Intelligence</w:t>
      </w:r>
      <w:r w:rsidRPr="005E36DC">
        <w:rPr>
          <w:rFonts w:cs="Tahoma"/>
        </w:rPr>
        <w:tab/>
      </w:r>
      <w:r w:rsidRPr="005E36DC">
        <w:rPr>
          <w:rFonts w:cs="Tahoma"/>
        </w:rPr>
        <w:fldChar w:fldCharType="begin"/>
      </w:r>
      <w:r w:rsidRPr="005E36DC">
        <w:rPr>
          <w:rFonts w:cs="Tahoma"/>
        </w:rPr>
        <w:instrText xml:space="preserve"> PAGEREF _Toc363998808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 für SQL Server</w:t>
      </w:r>
      <w:r w:rsidR="0069040B" w:rsidRPr="0069040B">
        <w:rPr>
          <w:rFonts w:eastAsia="Times New Roman" w:cs="Tahoma"/>
          <w:vertAlign w:val="superscript"/>
          <w:lang w:val="de-DE"/>
        </w:rPr>
        <w:t>®</w:t>
      </w:r>
      <w:r w:rsidRPr="005E36DC">
        <w:rPr>
          <w:rFonts w:cs="Tahoma"/>
          <w:lang w:val="de-DE"/>
        </w:rPr>
        <w:t xml:space="preserve"> 2012 (Geräte- &amp; Nutzer-AL)</w:t>
      </w:r>
      <w:r w:rsidRPr="005E36DC">
        <w:rPr>
          <w:rFonts w:cs="Tahoma"/>
          <w:lang w:val="de-DE"/>
        </w:rPr>
        <w:tab/>
      </w:r>
      <w:r w:rsidRPr="005E36DC">
        <w:rPr>
          <w:rFonts w:cs="Tahoma"/>
        </w:rPr>
        <w:fldChar w:fldCharType="begin"/>
      </w:r>
      <w:r w:rsidRPr="005E36DC">
        <w:rPr>
          <w:rFonts w:cs="Tahoma"/>
          <w:lang w:val="de-DE"/>
        </w:rPr>
        <w:instrText xml:space="preserve"> PAGEREF _Toc363998809 \h </w:instrText>
      </w:r>
      <w:r w:rsidRPr="005E36DC">
        <w:rPr>
          <w:rFonts w:cs="Tahoma"/>
        </w:rPr>
      </w:r>
      <w:r w:rsidRPr="005E36DC">
        <w:rPr>
          <w:rFonts w:cs="Tahoma"/>
        </w:rPr>
        <w:fldChar w:fldCharType="separate"/>
      </w:r>
      <w:r w:rsidR="00DC4771">
        <w:rPr>
          <w:rFonts w:cs="Tahoma"/>
          <w:lang w:val="de-DE"/>
        </w:rPr>
        <w:t>24</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SQL Server</w:t>
      </w:r>
      <w:r w:rsidR="0069040B" w:rsidRPr="0069040B">
        <w:rPr>
          <w:rFonts w:eastAsia="Times New Roman" w:cs="Tahoma"/>
          <w:vertAlign w:val="superscript"/>
          <w:lang w:val="de-DE"/>
        </w:rPr>
        <w:t>®</w:t>
      </w:r>
      <w:r w:rsidRPr="005E36DC">
        <w:rPr>
          <w:rFonts w:cs="Tahoma"/>
          <w:lang w:val="de-DE"/>
        </w:rPr>
        <w:t xml:space="preserve"> 2012 Developer</w:t>
      </w:r>
      <w:r w:rsidRPr="005E36DC">
        <w:rPr>
          <w:rFonts w:cs="Tahoma"/>
          <w:lang w:val="de-DE"/>
        </w:rPr>
        <w:tab/>
      </w:r>
      <w:r w:rsidRPr="005E36DC">
        <w:rPr>
          <w:rFonts w:cs="Tahoma"/>
        </w:rPr>
        <w:fldChar w:fldCharType="begin"/>
      </w:r>
      <w:r w:rsidRPr="005E36DC">
        <w:rPr>
          <w:rFonts w:cs="Tahoma"/>
          <w:lang w:val="de-DE"/>
        </w:rPr>
        <w:instrText xml:space="preserve"> PAGEREF _Toc363998810 \h </w:instrText>
      </w:r>
      <w:r w:rsidRPr="005E36DC">
        <w:rPr>
          <w:rFonts w:cs="Tahoma"/>
        </w:rPr>
      </w:r>
      <w:r w:rsidRPr="005E36DC">
        <w:rPr>
          <w:rFonts w:cs="Tahoma"/>
        </w:rPr>
        <w:fldChar w:fldCharType="separate"/>
      </w:r>
      <w:r w:rsidR="00DC4771">
        <w:rPr>
          <w:rFonts w:cs="Tahoma"/>
          <w:lang w:val="de-DE"/>
        </w:rPr>
        <w:t>24</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SQL Server</w:t>
      </w:r>
      <w:r w:rsidR="0069040B" w:rsidRPr="0069040B">
        <w:rPr>
          <w:rFonts w:eastAsia="Times New Roman" w:cs="Tahoma"/>
          <w:vertAlign w:val="superscript"/>
          <w:lang w:val="de-DE"/>
        </w:rPr>
        <w:t>®</w:t>
      </w:r>
      <w:r w:rsidRPr="005E36DC">
        <w:rPr>
          <w:rFonts w:cs="Tahoma"/>
          <w:lang w:val="de-DE"/>
        </w:rPr>
        <w:t xml:space="preserve"> 2012 Enterprise</w:t>
      </w:r>
      <w:r w:rsidRPr="005E36DC">
        <w:rPr>
          <w:rFonts w:cs="Tahoma"/>
          <w:lang w:val="de-DE"/>
        </w:rPr>
        <w:tab/>
      </w:r>
      <w:r w:rsidRPr="005E36DC">
        <w:rPr>
          <w:rFonts w:cs="Tahoma"/>
        </w:rPr>
        <w:fldChar w:fldCharType="begin"/>
      </w:r>
      <w:r w:rsidRPr="005E36DC">
        <w:rPr>
          <w:rFonts w:cs="Tahoma"/>
          <w:lang w:val="de-DE"/>
        </w:rPr>
        <w:instrText xml:space="preserve"> PAGEREF _Toc363998811 \h </w:instrText>
      </w:r>
      <w:r w:rsidRPr="005E36DC">
        <w:rPr>
          <w:rFonts w:cs="Tahoma"/>
        </w:rPr>
      </w:r>
      <w:r w:rsidRPr="005E36DC">
        <w:rPr>
          <w:rFonts w:cs="Tahoma"/>
        </w:rPr>
        <w:fldChar w:fldCharType="separate"/>
      </w:r>
      <w:r w:rsidR="00DC4771">
        <w:rPr>
          <w:rFonts w:cs="Tahoma"/>
          <w:lang w:val="de-DE"/>
        </w:rPr>
        <w:t>24</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SQL Server</w:t>
      </w:r>
      <w:r w:rsidR="0069040B" w:rsidRPr="0069040B">
        <w:rPr>
          <w:rFonts w:eastAsia="Times New Roman" w:cs="Tahoma"/>
          <w:vertAlign w:val="superscript"/>
          <w:lang w:val="de-DE"/>
        </w:rPr>
        <w:t>®</w:t>
      </w:r>
      <w:r w:rsidRPr="005E36DC">
        <w:rPr>
          <w:rFonts w:cs="Tahoma"/>
          <w:lang w:val="de-DE"/>
        </w:rPr>
        <w:t xml:space="preserve"> 2012 Enterprise Core (2Pack Core-Lizenz)</w:t>
      </w:r>
      <w:r w:rsidRPr="005E36DC">
        <w:rPr>
          <w:rFonts w:cs="Tahoma"/>
          <w:lang w:val="de-DE"/>
        </w:rPr>
        <w:tab/>
      </w:r>
      <w:r w:rsidRPr="005E36DC">
        <w:rPr>
          <w:rFonts w:cs="Tahoma"/>
        </w:rPr>
        <w:fldChar w:fldCharType="begin"/>
      </w:r>
      <w:r w:rsidRPr="005E36DC">
        <w:rPr>
          <w:rFonts w:cs="Tahoma"/>
          <w:lang w:val="de-DE"/>
        </w:rPr>
        <w:instrText xml:space="preserve"> PAGEREF _Toc363998812 \h </w:instrText>
      </w:r>
      <w:r w:rsidRPr="005E36DC">
        <w:rPr>
          <w:rFonts w:cs="Tahoma"/>
        </w:rPr>
      </w:r>
      <w:r w:rsidRPr="005E36DC">
        <w:rPr>
          <w:rFonts w:cs="Tahoma"/>
        </w:rPr>
        <w:fldChar w:fldCharType="separate"/>
      </w:r>
      <w:r w:rsidR="00DC4771">
        <w:rPr>
          <w:rFonts w:cs="Tahoma"/>
          <w:lang w:val="de-DE"/>
        </w:rPr>
        <w:t>24</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SQL Server</w:t>
      </w:r>
      <w:r w:rsidR="0069040B" w:rsidRPr="0069040B">
        <w:rPr>
          <w:rFonts w:eastAsia="Times New Roman" w:cs="Tahoma"/>
          <w:vertAlign w:val="superscript"/>
          <w:lang w:val="de-DE"/>
        </w:rPr>
        <w:t>®</w:t>
      </w:r>
      <w:r w:rsidRPr="005E36DC">
        <w:rPr>
          <w:rFonts w:cs="Tahoma"/>
          <w:lang w:val="de-DE"/>
        </w:rPr>
        <w:t xml:space="preserve"> 2012 Parallel Data Warehouse</w:t>
      </w:r>
      <w:r w:rsidRPr="005E36DC">
        <w:rPr>
          <w:rFonts w:cs="Tahoma"/>
          <w:lang w:val="de-DE"/>
        </w:rPr>
        <w:tab/>
      </w:r>
      <w:r w:rsidRPr="005E36DC">
        <w:rPr>
          <w:rFonts w:cs="Tahoma"/>
        </w:rPr>
        <w:fldChar w:fldCharType="begin"/>
      </w:r>
      <w:r w:rsidRPr="005E36DC">
        <w:rPr>
          <w:rFonts w:cs="Tahoma"/>
          <w:lang w:val="de-DE"/>
        </w:rPr>
        <w:instrText xml:space="preserve"> PAGEREF _Toc363998813 \h </w:instrText>
      </w:r>
      <w:r w:rsidRPr="005E36DC">
        <w:rPr>
          <w:rFonts w:cs="Tahoma"/>
        </w:rPr>
      </w:r>
      <w:r w:rsidRPr="005E36DC">
        <w:rPr>
          <w:rFonts w:cs="Tahoma"/>
        </w:rPr>
        <w:fldChar w:fldCharType="separate"/>
      </w:r>
      <w:r w:rsidR="00DC4771">
        <w:rPr>
          <w:rFonts w:cs="Tahoma"/>
          <w:lang w:val="de-DE"/>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SQL Server</w:t>
      </w:r>
      <w:r w:rsidR="0069040B" w:rsidRPr="0069040B">
        <w:rPr>
          <w:rFonts w:eastAsia="Times New Roman" w:cs="Tahoma"/>
          <w:vertAlign w:val="superscript"/>
        </w:rPr>
        <w:t>®</w:t>
      </w:r>
      <w:r w:rsidRPr="005E36DC">
        <w:rPr>
          <w:rFonts w:cs="Tahoma"/>
        </w:rPr>
        <w:t xml:space="preserve"> 2012 Parallel Data Warehouse Developer</w:t>
      </w:r>
      <w:r w:rsidRPr="005E36DC">
        <w:rPr>
          <w:rFonts w:cs="Tahoma"/>
        </w:rPr>
        <w:tab/>
      </w:r>
      <w:r w:rsidRPr="005E36DC">
        <w:rPr>
          <w:rFonts w:cs="Tahoma"/>
        </w:rPr>
        <w:fldChar w:fldCharType="begin"/>
      </w:r>
      <w:r w:rsidRPr="005E36DC">
        <w:rPr>
          <w:rFonts w:cs="Tahoma"/>
        </w:rPr>
        <w:instrText xml:space="preserve"> PAGEREF _Toc363998814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SQL Server</w:t>
      </w:r>
      <w:r w:rsidR="0069040B" w:rsidRPr="0069040B">
        <w:rPr>
          <w:rFonts w:eastAsia="Times New Roman" w:cs="Tahoma"/>
          <w:vertAlign w:val="superscript"/>
        </w:rPr>
        <w:t>®</w:t>
      </w:r>
      <w:r w:rsidRPr="005E36DC">
        <w:rPr>
          <w:rFonts w:cs="Tahoma"/>
        </w:rPr>
        <w:t xml:space="preserve"> 2012 Standard</w:t>
      </w:r>
      <w:r w:rsidRPr="005E36DC">
        <w:rPr>
          <w:rFonts w:cs="Tahoma"/>
        </w:rPr>
        <w:tab/>
      </w:r>
      <w:r w:rsidRPr="005E36DC">
        <w:rPr>
          <w:rFonts w:cs="Tahoma"/>
        </w:rPr>
        <w:fldChar w:fldCharType="begin"/>
      </w:r>
      <w:r w:rsidRPr="005E36DC">
        <w:rPr>
          <w:rFonts w:cs="Tahoma"/>
        </w:rPr>
        <w:instrText xml:space="preserve"> PAGEREF _Toc363998815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SQL Server</w:t>
      </w:r>
      <w:r w:rsidR="0069040B" w:rsidRPr="0069040B">
        <w:rPr>
          <w:rFonts w:eastAsia="Times New Roman" w:cs="Tahoma"/>
          <w:vertAlign w:val="superscript"/>
        </w:rPr>
        <w:t>®</w:t>
      </w:r>
      <w:r w:rsidRPr="005E36DC">
        <w:rPr>
          <w:rFonts w:cs="Tahoma"/>
        </w:rPr>
        <w:t xml:space="preserve"> 2012 Standard Core (2 Pack Core-Lizenz)</w:t>
      </w:r>
      <w:r w:rsidRPr="005E36DC">
        <w:rPr>
          <w:rFonts w:cs="Tahoma"/>
        </w:rPr>
        <w:tab/>
      </w:r>
      <w:r w:rsidRPr="005E36DC">
        <w:rPr>
          <w:rFonts w:cs="Tahoma"/>
        </w:rPr>
        <w:fldChar w:fldCharType="begin"/>
      </w:r>
      <w:r w:rsidRPr="005E36DC">
        <w:rPr>
          <w:rFonts w:cs="Tahoma"/>
        </w:rPr>
        <w:instrText xml:space="preserve"> PAGEREF _Toc363998816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Enterprise-Server-Management-Lizenz fürSystem Center Configuration Manager 2007 R3</w:t>
      </w:r>
      <w:r w:rsidRPr="005E36DC">
        <w:rPr>
          <w:rFonts w:cs="Tahoma"/>
        </w:rPr>
        <w:tab/>
      </w:r>
      <w:r w:rsidRPr="005E36DC">
        <w:rPr>
          <w:rFonts w:cs="Tahoma"/>
        </w:rPr>
        <w:fldChar w:fldCharType="begin"/>
      </w:r>
      <w:r w:rsidRPr="005E36DC">
        <w:rPr>
          <w:rFonts w:cs="Tahoma"/>
        </w:rPr>
        <w:instrText xml:space="preserve"> PAGEREF _Toc363998817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Standard-Server-Management-Lizenz (Standard-Server-ML) für System Center Configuration Manager 2007 R3</w:t>
      </w:r>
      <w:r w:rsidRPr="005E36DC">
        <w:rPr>
          <w:rFonts w:cs="Tahoma"/>
        </w:rPr>
        <w:tab/>
      </w:r>
      <w:r w:rsidRPr="005E36DC">
        <w:rPr>
          <w:rFonts w:cs="Tahoma"/>
        </w:rPr>
        <w:fldChar w:fldCharType="begin"/>
      </w:r>
      <w:r w:rsidRPr="005E36DC">
        <w:rPr>
          <w:rFonts w:cs="Tahoma"/>
        </w:rPr>
        <w:instrText xml:space="preserve"> PAGEREF _Toc363998818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Enterprise-Server-Management-Lizenz fürSystem Center Data Protection Manager 2010</w:t>
      </w:r>
      <w:r w:rsidRPr="005E36DC">
        <w:rPr>
          <w:rFonts w:cs="Tahoma"/>
        </w:rPr>
        <w:tab/>
      </w:r>
      <w:r w:rsidRPr="005E36DC">
        <w:rPr>
          <w:rFonts w:cs="Tahoma"/>
        </w:rPr>
        <w:fldChar w:fldCharType="begin"/>
      </w:r>
      <w:r w:rsidRPr="005E36DC">
        <w:rPr>
          <w:rFonts w:cs="Tahoma"/>
        </w:rPr>
        <w:instrText xml:space="preserve"> PAGEREF _Toc363998819 \h </w:instrText>
      </w:r>
      <w:r w:rsidRPr="005E36DC">
        <w:rPr>
          <w:rFonts w:cs="Tahoma"/>
        </w:rPr>
      </w:r>
      <w:r w:rsidRPr="005E36DC">
        <w:rPr>
          <w:rFonts w:cs="Tahoma"/>
        </w:rPr>
        <w:fldChar w:fldCharType="separate"/>
      </w:r>
      <w:r w:rsidR="00DC4771">
        <w:rPr>
          <w:rFonts w:cs="Tahoma"/>
        </w:rPr>
        <w:t>24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Standard-Server-Management-Lizenz fürSystem Center Data Protection Manager 2010</w:t>
      </w:r>
      <w:r w:rsidRPr="005E36DC">
        <w:rPr>
          <w:rFonts w:cs="Tahoma"/>
        </w:rPr>
        <w:tab/>
      </w:r>
      <w:r w:rsidRPr="005E36DC">
        <w:rPr>
          <w:rFonts w:cs="Tahoma"/>
        </w:rPr>
        <w:fldChar w:fldCharType="begin"/>
      </w:r>
      <w:r w:rsidRPr="005E36DC">
        <w:rPr>
          <w:rFonts w:cs="Tahoma"/>
        </w:rPr>
        <w:instrText xml:space="preserve"> PAGEREF _Toc363998820 \h </w:instrText>
      </w:r>
      <w:r w:rsidRPr="005E36DC">
        <w:rPr>
          <w:rFonts w:cs="Tahoma"/>
        </w:rPr>
      </w:r>
      <w:r w:rsidRPr="005E36DC">
        <w:rPr>
          <w:rFonts w:cs="Tahoma"/>
        </w:rPr>
        <w:fldChar w:fldCharType="separate"/>
      </w:r>
      <w:r w:rsidR="00DC4771">
        <w:rPr>
          <w:rFonts w:cs="Tahoma"/>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System Center Essentials 2010</w:t>
      </w:r>
      <w:r w:rsidRPr="005E36DC">
        <w:rPr>
          <w:rFonts w:cs="Tahoma"/>
          <w:lang w:val="de-DE"/>
        </w:rPr>
        <w:tab/>
      </w:r>
      <w:r w:rsidRPr="005E36DC">
        <w:rPr>
          <w:rFonts w:cs="Tahoma"/>
        </w:rPr>
        <w:fldChar w:fldCharType="begin"/>
      </w:r>
      <w:r w:rsidRPr="005E36DC">
        <w:rPr>
          <w:rFonts w:cs="Tahoma"/>
          <w:lang w:val="de-DE"/>
        </w:rPr>
        <w:instrText xml:space="preserve"> PAGEREF _Toc363998821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Client-ML für System Center Essentials 2010</w:t>
      </w:r>
      <w:r w:rsidRPr="005E36DC">
        <w:rPr>
          <w:rFonts w:cs="Tahoma"/>
          <w:lang w:val="de-DE"/>
        </w:rPr>
        <w:tab/>
      </w:r>
      <w:r w:rsidRPr="005E36DC">
        <w:rPr>
          <w:rFonts w:cs="Tahoma"/>
        </w:rPr>
        <w:fldChar w:fldCharType="begin"/>
      </w:r>
      <w:r w:rsidRPr="005E36DC">
        <w:rPr>
          <w:rFonts w:cs="Tahoma"/>
          <w:lang w:val="de-DE"/>
        </w:rPr>
        <w:instrText xml:space="preserve"> PAGEREF _Toc363998822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Server-ML für System Center Essentials 2010</w:t>
      </w:r>
      <w:r w:rsidRPr="005E36DC">
        <w:rPr>
          <w:rFonts w:cs="Tahoma"/>
          <w:lang w:val="de-DE"/>
        </w:rPr>
        <w:tab/>
      </w:r>
      <w:r w:rsidRPr="005E36DC">
        <w:rPr>
          <w:rFonts w:cs="Tahoma"/>
        </w:rPr>
        <w:fldChar w:fldCharType="begin"/>
      </w:r>
      <w:r w:rsidRPr="005E36DC">
        <w:rPr>
          <w:rFonts w:cs="Tahoma"/>
          <w:lang w:val="de-DE"/>
        </w:rPr>
        <w:instrText xml:space="preserve"> PAGEREF _Toc363998823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System Center Essentials 2010 mit SQL Server 2008-Technologie</w:t>
      </w:r>
      <w:r w:rsidRPr="005E36DC">
        <w:rPr>
          <w:rFonts w:cs="Tahoma"/>
          <w:lang w:val="de-DE"/>
        </w:rPr>
        <w:tab/>
      </w:r>
      <w:r w:rsidRPr="005E36DC">
        <w:rPr>
          <w:rFonts w:cs="Tahoma"/>
        </w:rPr>
        <w:fldChar w:fldCharType="begin"/>
      </w:r>
      <w:r w:rsidRPr="005E36DC">
        <w:rPr>
          <w:rFonts w:cs="Tahoma"/>
          <w:lang w:val="de-DE"/>
        </w:rPr>
        <w:instrText xml:space="preserve"> PAGEREF _Toc363998824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Lizenz-Suite für System Center Essentials Plus 2010 Client-Management</w:t>
      </w:r>
      <w:r w:rsidRPr="005E36DC">
        <w:rPr>
          <w:rFonts w:cs="Tahoma"/>
          <w:lang w:val="de-DE"/>
        </w:rPr>
        <w:tab/>
      </w:r>
      <w:r w:rsidRPr="005E36DC">
        <w:rPr>
          <w:rFonts w:cs="Tahoma"/>
        </w:rPr>
        <w:fldChar w:fldCharType="begin"/>
      </w:r>
      <w:r w:rsidRPr="005E36DC">
        <w:rPr>
          <w:rFonts w:cs="Tahoma"/>
          <w:lang w:val="de-DE"/>
        </w:rPr>
        <w:instrText xml:space="preserve"> PAGEREF _Toc363998825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Standard-Server-Management-Lizenz fürSystem Center Operations Manager 2007 R2</w:t>
      </w:r>
      <w:r w:rsidRPr="005E36DC">
        <w:rPr>
          <w:rFonts w:cs="Tahoma"/>
          <w:lang w:val="de-DE"/>
        </w:rPr>
        <w:tab/>
      </w:r>
      <w:r w:rsidRPr="005E36DC">
        <w:rPr>
          <w:rFonts w:cs="Tahoma"/>
        </w:rPr>
        <w:fldChar w:fldCharType="begin"/>
      </w:r>
      <w:r w:rsidRPr="005E36DC">
        <w:rPr>
          <w:rFonts w:cs="Tahoma"/>
          <w:lang w:val="de-DE"/>
        </w:rPr>
        <w:instrText xml:space="preserve"> PAGEREF _Toc363998826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Enterprise-Server-Management-Lizenz fürSystem Center Operations Manager 2007 R2</w:t>
      </w:r>
      <w:r w:rsidRPr="005E36DC">
        <w:rPr>
          <w:rFonts w:cs="Tahoma"/>
          <w:lang w:val="de-DE"/>
        </w:rPr>
        <w:tab/>
      </w:r>
      <w:r w:rsidRPr="005E36DC">
        <w:rPr>
          <w:rFonts w:cs="Tahoma"/>
        </w:rPr>
        <w:fldChar w:fldCharType="begin"/>
      </w:r>
      <w:r w:rsidRPr="005E36DC">
        <w:rPr>
          <w:rFonts w:cs="Tahoma"/>
          <w:lang w:val="de-DE"/>
        </w:rPr>
        <w:instrText xml:space="preserve"> PAGEREF _Toc363998827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Client-Management-Lizenz pro OSE fürSystem Center Operations Manager 2007 R2</w:t>
      </w:r>
      <w:r w:rsidRPr="005E36DC">
        <w:rPr>
          <w:rFonts w:cs="Tahoma"/>
          <w:lang w:val="de-DE"/>
        </w:rPr>
        <w:tab/>
      </w:r>
      <w:r w:rsidRPr="005E36DC">
        <w:rPr>
          <w:rFonts w:cs="Tahoma"/>
        </w:rPr>
        <w:fldChar w:fldCharType="begin"/>
      </w:r>
      <w:r w:rsidRPr="005E36DC">
        <w:rPr>
          <w:rFonts w:cs="Tahoma"/>
          <w:lang w:val="de-DE"/>
        </w:rPr>
        <w:instrText xml:space="preserve"> PAGEREF _Toc363998828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Client-Management-Lizenz pro Nutzer fürSystem Center Operations Manager 2007 R2</w:t>
      </w:r>
      <w:r w:rsidRPr="005E36DC">
        <w:rPr>
          <w:rFonts w:cs="Tahoma"/>
          <w:lang w:val="de-DE"/>
        </w:rPr>
        <w:tab/>
      </w:r>
      <w:r w:rsidRPr="005E36DC">
        <w:rPr>
          <w:rFonts w:cs="Tahoma"/>
        </w:rPr>
        <w:fldChar w:fldCharType="begin"/>
      </w:r>
      <w:r w:rsidRPr="005E36DC">
        <w:rPr>
          <w:rFonts w:cs="Tahoma"/>
          <w:lang w:val="de-DE"/>
        </w:rPr>
        <w:instrText xml:space="preserve"> PAGEREF _Toc363998829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System Center Reporting Manager 2006</w:t>
      </w:r>
      <w:r w:rsidRPr="005E36DC">
        <w:rPr>
          <w:rFonts w:cs="Tahoma"/>
          <w:lang w:val="de-DE"/>
        </w:rPr>
        <w:tab/>
      </w:r>
      <w:r w:rsidRPr="005E36DC">
        <w:rPr>
          <w:rFonts w:cs="Tahoma"/>
        </w:rPr>
        <w:fldChar w:fldCharType="begin"/>
      </w:r>
      <w:r w:rsidRPr="005E36DC">
        <w:rPr>
          <w:rFonts w:cs="Tahoma"/>
          <w:lang w:val="de-DE"/>
        </w:rPr>
        <w:instrText xml:space="preserve"> PAGEREF _Toc363998830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System Center Server Management Suite Enterprise</w:t>
      </w:r>
      <w:r w:rsidRPr="005E36DC">
        <w:rPr>
          <w:rFonts w:cs="Tahoma"/>
          <w:lang w:val="de-DE"/>
        </w:rPr>
        <w:tab/>
      </w:r>
      <w:r w:rsidRPr="005E36DC">
        <w:rPr>
          <w:rFonts w:cs="Tahoma"/>
        </w:rPr>
        <w:fldChar w:fldCharType="begin"/>
      </w:r>
      <w:r w:rsidRPr="005E36DC">
        <w:rPr>
          <w:rFonts w:cs="Tahoma"/>
          <w:lang w:val="de-DE"/>
        </w:rPr>
        <w:instrText xml:space="preserve"> PAGEREF _Toc363998831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4"/>
        <w:rPr>
          <w:rFonts w:eastAsiaTheme="minorEastAsia" w:cs="Tahoma"/>
          <w:noProof/>
          <w:sz w:val="22"/>
          <w:szCs w:val="22"/>
          <w:lang w:val="de-DE" w:eastAsia="zh-CN"/>
        </w:rPr>
      </w:pPr>
      <w:r w:rsidRPr="005E36DC">
        <w:rPr>
          <w:rFonts w:cs="Tahoma"/>
          <w:noProof/>
          <w:lang w:val="de-DE"/>
        </w:rPr>
        <w:t>System Center Server Management Suite Datacenter</w:t>
      </w:r>
      <w:r w:rsidRPr="005E36DC">
        <w:rPr>
          <w:rFonts w:cs="Tahoma"/>
          <w:noProof/>
          <w:lang w:val="de-DE"/>
        </w:rPr>
        <w:tab/>
      </w:r>
      <w:r w:rsidRPr="005E36DC">
        <w:rPr>
          <w:rFonts w:cs="Tahoma"/>
          <w:noProof/>
        </w:rPr>
        <w:fldChar w:fldCharType="begin"/>
      </w:r>
      <w:r w:rsidRPr="005E36DC">
        <w:rPr>
          <w:rFonts w:cs="Tahoma"/>
          <w:noProof/>
          <w:lang w:val="de-DE"/>
        </w:rPr>
        <w:instrText xml:space="preserve"> PAGEREF _Toc363998832 \h </w:instrText>
      </w:r>
      <w:r w:rsidRPr="005E36DC">
        <w:rPr>
          <w:rFonts w:cs="Tahoma"/>
          <w:noProof/>
        </w:rPr>
      </w:r>
      <w:r w:rsidRPr="005E36DC">
        <w:rPr>
          <w:rFonts w:cs="Tahoma"/>
          <w:noProof/>
        </w:rPr>
        <w:fldChar w:fldCharType="separate"/>
      </w:r>
      <w:r w:rsidR="00DC4771">
        <w:rPr>
          <w:rFonts w:cs="Tahoma"/>
          <w:noProof/>
          <w:lang w:val="de-DE"/>
        </w:rPr>
        <w:t>25</w:t>
      </w:r>
      <w:r w:rsidRPr="005E36DC">
        <w:rPr>
          <w:rFonts w:cs="Tahoma"/>
          <w:noProof/>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Client-Management-Lizenz (Client-ML) für System Center Service Manager 2010 pro Betriebssystemumgebung</w:t>
      </w:r>
      <w:r w:rsidRPr="005E36DC">
        <w:rPr>
          <w:rFonts w:cs="Tahoma"/>
          <w:lang w:val="de-DE"/>
        </w:rPr>
        <w:tab/>
      </w:r>
      <w:r w:rsidRPr="005E36DC">
        <w:rPr>
          <w:rFonts w:cs="Tahoma"/>
        </w:rPr>
        <w:fldChar w:fldCharType="begin"/>
      </w:r>
      <w:r w:rsidRPr="005E36DC">
        <w:rPr>
          <w:rFonts w:cs="Tahoma"/>
          <w:lang w:val="de-DE"/>
        </w:rPr>
        <w:instrText xml:space="preserve"> PAGEREF _Toc363998833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Client-Management-Lizenz (Client-ML) für System Center Service Manager 2010 pro Nutzer</w:t>
      </w:r>
      <w:r w:rsidRPr="005E36DC">
        <w:rPr>
          <w:rFonts w:cs="Tahoma"/>
          <w:lang w:val="de-DE"/>
        </w:rPr>
        <w:tab/>
      </w:r>
      <w:r w:rsidRPr="005E36DC">
        <w:rPr>
          <w:rFonts w:cs="Tahoma"/>
        </w:rPr>
        <w:fldChar w:fldCharType="begin"/>
      </w:r>
      <w:r w:rsidRPr="005E36DC">
        <w:rPr>
          <w:rFonts w:cs="Tahoma"/>
          <w:lang w:val="de-DE"/>
        </w:rPr>
        <w:instrText xml:space="preserve"> PAGEREF _Toc363998834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FB51BA" w:rsidRDefault="005E36DC" w:rsidP="00FB51BA">
      <w:pPr>
        <w:pStyle w:val="TOC2"/>
        <w:rPr>
          <w:rFonts w:cs="Tahoma"/>
          <w:lang w:val="de-DE"/>
        </w:rPr>
      </w:pPr>
      <w:r w:rsidRPr="00FB51BA">
        <w:rPr>
          <w:rFonts w:cs="Tahoma"/>
          <w:lang w:val="de-DE"/>
        </w:rPr>
        <w:t xml:space="preserve">Server-Management-Lizenz (Server-ML) für System Center Service Manager 2010 pro </w:t>
      </w:r>
      <w:r w:rsidRPr="00FB51BA">
        <w:rPr>
          <w:rFonts w:cs="Tahoma"/>
          <w:lang w:val="de-DE"/>
        </w:rPr>
        <w:br/>
        <w:t>Betriebssystemumgebung</w:t>
      </w:r>
      <w:r w:rsidRPr="00FB51BA">
        <w:rPr>
          <w:rFonts w:cs="Tahoma"/>
          <w:lang w:val="de-DE"/>
        </w:rPr>
        <w:tab/>
      </w:r>
      <w:r w:rsidRPr="00FB51BA">
        <w:rPr>
          <w:rFonts w:cs="Tahoma"/>
          <w:lang w:val="de-DE"/>
        </w:rPr>
        <w:fldChar w:fldCharType="begin"/>
      </w:r>
      <w:r w:rsidRPr="00FB51BA">
        <w:rPr>
          <w:rFonts w:cs="Tahoma"/>
          <w:lang w:val="de-DE"/>
        </w:rPr>
        <w:instrText xml:space="preserve"> PAGEREF _Toc363998835 \h </w:instrText>
      </w:r>
      <w:r w:rsidRPr="00FB51BA">
        <w:rPr>
          <w:rFonts w:cs="Tahoma"/>
          <w:lang w:val="de-DE"/>
        </w:rPr>
      </w:r>
      <w:r w:rsidRPr="00FB51BA">
        <w:rPr>
          <w:rFonts w:cs="Tahoma"/>
          <w:lang w:val="de-DE"/>
        </w:rPr>
        <w:fldChar w:fldCharType="separate"/>
      </w:r>
      <w:r w:rsidR="00DC4771">
        <w:rPr>
          <w:rFonts w:cs="Tahoma"/>
          <w:lang w:val="de-DE"/>
        </w:rPr>
        <w:t>25</w:t>
      </w:r>
      <w:r w:rsidRPr="00FB51BA">
        <w:rPr>
          <w:rFonts w:cs="Tahoma"/>
          <w:lang w:val="de-DE"/>
        </w:rPr>
        <w:fldChar w:fldCharType="end"/>
      </w:r>
    </w:p>
    <w:p w:rsidR="005E36DC" w:rsidRPr="00FB51BA" w:rsidRDefault="005E36DC">
      <w:pPr>
        <w:pStyle w:val="TOC2"/>
        <w:rPr>
          <w:rFonts w:cs="Tahoma"/>
          <w:lang w:val="de-DE"/>
        </w:rPr>
      </w:pPr>
      <w:r w:rsidRPr="005E36DC">
        <w:rPr>
          <w:rFonts w:cs="Tahoma"/>
          <w:lang w:val="de-DE"/>
        </w:rPr>
        <w:t>Client-Management-Lizenz für System Center Virtual Machine Manager 2008 R2 pro Betriebssystemumgebung</w:t>
      </w:r>
      <w:r w:rsidRPr="005E36DC">
        <w:rPr>
          <w:rFonts w:cs="Tahoma"/>
          <w:lang w:val="de-DE"/>
        </w:rPr>
        <w:tab/>
      </w:r>
      <w:r w:rsidRPr="00FB51BA">
        <w:rPr>
          <w:rFonts w:cs="Tahoma"/>
          <w:lang w:val="de-DE"/>
        </w:rPr>
        <w:fldChar w:fldCharType="begin"/>
      </w:r>
      <w:r w:rsidRPr="005E36DC">
        <w:rPr>
          <w:rFonts w:cs="Tahoma"/>
          <w:lang w:val="de-DE"/>
        </w:rPr>
        <w:instrText xml:space="preserve"> PAGEREF _Toc363998836 \h </w:instrText>
      </w:r>
      <w:r w:rsidRPr="00FB51BA">
        <w:rPr>
          <w:rFonts w:cs="Tahoma"/>
          <w:lang w:val="de-DE"/>
        </w:rPr>
      </w:r>
      <w:r w:rsidRPr="00FB51BA">
        <w:rPr>
          <w:rFonts w:cs="Tahoma"/>
          <w:lang w:val="de-DE"/>
        </w:rPr>
        <w:fldChar w:fldCharType="separate"/>
      </w:r>
      <w:r w:rsidR="00DC4771">
        <w:rPr>
          <w:rFonts w:cs="Tahoma"/>
          <w:lang w:val="de-DE"/>
        </w:rPr>
        <w:t>25</w:t>
      </w:r>
      <w:r w:rsidRPr="00FB51BA">
        <w:rPr>
          <w:rFonts w:cs="Tahoma"/>
          <w:lang w:val="de-DE"/>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Client-Management-Lizenz für System Center Virtual Machine Manager 2008 R2 pro Nutzer</w:t>
      </w:r>
      <w:r w:rsidRPr="005E36DC">
        <w:rPr>
          <w:rFonts w:cs="Tahoma"/>
          <w:lang w:val="de-DE"/>
        </w:rPr>
        <w:tab/>
      </w:r>
      <w:r w:rsidRPr="005E36DC">
        <w:rPr>
          <w:rFonts w:cs="Tahoma"/>
        </w:rPr>
        <w:fldChar w:fldCharType="begin"/>
      </w:r>
      <w:r w:rsidRPr="005E36DC">
        <w:rPr>
          <w:rFonts w:cs="Tahoma"/>
          <w:lang w:val="de-DE"/>
        </w:rPr>
        <w:instrText xml:space="preserve"> PAGEREF _Toc363998837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Enterprise-Server-Management-Lizenz für System Center Virtual Machine Manager 2008 R2</w:t>
      </w:r>
      <w:r w:rsidRPr="005E36DC">
        <w:rPr>
          <w:rFonts w:cs="Tahoma"/>
          <w:lang w:val="de-DE"/>
        </w:rPr>
        <w:tab/>
      </w:r>
      <w:r w:rsidRPr="005E36DC">
        <w:rPr>
          <w:rFonts w:cs="Tahoma"/>
        </w:rPr>
        <w:fldChar w:fldCharType="begin"/>
      </w:r>
      <w:r w:rsidRPr="005E36DC">
        <w:rPr>
          <w:rFonts w:cs="Tahoma"/>
          <w:lang w:val="de-DE"/>
        </w:rPr>
        <w:instrText xml:space="preserve"> PAGEREF _Toc363998838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System Center 2012 Client Management Suite (Client-ML) pro Betriebssystemumgebung</w:t>
      </w:r>
      <w:r w:rsidRPr="005E36DC">
        <w:rPr>
          <w:rFonts w:cs="Tahoma"/>
          <w:lang w:val="de-DE"/>
        </w:rPr>
        <w:tab/>
      </w:r>
      <w:r w:rsidRPr="005E36DC">
        <w:rPr>
          <w:rFonts w:cs="Tahoma"/>
        </w:rPr>
        <w:fldChar w:fldCharType="begin"/>
      </w:r>
      <w:r w:rsidRPr="005E36DC">
        <w:rPr>
          <w:rFonts w:cs="Tahoma"/>
          <w:lang w:val="de-DE"/>
        </w:rPr>
        <w:instrText xml:space="preserve"> PAGEREF _Toc363998839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System Center 2012 Client Management Suite (Client-ML) pro Nutzer</w:t>
      </w:r>
      <w:r w:rsidRPr="005E36DC">
        <w:rPr>
          <w:rFonts w:cs="Tahoma"/>
          <w:lang w:val="de-DE"/>
        </w:rPr>
        <w:tab/>
      </w:r>
      <w:r w:rsidRPr="005E36DC">
        <w:rPr>
          <w:rFonts w:cs="Tahoma"/>
        </w:rPr>
        <w:fldChar w:fldCharType="begin"/>
      </w:r>
      <w:r w:rsidRPr="005E36DC">
        <w:rPr>
          <w:rFonts w:cs="Tahoma"/>
          <w:lang w:val="de-DE"/>
        </w:rPr>
        <w:instrText xml:space="preserve"> PAGEREF _Toc363998840 \h </w:instrText>
      </w:r>
      <w:r w:rsidRPr="005E36DC">
        <w:rPr>
          <w:rFonts w:cs="Tahoma"/>
        </w:rPr>
      </w:r>
      <w:r w:rsidRPr="005E36DC">
        <w:rPr>
          <w:rFonts w:cs="Tahoma"/>
        </w:rPr>
        <w:fldChar w:fldCharType="separate"/>
      </w:r>
      <w:r w:rsidR="00DC4771">
        <w:rPr>
          <w:rFonts w:cs="Tahoma"/>
          <w:lang w:val="de-DE"/>
        </w:rPr>
        <w:t>25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Client-Management-Lizenz (Client-ML) für System Center 2012 Configuration Manager (nur Studenten)</w:t>
      </w:r>
      <w:r w:rsidRPr="005E36DC">
        <w:rPr>
          <w:rFonts w:cs="Tahoma"/>
          <w:lang w:val="de-DE"/>
        </w:rPr>
        <w:tab/>
      </w:r>
      <w:r w:rsidRPr="005E36DC">
        <w:rPr>
          <w:rFonts w:cs="Tahoma"/>
        </w:rPr>
        <w:fldChar w:fldCharType="begin"/>
      </w:r>
      <w:r w:rsidRPr="005E36DC">
        <w:rPr>
          <w:rFonts w:cs="Tahoma"/>
          <w:lang w:val="de-DE"/>
        </w:rPr>
        <w:instrText xml:space="preserve"> PAGEREF _Toc363998841 \h </w:instrText>
      </w:r>
      <w:r w:rsidRPr="005E36DC">
        <w:rPr>
          <w:rFonts w:cs="Tahoma"/>
        </w:rPr>
      </w:r>
      <w:r w:rsidRPr="005E36DC">
        <w:rPr>
          <w:rFonts w:cs="Tahoma"/>
        </w:rPr>
        <w:fldChar w:fldCharType="separate"/>
      </w:r>
      <w:r w:rsidR="00DC4771">
        <w:rPr>
          <w:rFonts w:cs="Tahoma"/>
          <w:lang w:val="de-DE"/>
        </w:rPr>
        <w:t>26</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Client-Management-Lizenz für System Center 2012 Configuration Manager pro Betriebssystemumgebung</w:t>
      </w:r>
      <w:r w:rsidRPr="005E36DC">
        <w:rPr>
          <w:rFonts w:cs="Tahoma"/>
          <w:lang w:val="de-DE"/>
        </w:rPr>
        <w:tab/>
      </w:r>
      <w:r w:rsidRPr="005E36DC">
        <w:rPr>
          <w:rFonts w:cs="Tahoma"/>
        </w:rPr>
        <w:fldChar w:fldCharType="begin"/>
      </w:r>
      <w:r w:rsidRPr="005E36DC">
        <w:rPr>
          <w:rFonts w:cs="Tahoma"/>
          <w:lang w:val="de-DE"/>
        </w:rPr>
        <w:instrText xml:space="preserve"> PAGEREF _Toc363998842 \h </w:instrText>
      </w:r>
      <w:r w:rsidRPr="005E36DC">
        <w:rPr>
          <w:rFonts w:cs="Tahoma"/>
        </w:rPr>
      </w:r>
      <w:r w:rsidRPr="005E36DC">
        <w:rPr>
          <w:rFonts w:cs="Tahoma"/>
        </w:rPr>
        <w:fldChar w:fldCharType="separate"/>
      </w:r>
      <w:r w:rsidR="00DC4771">
        <w:rPr>
          <w:rFonts w:cs="Tahoma"/>
          <w:lang w:val="de-DE"/>
        </w:rPr>
        <w:t>26</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Client-Management-Lizenz für System Center 2012 Configuration Manager pro Nutzer</w:t>
      </w:r>
      <w:r w:rsidRPr="005E36DC">
        <w:rPr>
          <w:rFonts w:cs="Tahoma"/>
          <w:lang w:val="de-DE"/>
        </w:rPr>
        <w:tab/>
      </w:r>
      <w:r w:rsidRPr="005E36DC">
        <w:rPr>
          <w:rFonts w:cs="Tahoma"/>
        </w:rPr>
        <w:fldChar w:fldCharType="begin"/>
      </w:r>
      <w:r w:rsidRPr="005E36DC">
        <w:rPr>
          <w:rFonts w:cs="Tahoma"/>
          <w:lang w:val="de-DE"/>
        </w:rPr>
        <w:instrText xml:space="preserve"> PAGEREF _Toc363998843 \h </w:instrText>
      </w:r>
      <w:r w:rsidRPr="005E36DC">
        <w:rPr>
          <w:rFonts w:cs="Tahoma"/>
        </w:rPr>
      </w:r>
      <w:r w:rsidRPr="005E36DC">
        <w:rPr>
          <w:rFonts w:cs="Tahoma"/>
        </w:rPr>
        <w:fldChar w:fldCharType="separate"/>
      </w:r>
      <w:r w:rsidR="00DC4771">
        <w:rPr>
          <w:rFonts w:cs="Tahoma"/>
          <w:lang w:val="de-DE"/>
        </w:rPr>
        <w:t>26</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Server-Management-Lizenz für System Center 2012 Datacenter (2 Prozessoren)</w:t>
      </w:r>
      <w:r w:rsidRPr="005E36DC">
        <w:rPr>
          <w:rFonts w:cs="Tahoma"/>
          <w:lang w:val="de-DE"/>
        </w:rPr>
        <w:tab/>
      </w:r>
      <w:r w:rsidRPr="005E36DC">
        <w:rPr>
          <w:rFonts w:cs="Tahoma"/>
        </w:rPr>
        <w:fldChar w:fldCharType="begin"/>
      </w:r>
      <w:r w:rsidRPr="005E36DC">
        <w:rPr>
          <w:rFonts w:cs="Tahoma"/>
          <w:lang w:val="de-DE"/>
        </w:rPr>
        <w:instrText xml:space="preserve"> PAGEREF _Toc363998844 \h </w:instrText>
      </w:r>
      <w:r w:rsidRPr="005E36DC">
        <w:rPr>
          <w:rFonts w:cs="Tahoma"/>
        </w:rPr>
      </w:r>
      <w:r w:rsidRPr="005E36DC">
        <w:rPr>
          <w:rFonts w:cs="Tahoma"/>
        </w:rPr>
        <w:fldChar w:fldCharType="separate"/>
      </w:r>
      <w:r w:rsidR="00DC4771">
        <w:rPr>
          <w:rFonts w:cs="Tahoma"/>
          <w:lang w:val="de-DE"/>
        </w:rPr>
        <w:t>26</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System Center 2012 Endpoint Protection</w:t>
      </w:r>
      <w:r w:rsidRPr="005E36DC">
        <w:rPr>
          <w:rFonts w:cs="Tahoma"/>
          <w:lang w:val="de-DE"/>
        </w:rPr>
        <w:tab/>
      </w:r>
      <w:r w:rsidRPr="005E36DC">
        <w:rPr>
          <w:rFonts w:cs="Tahoma"/>
        </w:rPr>
        <w:fldChar w:fldCharType="begin"/>
      </w:r>
      <w:r w:rsidRPr="005E36DC">
        <w:rPr>
          <w:rFonts w:cs="Tahoma"/>
          <w:lang w:val="de-DE"/>
        </w:rPr>
        <w:instrText xml:space="preserve"> PAGEREF _Toc363998845 \h </w:instrText>
      </w:r>
      <w:r w:rsidRPr="005E36DC">
        <w:rPr>
          <w:rFonts w:cs="Tahoma"/>
        </w:rPr>
      </w:r>
      <w:r w:rsidRPr="005E36DC">
        <w:rPr>
          <w:rFonts w:cs="Tahoma"/>
        </w:rPr>
        <w:fldChar w:fldCharType="separate"/>
      </w:r>
      <w:r w:rsidR="00DC4771">
        <w:rPr>
          <w:rFonts w:cs="Tahoma"/>
          <w:lang w:val="de-DE"/>
        </w:rPr>
        <w:t>26</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Standard-Server-Management-Lizenz für System Center 2012 (2 Prozessoren)</w:t>
      </w:r>
      <w:r w:rsidRPr="005E36DC">
        <w:rPr>
          <w:rFonts w:cs="Tahoma"/>
          <w:lang w:val="de-DE"/>
        </w:rPr>
        <w:tab/>
      </w:r>
      <w:r w:rsidRPr="005E36DC">
        <w:rPr>
          <w:rFonts w:cs="Tahoma"/>
        </w:rPr>
        <w:fldChar w:fldCharType="begin"/>
      </w:r>
      <w:r w:rsidRPr="005E36DC">
        <w:rPr>
          <w:rFonts w:cs="Tahoma"/>
          <w:lang w:val="de-DE"/>
        </w:rPr>
        <w:instrText xml:space="preserve"> PAGEREF _Toc363998846 \h </w:instrText>
      </w:r>
      <w:r w:rsidRPr="005E36DC">
        <w:rPr>
          <w:rFonts w:cs="Tahoma"/>
        </w:rPr>
      </w:r>
      <w:r w:rsidRPr="005E36DC">
        <w:rPr>
          <w:rFonts w:cs="Tahoma"/>
        </w:rPr>
        <w:fldChar w:fldCharType="separate"/>
      </w:r>
      <w:r w:rsidR="00DC4771">
        <w:rPr>
          <w:rFonts w:cs="Tahoma"/>
          <w:lang w:val="de-DE"/>
        </w:rPr>
        <w:t>26</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VDI Suite</w:t>
      </w:r>
      <w:r w:rsidRPr="005E36DC">
        <w:rPr>
          <w:rFonts w:cs="Tahoma"/>
          <w:lang w:val="fr-FR"/>
        </w:rPr>
        <w:tab/>
      </w:r>
      <w:r w:rsidRPr="005E36DC">
        <w:rPr>
          <w:rFonts w:cs="Tahoma"/>
        </w:rPr>
        <w:fldChar w:fldCharType="begin"/>
      </w:r>
      <w:r w:rsidRPr="005E36DC">
        <w:rPr>
          <w:rFonts w:cs="Tahoma"/>
          <w:lang w:val="fr-FR"/>
        </w:rPr>
        <w:instrText xml:space="preserve"> PAGEREF _Toc363998847 \h </w:instrText>
      </w:r>
      <w:r w:rsidRPr="005E36DC">
        <w:rPr>
          <w:rFonts w:cs="Tahoma"/>
        </w:rPr>
      </w:r>
      <w:r w:rsidRPr="005E36DC">
        <w:rPr>
          <w:rFonts w:cs="Tahoma"/>
        </w:rPr>
        <w:fldChar w:fldCharType="separate"/>
      </w:r>
      <w:r w:rsidR="00DC4771">
        <w:rPr>
          <w:rFonts w:cs="Tahoma"/>
          <w:lang w:val="fr-FR"/>
        </w:rPr>
        <w:t>26</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VDI Suite mit MDOP</w:t>
      </w:r>
      <w:r w:rsidRPr="005E36DC">
        <w:rPr>
          <w:rFonts w:cs="Tahoma"/>
          <w:lang w:val="fr-FR"/>
        </w:rPr>
        <w:tab/>
      </w:r>
      <w:r w:rsidRPr="005E36DC">
        <w:rPr>
          <w:rFonts w:cs="Tahoma"/>
        </w:rPr>
        <w:fldChar w:fldCharType="begin"/>
      </w:r>
      <w:r w:rsidRPr="005E36DC">
        <w:rPr>
          <w:rFonts w:cs="Tahoma"/>
          <w:lang w:val="fr-FR"/>
        </w:rPr>
        <w:instrText xml:space="preserve"> PAGEREF _Toc363998848 \h </w:instrText>
      </w:r>
      <w:r w:rsidRPr="005E36DC">
        <w:rPr>
          <w:rFonts w:cs="Tahoma"/>
        </w:rPr>
      </w:r>
      <w:r w:rsidRPr="005E36DC">
        <w:rPr>
          <w:rFonts w:cs="Tahoma"/>
        </w:rPr>
        <w:fldChar w:fldCharType="separate"/>
      </w:r>
      <w:r w:rsidR="00DC4771">
        <w:rPr>
          <w:rFonts w:cs="Tahoma"/>
          <w:lang w:val="fr-FR"/>
        </w:rPr>
        <w:t>26</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VDI Standard Suite</w:t>
      </w:r>
      <w:r w:rsidRPr="005E36DC">
        <w:rPr>
          <w:rFonts w:cs="Tahoma"/>
          <w:lang w:val="fr-FR"/>
        </w:rPr>
        <w:tab/>
      </w:r>
      <w:r w:rsidRPr="005E36DC">
        <w:rPr>
          <w:rFonts w:cs="Tahoma"/>
        </w:rPr>
        <w:fldChar w:fldCharType="begin"/>
      </w:r>
      <w:r w:rsidRPr="005E36DC">
        <w:rPr>
          <w:rFonts w:cs="Tahoma"/>
          <w:lang w:val="fr-FR"/>
        </w:rPr>
        <w:instrText xml:space="preserve"> PAGEREF _Toc363998849 \h </w:instrText>
      </w:r>
      <w:r w:rsidRPr="005E36DC">
        <w:rPr>
          <w:rFonts w:cs="Tahoma"/>
        </w:rPr>
      </w:r>
      <w:r w:rsidRPr="005E36DC">
        <w:rPr>
          <w:rFonts w:cs="Tahoma"/>
        </w:rPr>
        <w:fldChar w:fldCharType="separate"/>
      </w:r>
      <w:r w:rsidR="00DC4771">
        <w:rPr>
          <w:rFonts w:cs="Tahoma"/>
          <w:lang w:val="fr-FR"/>
        </w:rPr>
        <w:t>26</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VDI Standard Suite mit MDOP</w:t>
      </w:r>
      <w:r w:rsidRPr="005E36DC">
        <w:rPr>
          <w:rFonts w:cs="Tahoma"/>
          <w:lang w:val="fr-FR"/>
        </w:rPr>
        <w:tab/>
      </w:r>
      <w:r w:rsidRPr="005E36DC">
        <w:rPr>
          <w:rFonts w:cs="Tahoma"/>
        </w:rPr>
        <w:fldChar w:fldCharType="begin"/>
      </w:r>
      <w:r w:rsidRPr="005E36DC">
        <w:rPr>
          <w:rFonts w:cs="Tahoma"/>
          <w:lang w:val="fr-FR"/>
        </w:rPr>
        <w:instrText xml:space="preserve"> PAGEREF _Toc363998850 \h </w:instrText>
      </w:r>
      <w:r w:rsidRPr="005E36DC">
        <w:rPr>
          <w:rFonts w:cs="Tahoma"/>
        </w:rPr>
      </w:r>
      <w:r w:rsidRPr="005E36DC">
        <w:rPr>
          <w:rFonts w:cs="Tahoma"/>
        </w:rPr>
        <w:fldChar w:fldCharType="separate"/>
      </w:r>
      <w:r w:rsidR="00DC4771">
        <w:rPr>
          <w:rFonts w:cs="Tahoma"/>
          <w:lang w:val="fr-FR"/>
        </w:rPr>
        <w:t>26</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VDI Premium Suite</w:t>
      </w:r>
      <w:r w:rsidRPr="005E36DC">
        <w:rPr>
          <w:rFonts w:cs="Tahoma"/>
          <w:lang w:val="fr-FR"/>
        </w:rPr>
        <w:tab/>
      </w:r>
      <w:r w:rsidRPr="005E36DC">
        <w:rPr>
          <w:rFonts w:cs="Tahoma"/>
        </w:rPr>
        <w:fldChar w:fldCharType="begin"/>
      </w:r>
      <w:r w:rsidRPr="005E36DC">
        <w:rPr>
          <w:rFonts w:cs="Tahoma"/>
          <w:lang w:val="fr-FR"/>
        </w:rPr>
        <w:instrText xml:space="preserve"> PAGEREF _Toc363998851 \h </w:instrText>
      </w:r>
      <w:r w:rsidRPr="005E36DC">
        <w:rPr>
          <w:rFonts w:cs="Tahoma"/>
        </w:rPr>
      </w:r>
      <w:r w:rsidRPr="005E36DC">
        <w:rPr>
          <w:rFonts w:cs="Tahoma"/>
        </w:rPr>
        <w:fldChar w:fldCharType="separate"/>
      </w:r>
      <w:r w:rsidR="00DC4771">
        <w:rPr>
          <w:rFonts w:cs="Tahoma"/>
          <w:lang w:val="fr-FR"/>
        </w:rPr>
        <w:t>26</w:t>
      </w:r>
      <w:r w:rsidRPr="005E36DC">
        <w:rPr>
          <w:rFonts w:cs="Tahoma"/>
        </w:rPr>
        <w:fldChar w:fldCharType="end"/>
      </w:r>
    </w:p>
    <w:p w:rsidR="005E36DC" w:rsidRPr="005E36DC" w:rsidRDefault="005E36DC">
      <w:pPr>
        <w:pStyle w:val="TOC2"/>
        <w:rPr>
          <w:rFonts w:eastAsiaTheme="minorEastAsia" w:cs="Tahoma"/>
          <w:sz w:val="22"/>
          <w:szCs w:val="22"/>
          <w:lang w:val="fr-FR" w:eastAsia="zh-CN"/>
        </w:rPr>
      </w:pPr>
      <w:r w:rsidRPr="005E36DC">
        <w:rPr>
          <w:rFonts w:cs="Tahoma"/>
          <w:lang w:val="fr-FR"/>
        </w:rPr>
        <w:t>VDI Premium Suite mit MDOP</w:t>
      </w:r>
      <w:r w:rsidRPr="005E36DC">
        <w:rPr>
          <w:rFonts w:cs="Tahoma"/>
          <w:lang w:val="fr-FR"/>
        </w:rPr>
        <w:tab/>
      </w:r>
      <w:r w:rsidRPr="005E36DC">
        <w:rPr>
          <w:rFonts w:cs="Tahoma"/>
        </w:rPr>
        <w:fldChar w:fldCharType="begin"/>
      </w:r>
      <w:r w:rsidRPr="005E36DC">
        <w:rPr>
          <w:rFonts w:cs="Tahoma"/>
          <w:lang w:val="fr-FR"/>
        </w:rPr>
        <w:instrText xml:space="preserve"> PAGEREF _Toc363998852 \h </w:instrText>
      </w:r>
      <w:r w:rsidRPr="005E36DC">
        <w:rPr>
          <w:rFonts w:cs="Tahoma"/>
        </w:rPr>
      </w:r>
      <w:r w:rsidRPr="005E36DC">
        <w:rPr>
          <w:rFonts w:cs="Tahoma"/>
        </w:rPr>
        <w:fldChar w:fldCharType="separate"/>
      </w:r>
      <w:r w:rsidR="00DC4771">
        <w:rPr>
          <w:rFonts w:cs="Tahoma"/>
          <w:lang w:val="fr-FR"/>
        </w:rPr>
        <w:t>26</w:t>
      </w:r>
      <w:r w:rsidRPr="005E36DC">
        <w:rPr>
          <w:rFonts w:cs="Tahoma"/>
        </w:rPr>
        <w:fldChar w:fldCharType="end"/>
      </w:r>
    </w:p>
    <w:p w:rsidR="005E36DC" w:rsidRPr="005E36DC" w:rsidRDefault="005E36DC">
      <w:pPr>
        <w:pStyle w:val="TOC2"/>
        <w:rPr>
          <w:rFonts w:eastAsiaTheme="minorEastAsia" w:cs="Tahoma"/>
          <w:sz w:val="22"/>
          <w:szCs w:val="22"/>
          <w:lang w:val="pt-BR" w:eastAsia="zh-CN"/>
        </w:rPr>
      </w:pPr>
      <w:r w:rsidRPr="005E36DC">
        <w:rPr>
          <w:rFonts w:cs="Tahoma"/>
          <w:lang w:val="pt-BR"/>
        </w:rPr>
        <w:t>Virtual Server 2005 R2 Enterprise Edition</w:t>
      </w:r>
      <w:r w:rsidRPr="005E36DC">
        <w:rPr>
          <w:rFonts w:cs="Tahoma"/>
          <w:lang w:val="pt-BR"/>
        </w:rPr>
        <w:tab/>
      </w:r>
      <w:r w:rsidRPr="005E36DC">
        <w:rPr>
          <w:rFonts w:cs="Tahoma"/>
        </w:rPr>
        <w:fldChar w:fldCharType="begin"/>
      </w:r>
      <w:r w:rsidRPr="005E36DC">
        <w:rPr>
          <w:rFonts w:cs="Tahoma"/>
          <w:lang w:val="pt-BR"/>
        </w:rPr>
        <w:instrText xml:space="preserve"> PAGEREF _Toc363998853 \h </w:instrText>
      </w:r>
      <w:r w:rsidRPr="005E36DC">
        <w:rPr>
          <w:rFonts w:cs="Tahoma"/>
        </w:rPr>
      </w:r>
      <w:r w:rsidRPr="005E36DC">
        <w:rPr>
          <w:rFonts w:cs="Tahoma"/>
        </w:rPr>
        <w:fldChar w:fldCharType="separate"/>
      </w:r>
      <w:r w:rsidR="00DC4771">
        <w:rPr>
          <w:rFonts w:cs="Tahoma"/>
          <w:lang w:val="pt-BR"/>
        </w:rPr>
        <w:t>26</w:t>
      </w:r>
      <w:r w:rsidRPr="005E36DC">
        <w:rPr>
          <w:rFonts w:cs="Tahoma"/>
        </w:rPr>
        <w:fldChar w:fldCharType="end"/>
      </w:r>
    </w:p>
    <w:p w:rsidR="005E36DC" w:rsidRPr="005E36DC" w:rsidRDefault="005E36DC">
      <w:pPr>
        <w:pStyle w:val="TOC2"/>
        <w:rPr>
          <w:rFonts w:eastAsiaTheme="minorEastAsia" w:cs="Tahoma"/>
          <w:sz w:val="22"/>
          <w:szCs w:val="22"/>
          <w:lang w:val="pt-BR" w:eastAsia="zh-CN"/>
        </w:rPr>
      </w:pPr>
      <w:r w:rsidRPr="005E36DC">
        <w:rPr>
          <w:rFonts w:cs="Tahoma"/>
          <w:lang w:val="pt-BR"/>
        </w:rPr>
        <w:t>Visual Studio</w:t>
      </w:r>
      <w:r w:rsidR="0069040B" w:rsidRPr="0069040B">
        <w:rPr>
          <w:rFonts w:eastAsia="Times New Roman" w:cs="Tahoma"/>
          <w:vertAlign w:val="superscript"/>
          <w:lang w:val="pt-BR"/>
        </w:rPr>
        <w:t>®</w:t>
      </w:r>
      <w:r w:rsidRPr="005E36DC">
        <w:rPr>
          <w:rFonts w:cs="Tahoma"/>
          <w:lang w:val="pt-BR"/>
        </w:rPr>
        <w:t xml:space="preserve"> Team Foundation Server 2012 mit SQL Server 2012-Technologie</w:t>
      </w:r>
      <w:r w:rsidRPr="005E36DC">
        <w:rPr>
          <w:rFonts w:cs="Tahoma"/>
          <w:lang w:val="pt-BR"/>
        </w:rPr>
        <w:tab/>
      </w:r>
      <w:r w:rsidRPr="005E36DC">
        <w:rPr>
          <w:rFonts w:cs="Tahoma"/>
        </w:rPr>
        <w:fldChar w:fldCharType="begin"/>
      </w:r>
      <w:r w:rsidRPr="005E36DC">
        <w:rPr>
          <w:rFonts w:cs="Tahoma"/>
          <w:lang w:val="pt-BR"/>
        </w:rPr>
        <w:instrText xml:space="preserve"> PAGEREF _Toc363998854 \h </w:instrText>
      </w:r>
      <w:r w:rsidRPr="005E36DC">
        <w:rPr>
          <w:rFonts w:cs="Tahoma"/>
        </w:rPr>
      </w:r>
      <w:r w:rsidRPr="005E36DC">
        <w:rPr>
          <w:rFonts w:cs="Tahoma"/>
        </w:rPr>
        <w:fldChar w:fldCharType="separate"/>
      </w:r>
      <w:r w:rsidR="00DC4771">
        <w:rPr>
          <w:rFonts w:cs="Tahoma"/>
          <w:lang w:val="pt-BR"/>
        </w:rPr>
        <w:t>26</w:t>
      </w:r>
      <w:r w:rsidRPr="005E36DC">
        <w:rPr>
          <w:rFonts w:cs="Tahoma"/>
        </w:rPr>
        <w:fldChar w:fldCharType="end"/>
      </w:r>
    </w:p>
    <w:p w:rsidR="005E36DC" w:rsidRPr="005E36DC" w:rsidRDefault="005E36DC">
      <w:pPr>
        <w:pStyle w:val="TOC2"/>
        <w:rPr>
          <w:rFonts w:eastAsiaTheme="minorEastAsia" w:cs="Tahoma"/>
          <w:sz w:val="22"/>
          <w:szCs w:val="22"/>
          <w:lang w:val="pt-BR" w:eastAsia="zh-CN"/>
        </w:rPr>
      </w:pPr>
      <w:r w:rsidRPr="005E36DC">
        <w:rPr>
          <w:rFonts w:cs="Tahoma"/>
          <w:lang w:val="pt-BR"/>
        </w:rPr>
        <w:t>Geräte-CAL für Visual Studio</w:t>
      </w:r>
      <w:r w:rsidR="0069040B" w:rsidRPr="0069040B">
        <w:rPr>
          <w:rFonts w:cs="Tahoma"/>
          <w:vertAlign w:val="superscript"/>
          <w:lang w:val="pt-BR"/>
        </w:rPr>
        <w:t>®</w:t>
      </w:r>
      <w:r w:rsidRPr="005E36DC">
        <w:rPr>
          <w:rFonts w:cs="Tahoma"/>
          <w:lang w:val="pt-BR"/>
        </w:rPr>
        <w:t xml:space="preserve"> Team Foundation Server 2012</w:t>
      </w:r>
      <w:r w:rsidRPr="005E36DC">
        <w:rPr>
          <w:rFonts w:cs="Tahoma"/>
          <w:lang w:val="pt-BR"/>
        </w:rPr>
        <w:tab/>
      </w:r>
      <w:r w:rsidRPr="005E36DC">
        <w:rPr>
          <w:rFonts w:cs="Tahoma"/>
        </w:rPr>
        <w:fldChar w:fldCharType="begin"/>
      </w:r>
      <w:r w:rsidRPr="005E36DC">
        <w:rPr>
          <w:rFonts w:cs="Tahoma"/>
          <w:lang w:val="pt-BR"/>
        </w:rPr>
        <w:instrText xml:space="preserve"> PAGEREF _Toc363998855 \h </w:instrText>
      </w:r>
      <w:r w:rsidRPr="005E36DC">
        <w:rPr>
          <w:rFonts w:cs="Tahoma"/>
        </w:rPr>
      </w:r>
      <w:r w:rsidRPr="005E36DC">
        <w:rPr>
          <w:rFonts w:cs="Tahoma"/>
        </w:rPr>
        <w:fldChar w:fldCharType="separate"/>
      </w:r>
      <w:r w:rsidR="00DC4771">
        <w:rPr>
          <w:rFonts w:cs="Tahoma"/>
          <w:lang w:val="pt-BR"/>
        </w:rPr>
        <w:t>26</w:t>
      </w:r>
      <w:r w:rsidRPr="005E36DC">
        <w:rPr>
          <w:rFonts w:cs="Tahoma"/>
        </w:rPr>
        <w:fldChar w:fldCharType="end"/>
      </w:r>
    </w:p>
    <w:p w:rsidR="005E36DC" w:rsidRPr="005E36DC" w:rsidRDefault="005E36DC">
      <w:pPr>
        <w:pStyle w:val="TOC2"/>
        <w:rPr>
          <w:rFonts w:eastAsiaTheme="minorEastAsia" w:cs="Tahoma"/>
          <w:sz w:val="22"/>
          <w:szCs w:val="22"/>
          <w:lang w:val="pt-BR" w:eastAsia="zh-CN"/>
        </w:rPr>
      </w:pPr>
      <w:r w:rsidRPr="005E36DC">
        <w:rPr>
          <w:rFonts w:cs="Tahoma"/>
          <w:lang w:val="pt-BR"/>
        </w:rPr>
        <w:t>Nutzer-CAL für Visual Studio</w:t>
      </w:r>
      <w:r w:rsidR="0069040B" w:rsidRPr="0069040B">
        <w:rPr>
          <w:rFonts w:cs="Tahoma"/>
          <w:vertAlign w:val="superscript"/>
          <w:lang w:val="pt-BR"/>
        </w:rPr>
        <w:t>®</w:t>
      </w:r>
      <w:r w:rsidRPr="005E36DC">
        <w:rPr>
          <w:rFonts w:cs="Tahoma"/>
          <w:lang w:val="pt-BR"/>
        </w:rPr>
        <w:t xml:space="preserve"> Team Foundation Server 2012</w:t>
      </w:r>
      <w:r w:rsidRPr="005E36DC">
        <w:rPr>
          <w:rFonts w:cs="Tahoma"/>
          <w:lang w:val="pt-BR"/>
        </w:rPr>
        <w:tab/>
      </w:r>
      <w:r w:rsidRPr="005E36DC">
        <w:rPr>
          <w:rFonts w:cs="Tahoma"/>
        </w:rPr>
        <w:fldChar w:fldCharType="begin"/>
      </w:r>
      <w:r w:rsidRPr="005E36DC">
        <w:rPr>
          <w:rFonts w:cs="Tahoma"/>
          <w:lang w:val="pt-BR"/>
        </w:rPr>
        <w:instrText xml:space="preserve"> PAGEREF _Toc363998856 \h </w:instrText>
      </w:r>
      <w:r w:rsidRPr="005E36DC">
        <w:rPr>
          <w:rFonts w:cs="Tahoma"/>
        </w:rPr>
      </w:r>
      <w:r w:rsidRPr="005E36DC">
        <w:rPr>
          <w:rFonts w:cs="Tahoma"/>
        </w:rPr>
        <w:fldChar w:fldCharType="separate"/>
      </w:r>
      <w:r w:rsidR="00DC4771">
        <w:rPr>
          <w:rFonts w:cs="Tahoma"/>
          <w:lang w:val="pt-BR"/>
        </w:rPr>
        <w:t>26</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Azure Active Directory-Rechteverwaltung</w:t>
      </w:r>
      <w:r w:rsidRPr="005E36DC">
        <w:rPr>
          <w:rFonts w:cs="Tahoma"/>
        </w:rPr>
        <w:tab/>
      </w:r>
      <w:r w:rsidRPr="005E36DC">
        <w:rPr>
          <w:rFonts w:cs="Tahoma"/>
        </w:rPr>
        <w:fldChar w:fldCharType="begin"/>
      </w:r>
      <w:r w:rsidRPr="005E36DC">
        <w:rPr>
          <w:rFonts w:cs="Tahoma"/>
        </w:rPr>
        <w:instrText xml:space="preserve"> PAGEREF _Toc363998857 \h </w:instrText>
      </w:r>
      <w:r w:rsidRPr="005E36DC">
        <w:rPr>
          <w:rFonts w:cs="Tahoma"/>
        </w:rPr>
      </w:r>
      <w:r w:rsidRPr="005E36DC">
        <w:rPr>
          <w:rFonts w:cs="Tahoma"/>
        </w:rPr>
        <w:fldChar w:fldCharType="separate"/>
      </w:r>
      <w:r w:rsidR="00DC4771">
        <w:rPr>
          <w:rFonts w:cs="Tahoma"/>
        </w:rPr>
        <w:t>26</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Azure-Dienste</w:t>
      </w:r>
      <w:r w:rsidRPr="005E36DC">
        <w:rPr>
          <w:rFonts w:cs="Tahoma"/>
        </w:rPr>
        <w:tab/>
      </w:r>
      <w:r w:rsidRPr="005E36DC">
        <w:rPr>
          <w:rFonts w:cs="Tahoma"/>
        </w:rPr>
        <w:fldChar w:fldCharType="begin"/>
      </w:r>
      <w:r w:rsidRPr="005E36DC">
        <w:rPr>
          <w:rFonts w:cs="Tahoma"/>
        </w:rPr>
        <w:instrText xml:space="preserve"> PAGEREF _Toc363998858 \h </w:instrText>
      </w:r>
      <w:r w:rsidRPr="005E36DC">
        <w:rPr>
          <w:rFonts w:cs="Tahoma"/>
        </w:rPr>
      </w:r>
      <w:r w:rsidRPr="005E36DC">
        <w:rPr>
          <w:rFonts w:cs="Tahoma"/>
        </w:rPr>
        <w:fldChar w:fldCharType="separate"/>
      </w:r>
      <w:r w:rsidR="00DC4771">
        <w:rPr>
          <w:rFonts w:cs="Tahoma"/>
        </w:rPr>
        <w:t>26</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w:t>
      </w:r>
      <w:r w:rsidR="0069040B" w:rsidRPr="0069040B">
        <w:rPr>
          <w:rFonts w:cs="Tahoma"/>
          <w:vertAlign w:val="superscript"/>
        </w:rPr>
        <w:t>®</w:t>
      </w:r>
      <w:r w:rsidRPr="005E36DC">
        <w:rPr>
          <w:rFonts w:cs="Tahoma"/>
        </w:rPr>
        <w:t xml:space="preserve"> Embedded Device Manager2011</w:t>
      </w:r>
      <w:r w:rsidRPr="005E36DC">
        <w:rPr>
          <w:rFonts w:cs="Tahoma"/>
        </w:rPr>
        <w:tab/>
      </w:r>
      <w:r w:rsidRPr="005E36DC">
        <w:rPr>
          <w:rFonts w:cs="Tahoma"/>
        </w:rPr>
        <w:fldChar w:fldCharType="begin"/>
      </w:r>
      <w:r w:rsidRPr="005E36DC">
        <w:rPr>
          <w:rFonts w:cs="Tahoma"/>
        </w:rPr>
        <w:instrText xml:space="preserve"> PAGEREF _Toc363998859 \h </w:instrText>
      </w:r>
      <w:r w:rsidRPr="005E36DC">
        <w:rPr>
          <w:rFonts w:cs="Tahoma"/>
        </w:rPr>
      </w:r>
      <w:r w:rsidRPr="005E36DC">
        <w:rPr>
          <w:rFonts w:cs="Tahoma"/>
        </w:rPr>
        <w:fldChar w:fldCharType="separate"/>
      </w:r>
      <w:r w:rsidR="00DC4771">
        <w:rPr>
          <w:rFonts w:cs="Tahoma"/>
        </w:rPr>
        <w:t>26</w:t>
      </w:r>
      <w:r w:rsidRPr="005E36DC">
        <w:rPr>
          <w:rFonts w:cs="Tahoma"/>
        </w:rPr>
        <w:fldChar w:fldCharType="end"/>
      </w:r>
    </w:p>
    <w:p w:rsidR="005E36DC" w:rsidRPr="003E5F02" w:rsidRDefault="005E36DC">
      <w:pPr>
        <w:pStyle w:val="TOC2"/>
        <w:rPr>
          <w:rFonts w:eastAsiaTheme="minorEastAsia" w:cs="Tahoma"/>
          <w:sz w:val="22"/>
          <w:szCs w:val="22"/>
          <w:lang w:val="de-DE" w:eastAsia="zh-CN"/>
        </w:rPr>
      </w:pPr>
      <w:r w:rsidRPr="003E5F02">
        <w:rPr>
          <w:rFonts w:cs="Tahoma"/>
          <w:lang w:val="de-DE"/>
        </w:rPr>
        <w:t>Client-Management-Lizenz pro Betriebssystemumgebung für Windows</w:t>
      </w:r>
      <w:r w:rsidR="0069040B" w:rsidRPr="003E5F02">
        <w:rPr>
          <w:rFonts w:cs="Tahoma"/>
          <w:vertAlign w:val="superscript"/>
          <w:lang w:val="de-DE"/>
        </w:rPr>
        <w:t>®</w:t>
      </w:r>
      <w:r w:rsidRPr="003E5F02">
        <w:rPr>
          <w:rFonts w:cs="Tahoma"/>
          <w:lang w:val="de-DE"/>
        </w:rPr>
        <w:t xml:space="preserve"> Embedded Device Manager 2011</w:t>
      </w:r>
      <w:r w:rsidRPr="003E5F02">
        <w:rPr>
          <w:rFonts w:cs="Tahoma"/>
          <w:lang w:val="de-DE"/>
        </w:rPr>
        <w:tab/>
      </w:r>
      <w:r w:rsidRPr="005E36DC">
        <w:rPr>
          <w:rFonts w:cs="Tahoma"/>
        </w:rPr>
        <w:fldChar w:fldCharType="begin"/>
      </w:r>
      <w:r w:rsidRPr="003E5F02">
        <w:rPr>
          <w:rFonts w:cs="Tahoma"/>
          <w:lang w:val="de-DE"/>
        </w:rPr>
        <w:instrText xml:space="preserve"> PAGEREF _Toc363998860 \h </w:instrText>
      </w:r>
      <w:r w:rsidRPr="005E36DC">
        <w:rPr>
          <w:rFonts w:cs="Tahoma"/>
        </w:rPr>
      </w:r>
      <w:r w:rsidRPr="005E36DC">
        <w:rPr>
          <w:rFonts w:cs="Tahoma"/>
        </w:rPr>
        <w:fldChar w:fldCharType="separate"/>
      </w:r>
      <w:r w:rsidR="00DC4771">
        <w:rPr>
          <w:rFonts w:cs="Tahoma"/>
          <w:lang w:val="de-DE"/>
        </w:rPr>
        <w:t>26</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Client-Management-Lizenz pro Nutzer fürWindows</w:t>
      </w:r>
      <w:r w:rsidR="0069040B" w:rsidRPr="0069040B">
        <w:rPr>
          <w:rFonts w:cs="Tahoma"/>
          <w:vertAlign w:val="superscript"/>
          <w:lang w:val="de-DE"/>
        </w:rPr>
        <w:t>®</w:t>
      </w:r>
      <w:r w:rsidRPr="005E36DC">
        <w:rPr>
          <w:rFonts w:cs="Tahoma"/>
          <w:lang w:val="de-DE"/>
        </w:rPr>
        <w:t xml:space="preserve"> Embedded Device Manager 2011</w:t>
      </w:r>
      <w:r w:rsidRPr="005E36DC">
        <w:rPr>
          <w:rFonts w:cs="Tahoma"/>
          <w:lang w:val="de-DE"/>
        </w:rPr>
        <w:tab/>
      </w:r>
      <w:r w:rsidRPr="005E36DC">
        <w:rPr>
          <w:rFonts w:cs="Tahoma"/>
        </w:rPr>
        <w:fldChar w:fldCharType="begin"/>
      </w:r>
      <w:r w:rsidRPr="005E36DC">
        <w:rPr>
          <w:rFonts w:cs="Tahoma"/>
          <w:lang w:val="de-DE"/>
        </w:rPr>
        <w:instrText xml:space="preserve"> PAGEREF _Toc363998861 \h </w:instrText>
      </w:r>
      <w:r w:rsidRPr="005E36DC">
        <w:rPr>
          <w:rFonts w:cs="Tahoma"/>
        </w:rPr>
      </w:r>
      <w:r w:rsidRPr="005E36DC">
        <w:rPr>
          <w:rFonts w:cs="Tahoma"/>
        </w:rPr>
        <w:fldChar w:fldCharType="separate"/>
      </w:r>
      <w:r w:rsidR="00DC4771">
        <w:rPr>
          <w:rFonts w:cs="Tahoma"/>
          <w:lang w:val="de-DE"/>
        </w:rPr>
        <w:t>26</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Windows</w:t>
      </w:r>
      <w:r w:rsidR="0069040B" w:rsidRPr="0069040B">
        <w:rPr>
          <w:rFonts w:cs="Tahoma"/>
          <w:vertAlign w:val="superscript"/>
          <w:lang w:val="de-DE"/>
        </w:rPr>
        <w:t>®</w:t>
      </w:r>
      <w:r w:rsidRPr="005E36DC">
        <w:rPr>
          <w:rFonts w:cs="Tahoma"/>
          <w:lang w:val="de-DE"/>
        </w:rPr>
        <w:t xml:space="preserve"> Embedded Device Manager 2011 mit SQL Server</w:t>
      </w:r>
      <w:r w:rsidR="0069040B" w:rsidRPr="0069040B">
        <w:rPr>
          <w:rFonts w:cs="Tahoma"/>
          <w:vertAlign w:val="superscript"/>
          <w:lang w:val="de-DE"/>
        </w:rPr>
        <w:t>®</w:t>
      </w:r>
      <w:r w:rsidRPr="005E36DC">
        <w:rPr>
          <w:rFonts w:cs="Tahoma"/>
          <w:lang w:val="de-DE"/>
        </w:rPr>
        <w:t xml:space="preserve"> 2008-Technologie</w:t>
      </w:r>
      <w:r w:rsidRPr="005E36DC">
        <w:rPr>
          <w:rFonts w:cs="Tahoma"/>
          <w:lang w:val="de-DE"/>
        </w:rPr>
        <w:tab/>
      </w:r>
      <w:r w:rsidRPr="005E36DC">
        <w:rPr>
          <w:rFonts w:cs="Tahoma"/>
        </w:rPr>
        <w:fldChar w:fldCharType="begin"/>
      </w:r>
      <w:r w:rsidRPr="005E36DC">
        <w:rPr>
          <w:rFonts w:cs="Tahoma"/>
          <w:lang w:val="de-DE"/>
        </w:rPr>
        <w:instrText xml:space="preserve"> PAGEREF _Toc363998862 \h </w:instrText>
      </w:r>
      <w:r w:rsidRPr="005E36DC">
        <w:rPr>
          <w:rFonts w:cs="Tahoma"/>
        </w:rPr>
      </w:r>
      <w:r w:rsidRPr="005E36DC">
        <w:rPr>
          <w:rFonts w:cs="Tahoma"/>
        </w:rPr>
        <w:fldChar w:fldCharType="separate"/>
      </w:r>
      <w:r w:rsidR="00DC4771">
        <w:rPr>
          <w:rFonts w:cs="Tahoma"/>
          <w:lang w:val="de-DE"/>
        </w:rPr>
        <w:t>26</w:t>
      </w:r>
      <w:r w:rsidRPr="005E36DC">
        <w:rPr>
          <w:rFonts w:cs="Tahoma"/>
        </w:rPr>
        <w:fldChar w:fldCharType="end"/>
      </w:r>
    </w:p>
    <w:p w:rsidR="005E36DC" w:rsidRPr="00D871E6" w:rsidRDefault="005E36DC">
      <w:pPr>
        <w:pStyle w:val="TOC2"/>
        <w:rPr>
          <w:rFonts w:eastAsiaTheme="minorEastAsia" w:cs="Tahoma"/>
          <w:sz w:val="22"/>
          <w:szCs w:val="22"/>
          <w:lang w:val="de-DE" w:eastAsia="zh-CN"/>
        </w:rPr>
      </w:pPr>
      <w:r w:rsidRPr="00D871E6">
        <w:rPr>
          <w:rFonts w:cs="Tahoma"/>
          <w:lang w:val="de-DE"/>
        </w:rPr>
        <w:t>Windows Essential Business Server 2008 Standard</w:t>
      </w:r>
      <w:r w:rsidRPr="00D871E6">
        <w:rPr>
          <w:rFonts w:cs="Tahoma"/>
          <w:lang w:val="de-DE"/>
        </w:rPr>
        <w:tab/>
      </w:r>
      <w:r w:rsidRPr="005E36DC">
        <w:rPr>
          <w:rFonts w:cs="Tahoma"/>
        </w:rPr>
        <w:fldChar w:fldCharType="begin"/>
      </w:r>
      <w:r w:rsidRPr="00D871E6">
        <w:rPr>
          <w:rFonts w:cs="Tahoma"/>
          <w:lang w:val="de-DE"/>
        </w:rPr>
        <w:instrText xml:space="preserve"> PAGEREF _Toc363998863 \h </w:instrText>
      </w:r>
      <w:r w:rsidRPr="005E36DC">
        <w:rPr>
          <w:rFonts w:cs="Tahoma"/>
        </w:rPr>
      </w:r>
      <w:r w:rsidRPr="005E36DC">
        <w:rPr>
          <w:rFonts w:cs="Tahoma"/>
        </w:rPr>
        <w:fldChar w:fldCharType="separate"/>
      </w:r>
      <w:r w:rsidR="00DC4771">
        <w:rPr>
          <w:rFonts w:cs="Tahoma"/>
          <w:lang w:val="de-DE"/>
        </w:rPr>
        <w:t>26</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CAL-Suite für Windows Essential Business Server 2008</w:t>
      </w:r>
      <w:r w:rsidRPr="005E36DC">
        <w:rPr>
          <w:rFonts w:cs="Tahoma"/>
        </w:rPr>
        <w:tab/>
      </w:r>
      <w:r w:rsidRPr="005E36DC">
        <w:rPr>
          <w:rFonts w:cs="Tahoma"/>
        </w:rPr>
        <w:fldChar w:fldCharType="begin"/>
      </w:r>
      <w:r w:rsidRPr="005E36DC">
        <w:rPr>
          <w:rFonts w:cs="Tahoma"/>
        </w:rPr>
        <w:instrText xml:space="preserve"> PAGEREF _Toc363998864 \h </w:instrText>
      </w:r>
      <w:r w:rsidRPr="005E36DC">
        <w:rPr>
          <w:rFonts w:cs="Tahoma"/>
        </w:rPr>
      </w:r>
      <w:r w:rsidRPr="005E36DC">
        <w:rPr>
          <w:rFonts w:cs="Tahoma"/>
        </w:rPr>
        <w:fldChar w:fldCharType="separate"/>
      </w:r>
      <w:r w:rsidR="00DC4771">
        <w:rPr>
          <w:rFonts w:cs="Tahoma"/>
        </w:rPr>
        <w:t>26</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CAL-Suite für Windows Essential Business Server 2008 (5 Clients)</w:t>
      </w:r>
      <w:r w:rsidRPr="005E36DC">
        <w:rPr>
          <w:rFonts w:cs="Tahoma"/>
        </w:rPr>
        <w:tab/>
      </w:r>
      <w:r w:rsidRPr="005E36DC">
        <w:rPr>
          <w:rFonts w:cs="Tahoma"/>
        </w:rPr>
        <w:fldChar w:fldCharType="begin"/>
      </w:r>
      <w:r w:rsidRPr="005E36DC">
        <w:rPr>
          <w:rFonts w:cs="Tahoma"/>
        </w:rPr>
        <w:instrText xml:space="preserve"> PAGEREF _Toc363998865 \h </w:instrText>
      </w:r>
      <w:r w:rsidRPr="005E36DC">
        <w:rPr>
          <w:rFonts w:cs="Tahoma"/>
        </w:rPr>
      </w:r>
      <w:r w:rsidRPr="005E36DC">
        <w:rPr>
          <w:rFonts w:cs="Tahoma"/>
        </w:rPr>
        <w:fldChar w:fldCharType="separate"/>
      </w:r>
      <w:r w:rsidR="00DC4771">
        <w:rPr>
          <w:rFonts w:cs="Tahoma"/>
        </w:rPr>
        <w:t>26</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CAL-Suite für Windows Essential Business Server 2008 (20 Clients)</w:t>
      </w:r>
      <w:r w:rsidRPr="005E36DC">
        <w:rPr>
          <w:rFonts w:cs="Tahoma"/>
        </w:rPr>
        <w:tab/>
      </w:r>
      <w:r w:rsidRPr="005E36DC">
        <w:rPr>
          <w:rFonts w:cs="Tahoma"/>
        </w:rPr>
        <w:fldChar w:fldCharType="begin"/>
      </w:r>
      <w:r w:rsidRPr="005E36DC">
        <w:rPr>
          <w:rFonts w:cs="Tahoma"/>
        </w:rPr>
        <w:instrText xml:space="preserve"> PAGEREF _Toc363998866 \h </w:instrText>
      </w:r>
      <w:r w:rsidRPr="005E36DC">
        <w:rPr>
          <w:rFonts w:cs="Tahoma"/>
        </w:rPr>
      </w:r>
      <w:r w:rsidRPr="005E36DC">
        <w:rPr>
          <w:rFonts w:cs="Tahoma"/>
        </w:rPr>
        <w:fldChar w:fldCharType="separate"/>
      </w:r>
      <w:r w:rsidR="00DC4771">
        <w:rPr>
          <w:rFonts w:cs="Tahoma"/>
        </w:rPr>
        <w:t>26</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CAL-Suite für Windows Essential Business Server 2008 (50 Clients)</w:t>
      </w:r>
      <w:r w:rsidRPr="005E36DC">
        <w:rPr>
          <w:rFonts w:cs="Tahoma"/>
        </w:rPr>
        <w:tab/>
      </w:r>
      <w:r w:rsidRPr="005E36DC">
        <w:rPr>
          <w:rFonts w:cs="Tahoma"/>
        </w:rPr>
        <w:fldChar w:fldCharType="begin"/>
      </w:r>
      <w:r w:rsidRPr="005E36DC">
        <w:rPr>
          <w:rFonts w:cs="Tahoma"/>
        </w:rPr>
        <w:instrText xml:space="preserve"> PAGEREF _Toc363998867 \h </w:instrText>
      </w:r>
      <w:r w:rsidRPr="005E36DC">
        <w:rPr>
          <w:rFonts w:cs="Tahoma"/>
        </w:rPr>
      </w:r>
      <w:r w:rsidRPr="005E36DC">
        <w:rPr>
          <w:rFonts w:cs="Tahoma"/>
        </w:rPr>
        <w:fldChar w:fldCharType="separate"/>
      </w:r>
      <w:r w:rsidR="00DC4771">
        <w:rPr>
          <w:rFonts w:cs="Tahoma"/>
        </w:rPr>
        <w:t>26</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Essential Business Server 2008 Premium</w:t>
      </w:r>
      <w:r w:rsidRPr="005E36DC">
        <w:rPr>
          <w:rFonts w:cs="Tahoma"/>
        </w:rPr>
        <w:tab/>
      </w:r>
      <w:r w:rsidRPr="005E36DC">
        <w:rPr>
          <w:rFonts w:cs="Tahoma"/>
        </w:rPr>
        <w:fldChar w:fldCharType="begin"/>
      </w:r>
      <w:r w:rsidRPr="005E36DC">
        <w:rPr>
          <w:rFonts w:cs="Tahoma"/>
        </w:rPr>
        <w:instrText xml:space="preserve"> PAGEREF _Toc363998868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CAL-Suite für Windows Essential Business Server 2008 für Premium-Nutzer oder -Geräte</w:t>
      </w:r>
      <w:r w:rsidRPr="005E36DC">
        <w:rPr>
          <w:rFonts w:cs="Tahoma"/>
          <w:lang w:val="de-DE"/>
        </w:rPr>
        <w:tab/>
      </w:r>
      <w:r w:rsidRPr="005E36DC">
        <w:rPr>
          <w:rFonts w:cs="Tahoma"/>
        </w:rPr>
        <w:fldChar w:fldCharType="begin"/>
      </w:r>
      <w:r w:rsidRPr="005E36DC">
        <w:rPr>
          <w:rFonts w:cs="Tahoma"/>
          <w:lang w:val="de-DE"/>
        </w:rPr>
        <w:instrText xml:space="preserve"> PAGEREF _Toc363998869 \h </w:instrText>
      </w:r>
      <w:r w:rsidRPr="005E36DC">
        <w:rPr>
          <w:rFonts w:cs="Tahoma"/>
        </w:rPr>
      </w:r>
      <w:r w:rsidRPr="005E36DC">
        <w:rPr>
          <w:rFonts w:cs="Tahoma"/>
        </w:rPr>
        <w:fldChar w:fldCharType="separate"/>
      </w:r>
      <w:r w:rsidR="00DC4771">
        <w:rPr>
          <w:rFonts w:cs="Tahoma"/>
          <w:lang w:val="de-DE"/>
        </w:rPr>
        <w:t>27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Windows Essential Business Server 2008 CAL Suite für Premium-Nutzer oder -Geräte (5 Clients)</w:t>
      </w:r>
      <w:r w:rsidRPr="005E36DC">
        <w:rPr>
          <w:rFonts w:cs="Tahoma"/>
          <w:lang w:val="de-DE"/>
        </w:rPr>
        <w:tab/>
      </w:r>
      <w:r w:rsidRPr="005E36DC">
        <w:rPr>
          <w:rFonts w:cs="Tahoma"/>
        </w:rPr>
        <w:fldChar w:fldCharType="begin"/>
      </w:r>
      <w:r w:rsidRPr="005E36DC">
        <w:rPr>
          <w:rFonts w:cs="Tahoma"/>
          <w:lang w:val="de-DE"/>
        </w:rPr>
        <w:instrText xml:space="preserve"> PAGEREF _Toc363998870 \h </w:instrText>
      </w:r>
      <w:r w:rsidRPr="005E36DC">
        <w:rPr>
          <w:rFonts w:cs="Tahoma"/>
        </w:rPr>
      </w:r>
      <w:r w:rsidRPr="005E36DC">
        <w:rPr>
          <w:rFonts w:cs="Tahoma"/>
        </w:rPr>
        <w:fldChar w:fldCharType="separate"/>
      </w:r>
      <w:r w:rsidR="00DC4771">
        <w:rPr>
          <w:rFonts w:cs="Tahoma"/>
          <w:lang w:val="de-DE"/>
        </w:rPr>
        <w:t>27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CAL-Suite für Windows Essential Business Server 2008 für Premium-Nutzer oder -Geräte (20 Clients)</w:t>
      </w:r>
      <w:r w:rsidRPr="005E36DC">
        <w:rPr>
          <w:rFonts w:cs="Tahoma"/>
          <w:lang w:val="de-DE"/>
        </w:rPr>
        <w:tab/>
      </w:r>
      <w:r w:rsidRPr="005E36DC">
        <w:rPr>
          <w:rFonts w:cs="Tahoma"/>
        </w:rPr>
        <w:fldChar w:fldCharType="begin"/>
      </w:r>
      <w:r w:rsidRPr="005E36DC">
        <w:rPr>
          <w:rFonts w:cs="Tahoma"/>
          <w:lang w:val="de-DE"/>
        </w:rPr>
        <w:instrText xml:space="preserve"> PAGEREF _Toc363998871 \h </w:instrText>
      </w:r>
      <w:r w:rsidRPr="005E36DC">
        <w:rPr>
          <w:rFonts w:cs="Tahoma"/>
        </w:rPr>
      </w:r>
      <w:r w:rsidRPr="005E36DC">
        <w:rPr>
          <w:rFonts w:cs="Tahoma"/>
        </w:rPr>
        <w:fldChar w:fldCharType="separate"/>
      </w:r>
      <w:r w:rsidR="00DC4771">
        <w:rPr>
          <w:rFonts w:cs="Tahoma"/>
          <w:lang w:val="de-DE"/>
        </w:rPr>
        <w:t>27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CAL-Suite für Windows Essential Business Server 2008 für Premium-Nutzer oder -Geräte (50 Clients)</w:t>
      </w:r>
      <w:r w:rsidRPr="005E36DC">
        <w:rPr>
          <w:rFonts w:cs="Tahoma"/>
          <w:lang w:val="de-DE"/>
        </w:rPr>
        <w:tab/>
      </w:r>
      <w:r w:rsidRPr="005E36DC">
        <w:rPr>
          <w:rFonts w:cs="Tahoma"/>
        </w:rPr>
        <w:fldChar w:fldCharType="begin"/>
      </w:r>
      <w:r w:rsidRPr="005E36DC">
        <w:rPr>
          <w:rFonts w:cs="Tahoma"/>
          <w:lang w:val="de-DE"/>
        </w:rPr>
        <w:instrText xml:space="preserve"> PAGEREF _Toc363998872 \h </w:instrText>
      </w:r>
      <w:r w:rsidRPr="005E36DC">
        <w:rPr>
          <w:rFonts w:cs="Tahoma"/>
        </w:rPr>
      </w:r>
      <w:r w:rsidRPr="005E36DC">
        <w:rPr>
          <w:rFonts w:cs="Tahoma"/>
        </w:rPr>
        <w:fldChar w:fldCharType="separate"/>
      </w:r>
      <w:r w:rsidR="00DC4771">
        <w:rPr>
          <w:rFonts w:cs="Tahoma"/>
          <w:lang w:val="de-DE"/>
        </w:rPr>
        <w:t>27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HPC Server 2008 R2 Suite</w:t>
      </w:r>
      <w:r w:rsidRPr="005E36DC">
        <w:rPr>
          <w:rFonts w:cs="Tahoma"/>
        </w:rPr>
        <w:tab/>
      </w:r>
      <w:r w:rsidRPr="005E36DC">
        <w:rPr>
          <w:rFonts w:cs="Tahoma"/>
        </w:rPr>
        <w:fldChar w:fldCharType="begin"/>
      </w:r>
      <w:r w:rsidRPr="005E36DC">
        <w:rPr>
          <w:rFonts w:cs="Tahoma"/>
        </w:rPr>
        <w:instrText xml:space="preserve"> PAGEREF _Toc363998873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rsidP="005E36DC">
      <w:pPr>
        <w:pStyle w:val="TOC2"/>
        <w:rPr>
          <w:rFonts w:eastAsiaTheme="minorEastAsia" w:cs="Tahoma"/>
          <w:sz w:val="22"/>
          <w:szCs w:val="22"/>
          <w:lang w:eastAsia="zh-CN"/>
        </w:rPr>
      </w:pPr>
      <w:r w:rsidRPr="005E36DC">
        <w:rPr>
          <w:rFonts w:cs="Tahoma"/>
        </w:rPr>
        <w:t>Windows Intune Add-on für System Center Configuration Manager und System Center Endpoint Protection (pro Nutzer)</w:t>
      </w:r>
      <w:r w:rsidRPr="005E36DC">
        <w:rPr>
          <w:rFonts w:cs="Tahoma"/>
        </w:rPr>
        <w:tab/>
      </w:r>
      <w:r w:rsidRPr="005E36DC">
        <w:rPr>
          <w:rFonts w:cs="Tahoma"/>
        </w:rPr>
        <w:fldChar w:fldCharType="begin"/>
      </w:r>
      <w:r w:rsidRPr="005E36DC">
        <w:rPr>
          <w:rFonts w:cs="Tahoma"/>
        </w:rPr>
        <w:instrText xml:space="preserve"> PAGEREF _Toc363998874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Intune (pro Nutzer)</w:t>
      </w:r>
      <w:r w:rsidRPr="005E36DC">
        <w:rPr>
          <w:rFonts w:cs="Tahoma"/>
        </w:rPr>
        <w:tab/>
      </w:r>
      <w:r w:rsidRPr="005E36DC">
        <w:rPr>
          <w:rFonts w:cs="Tahoma"/>
        </w:rPr>
        <w:fldChar w:fldCharType="begin"/>
      </w:r>
      <w:r w:rsidRPr="005E36DC">
        <w:rPr>
          <w:rFonts w:cs="Tahoma"/>
        </w:rPr>
        <w:instrText xml:space="preserve"> PAGEREF _Toc363998875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Nutzer-AL für Add-On für Windows Intune Extra Storage 1 GB</w:t>
      </w:r>
      <w:r w:rsidRPr="005E36DC">
        <w:rPr>
          <w:rFonts w:cs="Tahoma"/>
          <w:lang w:val="de-DE"/>
        </w:rPr>
        <w:tab/>
      </w:r>
      <w:r w:rsidRPr="005E36DC">
        <w:rPr>
          <w:rFonts w:cs="Tahoma"/>
        </w:rPr>
        <w:fldChar w:fldCharType="begin"/>
      </w:r>
      <w:r w:rsidRPr="005E36DC">
        <w:rPr>
          <w:rFonts w:cs="Tahoma"/>
          <w:lang w:val="de-DE"/>
        </w:rPr>
        <w:instrText xml:space="preserve"> PAGEREF _Toc363998876 \h </w:instrText>
      </w:r>
      <w:r w:rsidRPr="005E36DC">
        <w:rPr>
          <w:rFonts w:cs="Tahoma"/>
        </w:rPr>
      </w:r>
      <w:r w:rsidRPr="005E36DC">
        <w:rPr>
          <w:rFonts w:cs="Tahoma"/>
        </w:rPr>
        <w:fldChar w:fldCharType="separate"/>
      </w:r>
      <w:r w:rsidR="00DC4771">
        <w:rPr>
          <w:rFonts w:cs="Tahoma"/>
          <w:lang w:val="de-DE"/>
        </w:rPr>
        <w:t>27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MultiPoint Server 2012 Standard</w:t>
      </w:r>
      <w:r w:rsidRPr="005E36DC">
        <w:rPr>
          <w:rFonts w:cs="Tahoma"/>
        </w:rPr>
        <w:tab/>
      </w:r>
      <w:r w:rsidRPr="005E36DC">
        <w:rPr>
          <w:rFonts w:cs="Tahoma"/>
        </w:rPr>
        <w:fldChar w:fldCharType="begin"/>
      </w:r>
      <w:r w:rsidRPr="005E36DC">
        <w:rPr>
          <w:rFonts w:cs="Tahoma"/>
        </w:rPr>
        <w:instrText xml:space="preserve"> PAGEREF _Toc363998877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MultiPoint Server 2012 Premium</w:t>
      </w:r>
      <w:r w:rsidRPr="005E36DC">
        <w:rPr>
          <w:rFonts w:cs="Tahoma"/>
        </w:rPr>
        <w:tab/>
      </w:r>
      <w:r w:rsidRPr="005E36DC">
        <w:rPr>
          <w:rFonts w:cs="Tahoma"/>
        </w:rPr>
        <w:fldChar w:fldCharType="begin"/>
      </w:r>
      <w:r w:rsidRPr="005E36DC">
        <w:rPr>
          <w:rFonts w:cs="Tahoma"/>
        </w:rPr>
        <w:instrText xml:space="preserve"> PAGEREF _Toc363998878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CAL für Windows MultiPoint Server 2012</w:t>
      </w:r>
      <w:r w:rsidRPr="005E36DC">
        <w:rPr>
          <w:rFonts w:cs="Tahoma"/>
        </w:rPr>
        <w:tab/>
      </w:r>
      <w:r w:rsidRPr="005E36DC">
        <w:rPr>
          <w:rFonts w:cs="Tahoma"/>
        </w:rPr>
        <w:fldChar w:fldCharType="begin"/>
      </w:r>
      <w:r w:rsidRPr="005E36DC">
        <w:rPr>
          <w:rFonts w:cs="Tahoma"/>
        </w:rPr>
        <w:instrText xml:space="preserve"> PAGEREF _Toc363998879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 für Windows MultiPoint Server 2012 mit CAL für Windows Server 2012</w:t>
      </w:r>
      <w:r w:rsidRPr="005E36DC">
        <w:rPr>
          <w:rFonts w:cs="Tahoma"/>
          <w:lang w:val="de-DE"/>
        </w:rPr>
        <w:tab/>
      </w:r>
      <w:r w:rsidRPr="005E36DC">
        <w:rPr>
          <w:rFonts w:cs="Tahoma"/>
        </w:rPr>
        <w:fldChar w:fldCharType="begin"/>
      </w:r>
      <w:r w:rsidRPr="005E36DC">
        <w:rPr>
          <w:rFonts w:cs="Tahoma"/>
          <w:lang w:val="de-DE"/>
        </w:rPr>
        <w:instrText xml:space="preserve"> PAGEREF _Toc363998880 \h </w:instrText>
      </w:r>
      <w:r w:rsidRPr="005E36DC">
        <w:rPr>
          <w:rFonts w:cs="Tahoma"/>
        </w:rPr>
      </w:r>
      <w:r w:rsidRPr="005E36DC">
        <w:rPr>
          <w:rFonts w:cs="Tahoma"/>
        </w:rPr>
        <w:fldChar w:fldCharType="separate"/>
      </w:r>
      <w:r w:rsidR="00DC4771">
        <w:rPr>
          <w:rFonts w:cs="Tahoma"/>
          <w:lang w:val="de-DE"/>
        </w:rPr>
        <w:t>27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MultiPoint Server 2012 Premium mit Windows MultiPoint Server 2012 (CAL) (5 Clients)</w:t>
      </w:r>
      <w:r w:rsidRPr="005E36DC">
        <w:rPr>
          <w:rFonts w:cs="Tahoma"/>
        </w:rPr>
        <w:tab/>
      </w:r>
      <w:r w:rsidRPr="005E36DC">
        <w:rPr>
          <w:rFonts w:cs="Tahoma"/>
        </w:rPr>
        <w:fldChar w:fldCharType="begin"/>
      </w:r>
      <w:r w:rsidRPr="005E36DC">
        <w:rPr>
          <w:rFonts w:cs="Tahoma"/>
        </w:rPr>
        <w:instrText xml:space="preserve"> PAGEREF _Toc363998881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rsidP="005E36DC">
      <w:pPr>
        <w:pStyle w:val="TOC2"/>
        <w:rPr>
          <w:rFonts w:eastAsiaTheme="minorEastAsia" w:cs="Tahoma"/>
          <w:sz w:val="22"/>
          <w:szCs w:val="22"/>
          <w:lang w:eastAsia="zh-CN"/>
        </w:rPr>
      </w:pPr>
      <w:r w:rsidRPr="005E36DC">
        <w:rPr>
          <w:rFonts w:cs="Tahoma"/>
        </w:rPr>
        <w:t>Windows MultiPoint Server 2012 Premium mit Windows MultiPoint Server 2012 (CAL) (5 Clients) mit CAL für Windows Server 2012 (5 Clients)</w:t>
      </w:r>
      <w:r w:rsidRPr="005E36DC">
        <w:rPr>
          <w:rFonts w:cs="Tahoma"/>
        </w:rPr>
        <w:tab/>
      </w:r>
      <w:r w:rsidRPr="005E36DC">
        <w:rPr>
          <w:rFonts w:cs="Tahoma"/>
        </w:rPr>
        <w:fldChar w:fldCharType="begin"/>
      </w:r>
      <w:r w:rsidRPr="005E36DC">
        <w:rPr>
          <w:rFonts w:cs="Tahoma"/>
        </w:rPr>
        <w:instrText xml:space="preserve"> PAGEREF _Toc363998882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Server™ 2008 R2 HPC Edition</w:t>
      </w:r>
      <w:r w:rsidRPr="005E36DC">
        <w:rPr>
          <w:rFonts w:cs="Tahoma"/>
        </w:rPr>
        <w:tab/>
      </w:r>
      <w:r w:rsidRPr="005E36DC">
        <w:rPr>
          <w:rFonts w:cs="Tahoma"/>
        </w:rPr>
        <w:fldChar w:fldCharType="begin"/>
      </w:r>
      <w:r w:rsidRPr="005E36DC">
        <w:rPr>
          <w:rFonts w:cs="Tahoma"/>
        </w:rPr>
        <w:instrText xml:space="preserve"> PAGEREF _Toc363998883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Server™ 2008 R2 Enterprise</w:t>
      </w:r>
      <w:r w:rsidRPr="005E36DC">
        <w:rPr>
          <w:rFonts w:cs="Tahoma"/>
        </w:rPr>
        <w:tab/>
      </w:r>
      <w:r w:rsidRPr="005E36DC">
        <w:rPr>
          <w:rFonts w:cs="Tahoma"/>
        </w:rPr>
        <w:fldChar w:fldCharType="begin"/>
      </w:r>
      <w:r w:rsidRPr="005E36DC">
        <w:rPr>
          <w:rFonts w:cs="Tahoma"/>
        </w:rPr>
        <w:instrText xml:space="preserve"> PAGEREF _Toc363998884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Server™ 2008 R2 für Itanium-basierte Systeme</w:t>
      </w:r>
      <w:r w:rsidRPr="005E36DC">
        <w:rPr>
          <w:rFonts w:cs="Tahoma"/>
        </w:rPr>
        <w:tab/>
      </w:r>
      <w:r w:rsidRPr="005E36DC">
        <w:rPr>
          <w:rFonts w:cs="Tahoma"/>
        </w:rPr>
        <w:fldChar w:fldCharType="begin"/>
      </w:r>
      <w:r w:rsidRPr="005E36DC">
        <w:rPr>
          <w:rFonts w:cs="Tahoma"/>
        </w:rPr>
        <w:instrText xml:space="preserve"> PAGEREF _Toc363998885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 für Windows Server™ 2012 (Gerät &amp; Nutzer)</w:t>
      </w:r>
      <w:r w:rsidRPr="005E36DC">
        <w:rPr>
          <w:rFonts w:cs="Tahoma"/>
          <w:lang w:val="de-DE"/>
        </w:rPr>
        <w:tab/>
      </w:r>
      <w:r w:rsidRPr="005E36DC">
        <w:rPr>
          <w:rFonts w:cs="Tahoma"/>
        </w:rPr>
        <w:fldChar w:fldCharType="begin"/>
      </w:r>
      <w:r w:rsidRPr="005E36DC">
        <w:rPr>
          <w:rFonts w:cs="Tahoma"/>
          <w:lang w:val="de-DE"/>
        </w:rPr>
        <w:instrText xml:space="preserve"> PAGEREF _Toc363998886 \h </w:instrText>
      </w:r>
      <w:r w:rsidRPr="005E36DC">
        <w:rPr>
          <w:rFonts w:cs="Tahoma"/>
        </w:rPr>
      </w:r>
      <w:r w:rsidRPr="005E36DC">
        <w:rPr>
          <w:rFonts w:cs="Tahoma"/>
        </w:rPr>
        <w:fldChar w:fldCharType="separate"/>
      </w:r>
      <w:r w:rsidR="00DC4771">
        <w:rPr>
          <w:rFonts w:cs="Tahoma"/>
          <w:lang w:val="de-DE"/>
        </w:rPr>
        <w:t>27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Server™ 2012 Datacenter</w:t>
      </w:r>
      <w:r w:rsidRPr="005E36DC">
        <w:rPr>
          <w:rFonts w:cs="Tahoma"/>
        </w:rPr>
        <w:tab/>
      </w:r>
      <w:r w:rsidRPr="005E36DC">
        <w:rPr>
          <w:rFonts w:cs="Tahoma"/>
        </w:rPr>
        <w:fldChar w:fldCharType="begin"/>
      </w:r>
      <w:r w:rsidRPr="005E36DC">
        <w:rPr>
          <w:rFonts w:cs="Tahoma"/>
        </w:rPr>
        <w:instrText xml:space="preserve"> PAGEREF _Toc363998887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Server™ 2012 Standard</w:t>
      </w:r>
      <w:r w:rsidRPr="005E36DC">
        <w:rPr>
          <w:rFonts w:cs="Tahoma"/>
        </w:rPr>
        <w:tab/>
      </w:r>
      <w:r w:rsidRPr="005E36DC">
        <w:rPr>
          <w:rFonts w:cs="Tahoma"/>
        </w:rPr>
        <w:fldChar w:fldCharType="begin"/>
      </w:r>
      <w:r w:rsidRPr="005E36DC">
        <w:rPr>
          <w:rFonts w:cs="Tahoma"/>
        </w:rPr>
        <w:instrText xml:space="preserve"> PAGEREF _Toc363998888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Externer Connector für Windows Server™</w:t>
      </w:r>
      <w:r w:rsidRPr="005E36DC">
        <w:rPr>
          <w:rFonts w:cs="Tahoma"/>
        </w:rPr>
        <w:tab/>
      </w:r>
      <w:r w:rsidRPr="005E36DC">
        <w:rPr>
          <w:rFonts w:cs="Tahoma"/>
        </w:rPr>
        <w:fldChar w:fldCharType="begin"/>
      </w:r>
      <w:r w:rsidRPr="005E36DC">
        <w:rPr>
          <w:rFonts w:cs="Tahoma"/>
        </w:rPr>
        <w:instrText xml:space="preserve"> PAGEREF _Toc363998889 \h </w:instrText>
      </w:r>
      <w:r w:rsidRPr="005E36DC">
        <w:rPr>
          <w:rFonts w:cs="Tahoma"/>
        </w:rPr>
      </w:r>
      <w:r w:rsidRPr="005E36DC">
        <w:rPr>
          <w:rFonts w:cs="Tahoma"/>
        </w:rPr>
        <w:fldChar w:fldCharType="separate"/>
      </w:r>
      <w:r w:rsidR="00DC4771">
        <w:rPr>
          <w:rFonts w:cs="Tahoma"/>
        </w:rPr>
        <w:t>27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 für Windows Server™ 2012-Remotedesktopdienste</w:t>
      </w:r>
      <w:r w:rsidRPr="005E36DC">
        <w:rPr>
          <w:rFonts w:cs="Tahoma"/>
          <w:lang w:val="de-DE"/>
        </w:rPr>
        <w:tab/>
      </w:r>
      <w:r w:rsidRPr="005E36DC">
        <w:rPr>
          <w:rFonts w:cs="Tahoma"/>
        </w:rPr>
        <w:fldChar w:fldCharType="begin"/>
      </w:r>
      <w:r w:rsidRPr="005E36DC">
        <w:rPr>
          <w:rFonts w:cs="Tahoma"/>
          <w:lang w:val="de-DE"/>
        </w:rPr>
        <w:instrText xml:space="preserve"> PAGEREF _Toc363998890 \h </w:instrText>
      </w:r>
      <w:r w:rsidRPr="005E36DC">
        <w:rPr>
          <w:rFonts w:cs="Tahoma"/>
        </w:rPr>
      </w:r>
      <w:r w:rsidRPr="005E36DC">
        <w:rPr>
          <w:rFonts w:cs="Tahoma"/>
        </w:rPr>
        <w:fldChar w:fldCharType="separate"/>
      </w:r>
      <w:r w:rsidR="00DC4771">
        <w:rPr>
          <w:rFonts w:cs="Tahoma"/>
          <w:lang w:val="de-DE"/>
        </w:rPr>
        <w:t>27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Externer Connector für Windows Server™ 2012-Remotedesktopdienste</w:t>
      </w:r>
      <w:r w:rsidRPr="005E36DC">
        <w:rPr>
          <w:rFonts w:cs="Tahoma"/>
          <w:lang w:val="de-DE"/>
        </w:rPr>
        <w:tab/>
      </w:r>
      <w:r w:rsidRPr="005E36DC">
        <w:rPr>
          <w:rFonts w:cs="Tahoma"/>
        </w:rPr>
        <w:fldChar w:fldCharType="begin"/>
      </w:r>
      <w:r w:rsidRPr="005E36DC">
        <w:rPr>
          <w:rFonts w:cs="Tahoma"/>
          <w:lang w:val="de-DE"/>
        </w:rPr>
        <w:instrText xml:space="preserve"> PAGEREF _Toc363998891 \h </w:instrText>
      </w:r>
      <w:r w:rsidRPr="005E36DC">
        <w:rPr>
          <w:rFonts w:cs="Tahoma"/>
        </w:rPr>
      </w:r>
      <w:r w:rsidRPr="005E36DC">
        <w:rPr>
          <w:rFonts w:cs="Tahoma"/>
        </w:rPr>
        <w:fldChar w:fldCharType="separate"/>
      </w:r>
      <w:r w:rsidR="00DC4771">
        <w:rPr>
          <w:rFonts w:cs="Tahoma"/>
          <w:lang w:val="de-DE"/>
        </w:rPr>
        <w:t>27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CAL für Windows Server™ 2012 Active Directory-Rechteverwaltungsdienste</w:t>
      </w:r>
      <w:r w:rsidRPr="005E36DC">
        <w:rPr>
          <w:rFonts w:cs="Tahoma"/>
          <w:lang w:val="de-DE"/>
        </w:rPr>
        <w:tab/>
      </w:r>
      <w:r w:rsidRPr="005E36DC">
        <w:rPr>
          <w:rFonts w:cs="Tahoma"/>
        </w:rPr>
        <w:fldChar w:fldCharType="begin"/>
      </w:r>
      <w:r w:rsidRPr="005E36DC">
        <w:rPr>
          <w:rFonts w:cs="Tahoma"/>
          <w:lang w:val="de-DE"/>
        </w:rPr>
        <w:instrText xml:space="preserve"> PAGEREF _Toc363998892 \h </w:instrText>
      </w:r>
      <w:r w:rsidRPr="005E36DC">
        <w:rPr>
          <w:rFonts w:cs="Tahoma"/>
        </w:rPr>
      </w:r>
      <w:r w:rsidRPr="005E36DC">
        <w:rPr>
          <w:rFonts w:cs="Tahoma"/>
        </w:rPr>
        <w:fldChar w:fldCharType="separate"/>
      </w:r>
      <w:r w:rsidR="00DC4771">
        <w:rPr>
          <w:rFonts w:cs="Tahoma"/>
          <w:lang w:val="de-DE"/>
        </w:rPr>
        <w:t>27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Externer Connector für Windows Server™ Active Directory- Rechteverwaltungsdienste</w:t>
      </w:r>
      <w:r w:rsidRPr="005E36DC">
        <w:rPr>
          <w:rFonts w:cs="Tahoma"/>
          <w:lang w:val="de-DE"/>
        </w:rPr>
        <w:tab/>
      </w:r>
      <w:r w:rsidRPr="005E36DC">
        <w:rPr>
          <w:rFonts w:cs="Tahoma"/>
        </w:rPr>
        <w:fldChar w:fldCharType="begin"/>
      </w:r>
      <w:r w:rsidRPr="005E36DC">
        <w:rPr>
          <w:rFonts w:cs="Tahoma"/>
          <w:lang w:val="de-DE"/>
        </w:rPr>
        <w:instrText xml:space="preserve"> PAGEREF _Toc363998893 \h </w:instrText>
      </w:r>
      <w:r w:rsidRPr="005E36DC">
        <w:rPr>
          <w:rFonts w:cs="Tahoma"/>
        </w:rPr>
      </w:r>
      <w:r w:rsidRPr="005E36DC">
        <w:rPr>
          <w:rFonts w:cs="Tahoma"/>
        </w:rPr>
        <w:fldChar w:fldCharType="separate"/>
      </w:r>
      <w:r w:rsidR="00DC4771">
        <w:rPr>
          <w:rFonts w:cs="Tahoma"/>
          <w:lang w:val="de-DE"/>
        </w:rPr>
        <w:t>28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Small Business Server 2008 Premium</w:t>
      </w:r>
      <w:r w:rsidRPr="005E36DC">
        <w:rPr>
          <w:rFonts w:cs="Tahoma"/>
        </w:rPr>
        <w:tab/>
      </w:r>
      <w:r w:rsidRPr="005E36DC">
        <w:rPr>
          <w:rFonts w:cs="Tahoma"/>
        </w:rPr>
        <w:fldChar w:fldCharType="begin"/>
      </w:r>
      <w:r w:rsidRPr="005E36DC">
        <w:rPr>
          <w:rFonts w:cs="Tahoma"/>
        </w:rPr>
        <w:instrText xml:space="preserve"> PAGEREF _Toc363998894 \h </w:instrText>
      </w:r>
      <w:r w:rsidRPr="005E36DC">
        <w:rPr>
          <w:rFonts w:cs="Tahoma"/>
        </w:rPr>
      </w:r>
      <w:r w:rsidRPr="005E36DC">
        <w:rPr>
          <w:rFonts w:cs="Tahoma"/>
        </w:rPr>
        <w:fldChar w:fldCharType="separate"/>
      </w:r>
      <w:r w:rsidR="00DC4771">
        <w:rPr>
          <w:rFonts w:cs="Tahoma"/>
        </w:rPr>
        <w:t>28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Small Business Server 2011 Standard</w:t>
      </w:r>
      <w:r w:rsidRPr="005E36DC">
        <w:rPr>
          <w:rFonts w:cs="Tahoma"/>
        </w:rPr>
        <w:tab/>
      </w:r>
      <w:r w:rsidRPr="005E36DC">
        <w:rPr>
          <w:rFonts w:cs="Tahoma"/>
        </w:rPr>
        <w:fldChar w:fldCharType="begin"/>
      </w:r>
      <w:r w:rsidRPr="005E36DC">
        <w:rPr>
          <w:rFonts w:cs="Tahoma"/>
        </w:rPr>
        <w:instrText xml:space="preserve"> PAGEREF _Toc363998895 \h </w:instrText>
      </w:r>
      <w:r w:rsidRPr="005E36DC">
        <w:rPr>
          <w:rFonts w:cs="Tahoma"/>
        </w:rPr>
      </w:r>
      <w:r w:rsidRPr="005E36DC">
        <w:rPr>
          <w:rFonts w:cs="Tahoma"/>
        </w:rPr>
        <w:fldChar w:fldCharType="separate"/>
      </w:r>
      <w:r w:rsidR="00DC4771">
        <w:rPr>
          <w:rFonts w:cs="Tahoma"/>
        </w:rPr>
        <w:t>28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CAL-Suite für Windows Small Business Server 2011 (1 Client)</w:t>
      </w:r>
      <w:r w:rsidRPr="005E36DC">
        <w:rPr>
          <w:rFonts w:cs="Tahoma"/>
        </w:rPr>
        <w:tab/>
      </w:r>
      <w:r w:rsidRPr="005E36DC">
        <w:rPr>
          <w:rFonts w:cs="Tahoma"/>
        </w:rPr>
        <w:fldChar w:fldCharType="begin"/>
      </w:r>
      <w:r w:rsidRPr="005E36DC">
        <w:rPr>
          <w:rFonts w:cs="Tahoma"/>
        </w:rPr>
        <w:instrText xml:space="preserve"> PAGEREF _Toc363998896 \h </w:instrText>
      </w:r>
      <w:r w:rsidRPr="005E36DC">
        <w:rPr>
          <w:rFonts w:cs="Tahoma"/>
        </w:rPr>
      </w:r>
      <w:r w:rsidRPr="005E36DC">
        <w:rPr>
          <w:rFonts w:cs="Tahoma"/>
        </w:rPr>
        <w:fldChar w:fldCharType="separate"/>
      </w:r>
      <w:r w:rsidR="00DC4771">
        <w:rPr>
          <w:rFonts w:cs="Tahoma"/>
        </w:rPr>
        <w:t>28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CAL-Suite für Windows Small Business Server 2011 (5 Clients)</w:t>
      </w:r>
      <w:r w:rsidRPr="005E36DC">
        <w:rPr>
          <w:rFonts w:cs="Tahoma"/>
        </w:rPr>
        <w:tab/>
      </w:r>
      <w:r w:rsidRPr="005E36DC">
        <w:rPr>
          <w:rFonts w:cs="Tahoma"/>
        </w:rPr>
        <w:fldChar w:fldCharType="begin"/>
      </w:r>
      <w:r w:rsidRPr="005E36DC">
        <w:rPr>
          <w:rFonts w:cs="Tahoma"/>
        </w:rPr>
        <w:instrText xml:space="preserve"> PAGEREF _Toc363998897 \h </w:instrText>
      </w:r>
      <w:r w:rsidRPr="005E36DC">
        <w:rPr>
          <w:rFonts w:cs="Tahoma"/>
        </w:rPr>
      </w:r>
      <w:r w:rsidRPr="005E36DC">
        <w:rPr>
          <w:rFonts w:cs="Tahoma"/>
        </w:rPr>
        <w:fldChar w:fldCharType="separate"/>
      </w:r>
      <w:r w:rsidR="00DC4771">
        <w:rPr>
          <w:rFonts w:cs="Tahoma"/>
        </w:rPr>
        <w:t>28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CAL-Suite für Windows Small Business Server 2011 (20 Clients)</w:t>
      </w:r>
      <w:r w:rsidRPr="005E36DC">
        <w:rPr>
          <w:rFonts w:cs="Tahoma"/>
        </w:rPr>
        <w:tab/>
      </w:r>
      <w:r w:rsidRPr="005E36DC">
        <w:rPr>
          <w:rFonts w:cs="Tahoma"/>
        </w:rPr>
        <w:fldChar w:fldCharType="begin"/>
      </w:r>
      <w:r w:rsidRPr="005E36DC">
        <w:rPr>
          <w:rFonts w:cs="Tahoma"/>
        </w:rPr>
        <w:instrText xml:space="preserve"> PAGEREF _Toc363998898 \h </w:instrText>
      </w:r>
      <w:r w:rsidRPr="005E36DC">
        <w:rPr>
          <w:rFonts w:cs="Tahoma"/>
        </w:rPr>
      </w:r>
      <w:r w:rsidRPr="005E36DC">
        <w:rPr>
          <w:rFonts w:cs="Tahoma"/>
        </w:rPr>
        <w:fldChar w:fldCharType="separate"/>
      </w:r>
      <w:r w:rsidR="00DC4771">
        <w:rPr>
          <w:rFonts w:cs="Tahoma"/>
        </w:rPr>
        <w:t>28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Small Business Server 2011 Premium Add-On</w:t>
      </w:r>
      <w:r w:rsidRPr="005E36DC">
        <w:rPr>
          <w:rFonts w:cs="Tahoma"/>
        </w:rPr>
        <w:tab/>
      </w:r>
      <w:r w:rsidRPr="005E36DC">
        <w:rPr>
          <w:rFonts w:cs="Tahoma"/>
        </w:rPr>
        <w:fldChar w:fldCharType="begin"/>
      </w:r>
      <w:r w:rsidRPr="005E36DC">
        <w:rPr>
          <w:rFonts w:cs="Tahoma"/>
        </w:rPr>
        <w:instrText xml:space="preserve"> PAGEREF _Toc363998899 \h </w:instrText>
      </w:r>
      <w:r w:rsidRPr="005E36DC">
        <w:rPr>
          <w:rFonts w:cs="Tahoma"/>
        </w:rPr>
      </w:r>
      <w:r w:rsidRPr="005E36DC">
        <w:rPr>
          <w:rFonts w:cs="Tahoma"/>
        </w:rPr>
        <w:fldChar w:fldCharType="separate"/>
      </w:r>
      <w:r w:rsidR="00DC4771">
        <w:rPr>
          <w:rFonts w:cs="Tahoma"/>
        </w:rPr>
        <w:t>28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Add-On CAL Suite für Windows Small Business Server 2011 Premium</w:t>
      </w:r>
      <w:r w:rsidRPr="005E36DC">
        <w:rPr>
          <w:rFonts w:cs="Tahoma"/>
        </w:rPr>
        <w:tab/>
      </w:r>
      <w:r w:rsidRPr="005E36DC">
        <w:rPr>
          <w:rFonts w:cs="Tahoma"/>
        </w:rPr>
        <w:fldChar w:fldCharType="begin"/>
      </w:r>
      <w:r w:rsidRPr="005E36DC">
        <w:rPr>
          <w:rFonts w:cs="Tahoma"/>
        </w:rPr>
        <w:instrText xml:space="preserve"> PAGEREF _Toc363998900 \h </w:instrText>
      </w:r>
      <w:r w:rsidRPr="005E36DC">
        <w:rPr>
          <w:rFonts w:cs="Tahoma"/>
        </w:rPr>
      </w:r>
      <w:r w:rsidRPr="005E36DC">
        <w:rPr>
          <w:rFonts w:cs="Tahoma"/>
        </w:rPr>
        <w:fldChar w:fldCharType="separate"/>
      </w:r>
      <w:r w:rsidR="00DC4771">
        <w:rPr>
          <w:rFonts w:cs="Tahoma"/>
        </w:rPr>
        <w:t>28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Add-On CAL Suite für Windows Small Business Server 2011 Premium (5 Clients)</w:t>
      </w:r>
      <w:r w:rsidRPr="005E36DC">
        <w:rPr>
          <w:rFonts w:cs="Tahoma"/>
        </w:rPr>
        <w:tab/>
      </w:r>
      <w:r w:rsidRPr="005E36DC">
        <w:rPr>
          <w:rFonts w:cs="Tahoma"/>
        </w:rPr>
        <w:fldChar w:fldCharType="begin"/>
      </w:r>
      <w:r w:rsidRPr="005E36DC">
        <w:rPr>
          <w:rFonts w:cs="Tahoma"/>
        </w:rPr>
        <w:instrText xml:space="preserve"> PAGEREF _Toc363998901 \h </w:instrText>
      </w:r>
      <w:r w:rsidRPr="005E36DC">
        <w:rPr>
          <w:rFonts w:cs="Tahoma"/>
        </w:rPr>
      </w:r>
      <w:r w:rsidRPr="005E36DC">
        <w:rPr>
          <w:rFonts w:cs="Tahoma"/>
        </w:rPr>
        <w:fldChar w:fldCharType="separate"/>
      </w:r>
      <w:r w:rsidR="00DC4771">
        <w:rPr>
          <w:rFonts w:cs="Tahoma"/>
        </w:rPr>
        <w:t>28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Add-On CAL Suite für Windows Small Business Server 2011 Premium (20Clients)</w:t>
      </w:r>
      <w:r w:rsidRPr="005E36DC">
        <w:rPr>
          <w:rFonts w:cs="Tahoma"/>
        </w:rPr>
        <w:tab/>
      </w:r>
      <w:r w:rsidRPr="005E36DC">
        <w:rPr>
          <w:rFonts w:cs="Tahoma"/>
        </w:rPr>
        <w:fldChar w:fldCharType="begin"/>
      </w:r>
      <w:r w:rsidRPr="005E36DC">
        <w:rPr>
          <w:rFonts w:cs="Tahoma"/>
        </w:rPr>
        <w:instrText xml:space="preserve"> PAGEREF _Toc363998902 \h </w:instrText>
      </w:r>
      <w:r w:rsidRPr="005E36DC">
        <w:rPr>
          <w:rFonts w:cs="Tahoma"/>
        </w:rPr>
      </w:r>
      <w:r w:rsidRPr="005E36DC">
        <w:rPr>
          <w:rFonts w:cs="Tahoma"/>
        </w:rPr>
        <w:fldChar w:fldCharType="separate"/>
      </w:r>
      <w:r w:rsidR="00DC4771">
        <w:rPr>
          <w:rFonts w:cs="Tahoma"/>
        </w:rPr>
        <w:t>28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Server Essentials 2012</w:t>
      </w:r>
      <w:r w:rsidRPr="005E36DC">
        <w:rPr>
          <w:rFonts w:cs="Tahoma"/>
        </w:rPr>
        <w:tab/>
      </w:r>
      <w:r w:rsidRPr="005E36DC">
        <w:rPr>
          <w:rFonts w:cs="Tahoma"/>
        </w:rPr>
        <w:fldChar w:fldCharType="begin"/>
      </w:r>
      <w:r w:rsidRPr="005E36DC">
        <w:rPr>
          <w:rFonts w:cs="Tahoma"/>
        </w:rPr>
        <w:instrText xml:space="preserve"> PAGEREF _Toc363998903 \h </w:instrText>
      </w:r>
      <w:r w:rsidRPr="005E36DC">
        <w:rPr>
          <w:rFonts w:cs="Tahoma"/>
        </w:rPr>
      </w:r>
      <w:r w:rsidRPr="005E36DC">
        <w:rPr>
          <w:rFonts w:cs="Tahoma"/>
        </w:rPr>
        <w:fldChar w:fldCharType="separate"/>
      </w:r>
      <w:r w:rsidR="00DC4771">
        <w:rPr>
          <w:rFonts w:cs="Tahoma"/>
        </w:rPr>
        <w:t>28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Windows Small Business Server 2011 Essentials</w:t>
      </w:r>
      <w:r w:rsidRPr="005E36DC">
        <w:rPr>
          <w:rFonts w:cs="Tahoma"/>
        </w:rPr>
        <w:tab/>
      </w:r>
      <w:r w:rsidRPr="005E36DC">
        <w:rPr>
          <w:rFonts w:cs="Tahoma"/>
        </w:rPr>
        <w:fldChar w:fldCharType="begin"/>
      </w:r>
      <w:r w:rsidRPr="005E36DC">
        <w:rPr>
          <w:rFonts w:cs="Tahoma"/>
        </w:rPr>
        <w:instrText xml:space="preserve"> PAGEREF _Toc363998904 \h </w:instrText>
      </w:r>
      <w:r w:rsidRPr="005E36DC">
        <w:rPr>
          <w:rFonts w:cs="Tahoma"/>
        </w:rPr>
      </w:r>
      <w:r w:rsidRPr="005E36DC">
        <w:rPr>
          <w:rFonts w:cs="Tahoma"/>
        </w:rPr>
        <w:fldChar w:fldCharType="separate"/>
      </w:r>
      <w:r w:rsidR="00DC4771">
        <w:rPr>
          <w:rFonts w:cs="Tahoma"/>
        </w:rPr>
        <w:t>28</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Windows Web Server 2008 R2</w:t>
      </w:r>
      <w:r w:rsidRPr="005E36DC">
        <w:rPr>
          <w:rFonts w:cs="Tahoma"/>
          <w:lang w:val="de-DE"/>
        </w:rPr>
        <w:tab/>
      </w:r>
      <w:r w:rsidRPr="005E36DC">
        <w:rPr>
          <w:rFonts w:cs="Tahoma"/>
        </w:rPr>
        <w:fldChar w:fldCharType="begin"/>
      </w:r>
      <w:r w:rsidRPr="005E36DC">
        <w:rPr>
          <w:rFonts w:cs="Tahoma"/>
          <w:lang w:val="de-DE"/>
        </w:rPr>
        <w:instrText xml:space="preserve"> PAGEREF _Toc363998905 \h </w:instrText>
      </w:r>
      <w:r w:rsidRPr="005E36DC">
        <w:rPr>
          <w:rFonts w:cs="Tahoma"/>
        </w:rPr>
      </w:r>
      <w:r w:rsidRPr="005E36DC">
        <w:rPr>
          <w:rFonts w:cs="Tahoma"/>
        </w:rPr>
        <w:fldChar w:fldCharType="separate"/>
      </w:r>
      <w:r w:rsidR="00DC4771">
        <w:rPr>
          <w:rFonts w:cs="Tahoma"/>
          <w:lang w:val="de-DE"/>
        </w:rPr>
        <w:t>28</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Yammer Enterprise</w:t>
      </w:r>
      <w:r w:rsidRPr="005E36DC">
        <w:rPr>
          <w:rFonts w:cs="Tahoma"/>
          <w:lang w:val="de-DE"/>
        </w:rPr>
        <w:tab/>
      </w:r>
      <w:r w:rsidRPr="005E36DC">
        <w:rPr>
          <w:rFonts w:cs="Tahoma"/>
        </w:rPr>
        <w:fldChar w:fldCharType="begin"/>
      </w:r>
      <w:r w:rsidRPr="005E36DC">
        <w:rPr>
          <w:rFonts w:cs="Tahoma"/>
          <w:lang w:val="de-DE"/>
        </w:rPr>
        <w:instrText xml:space="preserve"> PAGEREF _Toc363998906 \h </w:instrText>
      </w:r>
      <w:r w:rsidRPr="005E36DC">
        <w:rPr>
          <w:rFonts w:cs="Tahoma"/>
        </w:rPr>
      </w:r>
      <w:r w:rsidRPr="005E36DC">
        <w:rPr>
          <w:rFonts w:cs="Tahoma"/>
        </w:rPr>
        <w:fldChar w:fldCharType="separate"/>
      </w:r>
      <w:r w:rsidR="00DC4771">
        <w:rPr>
          <w:rFonts w:cs="Tahoma"/>
          <w:lang w:val="de-DE"/>
        </w:rPr>
        <w:t>28</w:t>
      </w:r>
      <w:r w:rsidRPr="005E36DC">
        <w:rPr>
          <w:rFonts w:cs="Tahoma"/>
        </w:rPr>
        <w:fldChar w:fldCharType="end"/>
      </w:r>
    </w:p>
    <w:p w:rsidR="005E36DC" w:rsidRPr="005E36DC" w:rsidRDefault="005E36DC" w:rsidP="005E36DC">
      <w:pPr>
        <w:pStyle w:val="TOC1"/>
        <w:rPr>
          <w:rFonts w:eastAsiaTheme="minorEastAsia"/>
          <w:b w:val="0"/>
          <w:caps w:val="0"/>
          <w:color w:val="auto"/>
          <w:szCs w:val="22"/>
          <w:lang w:val="de-DE" w:eastAsia="zh-CN"/>
        </w:rPr>
      </w:pPr>
      <w:r w:rsidRPr="005E36DC">
        <w:rPr>
          <w:color w:val="auto"/>
          <w:lang w:val="de-DE"/>
        </w:rPr>
        <w:t>ABSCHNITT 1 – ÄNDERUNGEN AN DER PRODUKTLISTE während der letzten 12 Monate</w:t>
      </w:r>
      <w:r w:rsidRPr="005E36DC">
        <w:rPr>
          <w:color w:val="auto"/>
          <w:lang w:val="de-DE"/>
        </w:rPr>
        <w:tab/>
      </w:r>
      <w:r w:rsidRPr="005E36DC">
        <w:rPr>
          <w:color w:val="auto"/>
        </w:rPr>
        <w:fldChar w:fldCharType="begin"/>
      </w:r>
      <w:r w:rsidRPr="005E36DC">
        <w:rPr>
          <w:color w:val="auto"/>
          <w:lang w:val="de-DE"/>
        </w:rPr>
        <w:instrText xml:space="preserve"> PAGEREF _Toc363998907 \h </w:instrText>
      </w:r>
      <w:r w:rsidRPr="005E36DC">
        <w:rPr>
          <w:color w:val="auto"/>
        </w:rPr>
      </w:r>
      <w:r w:rsidRPr="005E36DC">
        <w:rPr>
          <w:color w:val="auto"/>
        </w:rPr>
        <w:fldChar w:fldCharType="separate"/>
      </w:r>
      <w:r w:rsidR="00DC4771">
        <w:rPr>
          <w:color w:val="auto"/>
          <w:lang w:val="de-DE"/>
        </w:rPr>
        <w:t>29</w:t>
      </w:r>
      <w:r w:rsidRPr="005E36DC">
        <w:rPr>
          <w:color w:val="auto"/>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ÄNDERUNGEN IM SEPTEMBER 2013</w:t>
      </w:r>
      <w:r w:rsidRPr="005E36DC">
        <w:rPr>
          <w:rFonts w:cs="Tahoma"/>
          <w:lang w:val="de-DE"/>
        </w:rPr>
        <w:tab/>
      </w:r>
      <w:r w:rsidRPr="005E36DC">
        <w:rPr>
          <w:rFonts w:cs="Tahoma"/>
        </w:rPr>
        <w:fldChar w:fldCharType="begin"/>
      </w:r>
      <w:r w:rsidRPr="005E36DC">
        <w:rPr>
          <w:rFonts w:cs="Tahoma"/>
          <w:lang w:val="de-DE"/>
        </w:rPr>
        <w:instrText xml:space="preserve"> PAGEREF _Toc363998908 \h </w:instrText>
      </w:r>
      <w:r w:rsidRPr="005E36DC">
        <w:rPr>
          <w:rFonts w:cs="Tahoma"/>
        </w:rPr>
      </w:r>
      <w:r w:rsidRPr="005E36DC">
        <w:rPr>
          <w:rFonts w:cs="Tahoma"/>
        </w:rPr>
        <w:fldChar w:fldCharType="separate"/>
      </w:r>
      <w:r w:rsidR="00DC4771">
        <w:rPr>
          <w:rFonts w:cs="Tahoma"/>
          <w:lang w:val="de-DE"/>
        </w:rPr>
        <w:t>29</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ÄNDERUNGEN IM AUGUST 2013</w:t>
      </w:r>
      <w:r w:rsidRPr="005E36DC">
        <w:rPr>
          <w:rFonts w:cs="Tahoma"/>
          <w:lang w:val="de-DE"/>
        </w:rPr>
        <w:tab/>
      </w:r>
      <w:r w:rsidRPr="005E36DC">
        <w:rPr>
          <w:rFonts w:cs="Tahoma"/>
        </w:rPr>
        <w:fldChar w:fldCharType="begin"/>
      </w:r>
      <w:r w:rsidRPr="005E36DC">
        <w:rPr>
          <w:rFonts w:cs="Tahoma"/>
          <w:lang w:val="de-DE"/>
        </w:rPr>
        <w:instrText xml:space="preserve"> PAGEREF _Toc363998909 \h </w:instrText>
      </w:r>
      <w:r w:rsidRPr="005E36DC">
        <w:rPr>
          <w:rFonts w:cs="Tahoma"/>
        </w:rPr>
      </w:r>
      <w:r w:rsidRPr="005E36DC">
        <w:rPr>
          <w:rFonts w:cs="Tahoma"/>
        </w:rPr>
        <w:fldChar w:fldCharType="separate"/>
      </w:r>
      <w:r w:rsidR="00DC4771">
        <w:rPr>
          <w:rFonts w:cs="Tahoma"/>
          <w:lang w:val="de-DE"/>
        </w:rPr>
        <w:t>29</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ÄNDERUNGEN IM JULI 2013</w:t>
      </w:r>
      <w:r w:rsidRPr="005E36DC">
        <w:rPr>
          <w:rFonts w:cs="Tahoma"/>
          <w:lang w:val="de-DE"/>
        </w:rPr>
        <w:tab/>
      </w:r>
      <w:r w:rsidRPr="005E36DC">
        <w:rPr>
          <w:rFonts w:cs="Tahoma"/>
        </w:rPr>
        <w:fldChar w:fldCharType="begin"/>
      </w:r>
      <w:r w:rsidRPr="005E36DC">
        <w:rPr>
          <w:rFonts w:cs="Tahoma"/>
          <w:lang w:val="de-DE"/>
        </w:rPr>
        <w:instrText xml:space="preserve"> PAGEREF _Toc363998910 \h </w:instrText>
      </w:r>
      <w:r w:rsidRPr="005E36DC">
        <w:rPr>
          <w:rFonts w:cs="Tahoma"/>
        </w:rPr>
      </w:r>
      <w:r w:rsidRPr="005E36DC">
        <w:rPr>
          <w:rFonts w:cs="Tahoma"/>
        </w:rPr>
        <w:fldChar w:fldCharType="separate"/>
      </w:r>
      <w:r w:rsidR="00DC4771">
        <w:rPr>
          <w:rFonts w:cs="Tahoma"/>
          <w:lang w:val="de-DE"/>
        </w:rPr>
        <w:t>30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ÄNDERUNGEN IM JUNI 2013</w:t>
      </w:r>
      <w:r w:rsidRPr="005E36DC">
        <w:rPr>
          <w:rFonts w:cs="Tahoma"/>
          <w:lang w:val="de-DE"/>
        </w:rPr>
        <w:tab/>
      </w:r>
      <w:r w:rsidRPr="005E36DC">
        <w:rPr>
          <w:rFonts w:cs="Tahoma"/>
        </w:rPr>
        <w:fldChar w:fldCharType="begin"/>
      </w:r>
      <w:r w:rsidRPr="005E36DC">
        <w:rPr>
          <w:rFonts w:cs="Tahoma"/>
          <w:lang w:val="de-DE"/>
        </w:rPr>
        <w:instrText xml:space="preserve"> PAGEREF _Toc363998911 \h </w:instrText>
      </w:r>
      <w:r w:rsidRPr="005E36DC">
        <w:rPr>
          <w:rFonts w:cs="Tahoma"/>
        </w:rPr>
      </w:r>
      <w:r w:rsidRPr="005E36DC">
        <w:rPr>
          <w:rFonts w:cs="Tahoma"/>
        </w:rPr>
        <w:fldChar w:fldCharType="separate"/>
      </w:r>
      <w:r w:rsidR="00DC4771">
        <w:rPr>
          <w:rFonts w:cs="Tahoma"/>
          <w:lang w:val="de-DE"/>
        </w:rPr>
        <w:t>30</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MAI 2013 – ÄNDERUNGEN</w:t>
      </w:r>
      <w:r w:rsidRPr="005E36DC">
        <w:rPr>
          <w:rFonts w:cs="Tahoma"/>
          <w:lang w:val="de-DE"/>
        </w:rPr>
        <w:tab/>
      </w:r>
      <w:r w:rsidRPr="005E36DC">
        <w:rPr>
          <w:rFonts w:cs="Tahoma"/>
        </w:rPr>
        <w:fldChar w:fldCharType="begin"/>
      </w:r>
      <w:r w:rsidRPr="005E36DC">
        <w:rPr>
          <w:rFonts w:cs="Tahoma"/>
          <w:lang w:val="de-DE"/>
        </w:rPr>
        <w:instrText xml:space="preserve"> PAGEREF _Toc363998912 \h </w:instrText>
      </w:r>
      <w:r w:rsidRPr="005E36DC">
        <w:rPr>
          <w:rFonts w:cs="Tahoma"/>
        </w:rPr>
      </w:r>
      <w:r w:rsidRPr="005E36DC">
        <w:rPr>
          <w:rFonts w:cs="Tahoma"/>
        </w:rPr>
        <w:fldChar w:fldCharType="separate"/>
      </w:r>
      <w:r w:rsidR="00DC4771">
        <w:rPr>
          <w:rFonts w:cs="Tahoma"/>
          <w:lang w:val="de-DE"/>
        </w:rPr>
        <w:t>31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ÄNDERUNGEN IM APRIL 2013</w:t>
      </w:r>
      <w:r w:rsidRPr="005E36DC">
        <w:rPr>
          <w:rFonts w:cs="Tahoma"/>
          <w:lang w:val="de-DE"/>
        </w:rPr>
        <w:tab/>
      </w:r>
      <w:r w:rsidRPr="005E36DC">
        <w:rPr>
          <w:rFonts w:cs="Tahoma"/>
        </w:rPr>
        <w:fldChar w:fldCharType="begin"/>
      </w:r>
      <w:r w:rsidRPr="005E36DC">
        <w:rPr>
          <w:rFonts w:cs="Tahoma"/>
          <w:lang w:val="de-DE"/>
        </w:rPr>
        <w:instrText xml:space="preserve"> PAGEREF _Toc363998913 \h </w:instrText>
      </w:r>
      <w:r w:rsidRPr="005E36DC">
        <w:rPr>
          <w:rFonts w:cs="Tahoma"/>
        </w:rPr>
      </w:r>
      <w:r w:rsidRPr="005E36DC">
        <w:rPr>
          <w:rFonts w:cs="Tahoma"/>
        </w:rPr>
        <w:fldChar w:fldCharType="separate"/>
      </w:r>
      <w:r w:rsidR="00DC4771">
        <w:rPr>
          <w:rFonts w:cs="Tahoma"/>
          <w:lang w:val="de-DE"/>
        </w:rPr>
        <w:t>31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ÄNDERUNGEN IM MÄRZ 2013</w:t>
      </w:r>
      <w:r w:rsidRPr="005E36DC">
        <w:rPr>
          <w:rFonts w:cs="Tahoma"/>
          <w:lang w:val="de-DE"/>
        </w:rPr>
        <w:tab/>
      </w:r>
      <w:r w:rsidRPr="005E36DC">
        <w:rPr>
          <w:rFonts w:cs="Tahoma"/>
        </w:rPr>
        <w:fldChar w:fldCharType="begin"/>
      </w:r>
      <w:r w:rsidRPr="005E36DC">
        <w:rPr>
          <w:rFonts w:cs="Tahoma"/>
          <w:lang w:val="de-DE"/>
        </w:rPr>
        <w:instrText xml:space="preserve"> PAGEREF _Toc363998914 \h </w:instrText>
      </w:r>
      <w:r w:rsidRPr="005E36DC">
        <w:rPr>
          <w:rFonts w:cs="Tahoma"/>
        </w:rPr>
      </w:r>
      <w:r w:rsidRPr="005E36DC">
        <w:rPr>
          <w:rFonts w:cs="Tahoma"/>
        </w:rPr>
        <w:fldChar w:fldCharType="separate"/>
      </w:r>
      <w:r w:rsidR="00DC4771">
        <w:rPr>
          <w:rFonts w:cs="Tahoma"/>
          <w:lang w:val="de-DE"/>
        </w:rPr>
        <w:t>33</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ÄNDERUNGEN IM FEBRUAR 2013</w:t>
      </w:r>
      <w:r w:rsidRPr="005E36DC">
        <w:rPr>
          <w:rFonts w:cs="Tahoma"/>
          <w:lang w:val="de-DE"/>
        </w:rPr>
        <w:tab/>
      </w:r>
      <w:r w:rsidRPr="005E36DC">
        <w:rPr>
          <w:rFonts w:cs="Tahoma"/>
        </w:rPr>
        <w:fldChar w:fldCharType="begin"/>
      </w:r>
      <w:r w:rsidRPr="005E36DC">
        <w:rPr>
          <w:rFonts w:cs="Tahoma"/>
          <w:lang w:val="de-DE"/>
        </w:rPr>
        <w:instrText xml:space="preserve"> PAGEREF _Toc363998915 \h </w:instrText>
      </w:r>
      <w:r w:rsidRPr="005E36DC">
        <w:rPr>
          <w:rFonts w:cs="Tahoma"/>
        </w:rPr>
      </w:r>
      <w:r w:rsidRPr="005E36DC">
        <w:rPr>
          <w:rFonts w:cs="Tahoma"/>
        </w:rPr>
        <w:fldChar w:fldCharType="separate"/>
      </w:r>
      <w:r w:rsidR="00DC4771">
        <w:rPr>
          <w:rFonts w:cs="Tahoma"/>
          <w:lang w:val="de-DE"/>
        </w:rPr>
        <w:t>34</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ÄNDERUNGEN IM JANUAR 2013</w:t>
      </w:r>
      <w:r w:rsidRPr="005E36DC">
        <w:rPr>
          <w:rFonts w:cs="Tahoma"/>
          <w:lang w:val="de-DE"/>
        </w:rPr>
        <w:tab/>
      </w:r>
      <w:r w:rsidRPr="005E36DC">
        <w:rPr>
          <w:rFonts w:cs="Tahoma"/>
        </w:rPr>
        <w:fldChar w:fldCharType="begin"/>
      </w:r>
      <w:r w:rsidRPr="005E36DC">
        <w:rPr>
          <w:rFonts w:cs="Tahoma"/>
          <w:lang w:val="de-DE"/>
        </w:rPr>
        <w:instrText xml:space="preserve"> PAGEREF _Toc363998916 \h </w:instrText>
      </w:r>
      <w:r w:rsidRPr="005E36DC">
        <w:rPr>
          <w:rFonts w:cs="Tahoma"/>
        </w:rPr>
      </w:r>
      <w:r w:rsidRPr="005E36DC">
        <w:rPr>
          <w:rFonts w:cs="Tahoma"/>
        </w:rPr>
        <w:fldChar w:fldCharType="separate"/>
      </w:r>
      <w:r w:rsidR="00DC4771">
        <w:rPr>
          <w:rFonts w:cs="Tahoma"/>
          <w:lang w:val="de-DE"/>
        </w:rPr>
        <w:t>35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ÄNDERUNGEN IM DEZEMBER 2012</w:t>
      </w:r>
      <w:r w:rsidRPr="005E36DC">
        <w:rPr>
          <w:rFonts w:cs="Tahoma"/>
          <w:lang w:val="de-DE"/>
        </w:rPr>
        <w:tab/>
      </w:r>
      <w:r w:rsidRPr="005E36DC">
        <w:rPr>
          <w:rFonts w:cs="Tahoma"/>
        </w:rPr>
        <w:fldChar w:fldCharType="begin"/>
      </w:r>
      <w:r w:rsidRPr="005E36DC">
        <w:rPr>
          <w:rFonts w:cs="Tahoma"/>
          <w:lang w:val="de-DE"/>
        </w:rPr>
        <w:instrText xml:space="preserve"> PAGEREF _Toc363998917 \h </w:instrText>
      </w:r>
      <w:r w:rsidRPr="005E36DC">
        <w:rPr>
          <w:rFonts w:cs="Tahoma"/>
        </w:rPr>
      </w:r>
      <w:r w:rsidRPr="005E36DC">
        <w:rPr>
          <w:rFonts w:cs="Tahoma"/>
        </w:rPr>
        <w:fldChar w:fldCharType="separate"/>
      </w:r>
      <w:r w:rsidR="00DC4771">
        <w:rPr>
          <w:rFonts w:cs="Tahoma"/>
          <w:lang w:val="de-DE"/>
        </w:rPr>
        <w:t>35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ÄNDERUNGEN IM NOVEMBER 2012</w:t>
      </w:r>
      <w:r w:rsidRPr="005E36DC">
        <w:rPr>
          <w:rFonts w:cs="Tahoma"/>
          <w:lang w:val="de-DE"/>
        </w:rPr>
        <w:tab/>
      </w:r>
      <w:r w:rsidRPr="005E36DC">
        <w:rPr>
          <w:rFonts w:cs="Tahoma"/>
        </w:rPr>
        <w:fldChar w:fldCharType="begin"/>
      </w:r>
      <w:r w:rsidRPr="005E36DC">
        <w:rPr>
          <w:rFonts w:cs="Tahoma"/>
          <w:lang w:val="de-DE"/>
        </w:rPr>
        <w:instrText xml:space="preserve"> PAGEREF _Toc363998918 \h </w:instrText>
      </w:r>
      <w:r w:rsidRPr="005E36DC">
        <w:rPr>
          <w:rFonts w:cs="Tahoma"/>
        </w:rPr>
      </w:r>
      <w:r w:rsidRPr="005E36DC">
        <w:rPr>
          <w:rFonts w:cs="Tahoma"/>
        </w:rPr>
        <w:fldChar w:fldCharType="separate"/>
      </w:r>
      <w:r w:rsidR="00DC4771">
        <w:rPr>
          <w:rFonts w:cs="Tahoma"/>
          <w:lang w:val="de-DE"/>
        </w:rPr>
        <w:t>37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ÄNDERUNGEN IM OKTOBER 2012</w:t>
      </w:r>
      <w:r w:rsidRPr="005E36DC">
        <w:rPr>
          <w:rFonts w:cs="Tahoma"/>
          <w:lang w:val="de-DE"/>
        </w:rPr>
        <w:tab/>
      </w:r>
      <w:r w:rsidRPr="005E36DC">
        <w:rPr>
          <w:rFonts w:cs="Tahoma"/>
        </w:rPr>
        <w:fldChar w:fldCharType="begin"/>
      </w:r>
      <w:r w:rsidRPr="005E36DC">
        <w:rPr>
          <w:rFonts w:cs="Tahoma"/>
          <w:lang w:val="de-DE"/>
        </w:rPr>
        <w:instrText xml:space="preserve"> PAGEREF _Toc363998919 \h </w:instrText>
      </w:r>
      <w:r w:rsidRPr="005E36DC">
        <w:rPr>
          <w:rFonts w:cs="Tahoma"/>
        </w:rPr>
      </w:r>
      <w:r w:rsidRPr="005E36DC">
        <w:rPr>
          <w:rFonts w:cs="Tahoma"/>
        </w:rPr>
        <w:fldChar w:fldCharType="separate"/>
      </w:r>
      <w:r w:rsidR="00DC4771">
        <w:rPr>
          <w:rFonts w:cs="Tahoma"/>
          <w:lang w:val="de-DE"/>
        </w:rPr>
        <w:t>37</w:t>
      </w:r>
      <w:r w:rsidRPr="005E36DC">
        <w:rPr>
          <w:rFonts w:cs="Tahoma"/>
        </w:rPr>
        <w:fldChar w:fldCharType="end"/>
      </w:r>
    </w:p>
    <w:p w:rsidR="005E36DC" w:rsidRPr="005E36DC" w:rsidRDefault="005E36DC">
      <w:pPr>
        <w:pStyle w:val="TOC1"/>
        <w:rPr>
          <w:rFonts w:eastAsiaTheme="minorEastAsia"/>
          <w:b w:val="0"/>
          <w:caps w:val="0"/>
          <w:color w:val="auto"/>
          <w:szCs w:val="22"/>
          <w:lang w:val="de-DE" w:eastAsia="zh-CN"/>
        </w:rPr>
      </w:pPr>
      <w:r w:rsidRPr="005E36DC">
        <w:rPr>
          <w:color w:val="auto"/>
          <w:lang w:val="de-DE"/>
        </w:rPr>
        <w:t>ABSCHNITT 2 – ProduKtPromotions</w:t>
      </w:r>
      <w:r w:rsidRPr="005E36DC">
        <w:rPr>
          <w:color w:val="auto"/>
          <w:lang w:val="de-DE"/>
        </w:rPr>
        <w:tab/>
      </w:r>
      <w:r w:rsidRPr="005E36DC">
        <w:rPr>
          <w:color w:val="auto"/>
        </w:rPr>
        <w:fldChar w:fldCharType="begin"/>
      </w:r>
      <w:r w:rsidRPr="005E36DC">
        <w:rPr>
          <w:color w:val="auto"/>
          <w:lang w:val="de-DE"/>
        </w:rPr>
        <w:instrText xml:space="preserve"> PAGEREF _Toc363998920 \h </w:instrText>
      </w:r>
      <w:r w:rsidRPr="005E36DC">
        <w:rPr>
          <w:color w:val="auto"/>
        </w:rPr>
      </w:r>
      <w:r w:rsidRPr="005E36DC">
        <w:rPr>
          <w:color w:val="auto"/>
        </w:rPr>
        <w:fldChar w:fldCharType="separate"/>
      </w:r>
      <w:r w:rsidR="00DC4771">
        <w:rPr>
          <w:color w:val="auto"/>
          <w:lang w:val="de-DE"/>
        </w:rPr>
        <w:t>39</w:t>
      </w:r>
      <w:r w:rsidRPr="005E36DC">
        <w:rPr>
          <w:color w:val="auto"/>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Microsoft Dynamics AX 2012 R2 – EA Starter-Promotion</w:t>
      </w:r>
      <w:r w:rsidRPr="005E36DC">
        <w:rPr>
          <w:rFonts w:cs="Tahoma"/>
          <w:lang w:val="de-DE"/>
        </w:rPr>
        <w:tab/>
      </w:r>
      <w:r w:rsidRPr="005E36DC">
        <w:rPr>
          <w:rFonts w:cs="Tahoma"/>
        </w:rPr>
        <w:fldChar w:fldCharType="begin"/>
      </w:r>
      <w:r w:rsidRPr="005E36DC">
        <w:rPr>
          <w:rFonts w:cs="Tahoma"/>
          <w:lang w:val="de-DE"/>
        </w:rPr>
        <w:instrText xml:space="preserve"> PAGEREF _Toc363998921 \h </w:instrText>
      </w:r>
      <w:r w:rsidRPr="005E36DC">
        <w:rPr>
          <w:rFonts w:cs="Tahoma"/>
        </w:rPr>
      </w:r>
      <w:r w:rsidRPr="005E36DC">
        <w:rPr>
          <w:rFonts w:cs="Tahoma"/>
        </w:rPr>
        <w:fldChar w:fldCharType="separate"/>
      </w:r>
      <w:r w:rsidR="00DC4771">
        <w:rPr>
          <w:rFonts w:cs="Tahoma"/>
          <w:lang w:val="de-DE"/>
        </w:rPr>
        <w:t>39</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bCs/>
          <w:bdr w:val="none" w:sz="0" w:space="0" w:color="auto" w:frame="1"/>
          <w:shd w:val="clear" w:color="auto" w:fill="FFFFFF"/>
          <w:lang w:val="de-DE"/>
        </w:rPr>
        <w:t>Windows Companion Kickstart Promotion</w:t>
      </w:r>
      <w:r w:rsidRPr="005E36DC">
        <w:rPr>
          <w:rFonts w:cs="Tahoma"/>
          <w:lang w:val="de-DE"/>
        </w:rPr>
        <w:tab/>
      </w:r>
      <w:r w:rsidRPr="005E36DC">
        <w:rPr>
          <w:rFonts w:cs="Tahoma"/>
        </w:rPr>
        <w:fldChar w:fldCharType="begin"/>
      </w:r>
      <w:r w:rsidRPr="005E36DC">
        <w:rPr>
          <w:rFonts w:cs="Tahoma"/>
          <w:lang w:val="de-DE"/>
        </w:rPr>
        <w:instrText xml:space="preserve"> PAGEREF _Toc363998922 \h </w:instrText>
      </w:r>
      <w:r w:rsidRPr="005E36DC">
        <w:rPr>
          <w:rFonts w:cs="Tahoma"/>
        </w:rPr>
      </w:r>
      <w:r w:rsidRPr="005E36DC">
        <w:rPr>
          <w:rFonts w:cs="Tahoma"/>
        </w:rPr>
        <w:fldChar w:fldCharType="separate"/>
      </w:r>
      <w:r w:rsidR="00DC4771">
        <w:rPr>
          <w:rFonts w:cs="Tahoma"/>
          <w:lang w:val="de-DE"/>
        </w:rPr>
        <w:t>39</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eastAsia="Times New Roman" w:cs="Tahoma"/>
          <w:lang w:val="de-DE"/>
        </w:rPr>
        <w:t>Windows Legalization Drive – nur für bestimmte Märkte</w:t>
      </w:r>
      <w:r w:rsidRPr="005E36DC">
        <w:rPr>
          <w:rFonts w:cs="Tahoma"/>
          <w:lang w:val="de-DE"/>
        </w:rPr>
        <w:tab/>
      </w:r>
      <w:r w:rsidRPr="005E36DC">
        <w:rPr>
          <w:rFonts w:cs="Tahoma"/>
        </w:rPr>
        <w:fldChar w:fldCharType="begin"/>
      </w:r>
      <w:r w:rsidRPr="005E36DC">
        <w:rPr>
          <w:rFonts w:cs="Tahoma"/>
          <w:lang w:val="de-DE"/>
        </w:rPr>
        <w:instrText xml:space="preserve"> PAGEREF _Toc363998923 \h </w:instrText>
      </w:r>
      <w:r w:rsidRPr="005E36DC">
        <w:rPr>
          <w:rFonts w:cs="Tahoma"/>
        </w:rPr>
      </w:r>
      <w:r w:rsidRPr="005E36DC">
        <w:rPr>
          <w:rFonts w:cs="Tahoma"/>
        </w:rPr>
        <w:fldChar w:fldCharType="separate"/>
      </w:r>
      <w:r w:rsidR="00DC4771">
        <w:rPr>
          <w:rFonts w:cs="Tahoma"/>
          <w:lang w:val="de-DE"/>
        </w:rPr>
        <w:t>39</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bCs/>
          <w:bdr w:val="none" w:sz="0" w:space="0" w:color="auto" w:frame="1"/>
          <w:shd w:val="clear" w:color="auto" w:fill="FFFFFF"/>
          <w:lang w:val="de-DE"/>
        </w:rPr>
        <w:t>Windows Intune</w:t>
      </w:r>
      <w:r w:rsidRPr="005E36DC">
        <w:rPr>
          <w:rFonts w:cs="Tahoma"/>
          <w:bdr w:val="none" w:sz="0" w:space="0" w:color="auto" w:frame="1"/>
          <w:shd w:val="clear" w:color="auto" w:fill="FFFFFF"/>
          <w:lang w:val="de-DE"/>
        </w:rPr>
        <w:t xml:space="preserve"> </w:t>
      </w:r>
      <w:r w:rsidRPr="005E36DC">
        <w:rPr>
          <w:rFonts w:cs="Tahoma"/>
          <w:bCs/>
          <w:bdr w:val="none" w:sz="0" w:space="0" w:color="auto" w:frame="1"/>
          <w:shd w:val="clear" w:color="auto" w:fill="FFFFFF"/>
          <w:lang w:val="de-DE"/>
        </w:rPr>
        <w:t>Promotion</w:t>
      </w:r>
      <w:r w:rsidRPr="005E36DC">
        <w:rPr>
          <w:rFonts w:cs="Tahoma"/>
          <w:lang w:val="de-DE"/>
        </w:rPr>
        <w:tab/>
      </w:r>
      <w:r w:rsidRPr="005E36DC">
        <w:rPr>
          <w:rFonts w:cs="Tahoma"/>
        </w:rPr>
        <w:fldChar w:fldCharType="begin"/>
      </w:r>
      <w:r w:rsidRPr="005E36DC">
        <w:rPr>
          <w:rFonts w:cs="Tahoma"/>
          <w:lang w:val="de-DE"/>
        </w:rPr>
        <w:instrText xml:space="preserve"> PAGEREF _Toc363998924 \h </w:instrText>
      </w:r>
      <w:r w:rsidRPr="005E36DC">
        <w:rPr>
          <w:rFonts w:cs="Tahoma"/>
        </w:rPr>
      </w:r>
      <w:r w:rsidRPr="005E36DC">
        <w:rPr>
          <w:rFonts w:cs="Tahoma"/>
        </w:rPr>
        <w:fldChar w:fldCharType="separate"/>
      </w:r>
      <w:r w:rsidR="00DC4771">
        <w:rPr>
          <w:rFonts w:cs="Tahoma"/>
          <w:lang w:val="de-DE"/>
        </w:rPr>
        <w:t>39</w:t>
      </w:r>
      <w:r w:rsidRPr="005E36DC">
        <w:rPr>
          <w:rFonts w:cs="Tahoma"/>
        </w:rPr>
        <w:fldChar w:fldCharType="end"/>
      </w:r>
    </w:p>
    <w:p w:rsidR="005E36DC" w:rsidRPr="005E36DC" w:rsidRDefault="005E36DC">
      <w:pPr>
        <w:pStyle w:val="TOC1"/>
        <w:rPr>
          <w:rFonts w:eastAsiaTheme="minorEastAsia"/>
          <w:b w:val="0"/>
          <w:caps w:val="0"/>
          <w:color w:val="auto"/>
          <w:szCs w:val="22"/>
          <w:lang w:val="de-DE" w:eastAsia="zh-CN"/>
        </w:rPr>
      </w:pPr>
      <w:r w:rsidRPr="005E36DC">
        <w:rPr>
          <w:color w:val="auto"/>
          <w:lang w:val="de-DE"/>
        </w:rPr>
        <w:t>Abschnitt 3 – Bestimmungen des Volumenlizenzprogramms</w:t>
      </w:r>
      <w:r w:rsidRPr="005E36DC">
        <w:rPr>
          <w:color w:val="auto"/>
          <w:lang w:val="de-DE"/>
        </w:rPr>
        <w:tab/>
      </w:r>
      <w:r w:rsidRPr="005E36DC">
        <w:rPr>
          <w:color w:val="auto"/>
        </w:rPr>
        <w:fldChar w:fldCharType="begin"/>
      </w:r>
      <w:r w:rsidRPr="005E36DC">
        <w:rPr>
          <w:color w:val="auto"/>
          <w:lang w:val="de-DE"/>
        </w:rPr>
        <w:instrText xml:space="preserve"> PAGEREF _Toc363998925 \h </w:instrText>
      </w:r>
      <w:r w:rsidRPr="005E36DC">
        <w:rPr>
          <w:color w:val="auto"/>
        </w:rPr>
      </w:r>
      <w:r w:rsidRPr="005E36DC">
        <w:rPr>
          <w:color w:val="auto"/>
        </w:rPr>
        <w:fldChar w:fldCharType="separate"/>
      </w:r>
      <w:r w:rsidR="00DC4771">
        <w:rPr>
          <w:color w:val="auto"/>
          <w:lang w:val="de-DE"/>
        </w:rPr>
        <w:t>40</w:t>
      </w:r>
      <w:r w:rsidRPr="005E36DC">
        <w:rPr>
          <w:color w:val="auto"/>
        </w:rPr>
        <w:fldChar w:fldCharType="end"/>
      </w:r>
    </w:p>
    <w:p w:rsidR="005E36DC" w:rsidRPr="00AC6E9B" w:rsidRDefault="005E36DC" w:rsidP="00A56539">
      <w:pPr>
        <w:pStyle w:val="TOC3"/>
        <w:rPr>
          <w:rFonts w:eastAsiaTheme="minorEastAsia"/>
          <w:sz w:val="22"/>
          <w:szCs w:val="22"/>
          <w:lang w:val="de-DE" w:eastAsia="zh-CN"/>
        </w:rPr>
      </w:pPr>
      <w:r w:rsidRPr="00AC6E9B">
        <w:rPr>
          <w:lang w:val="de-DE"/>
        </w:rPr>
        <w:t>Anwendbare Volumenlizenzprogramme</w:t>
      </w:r>
      <w:r w:rsidRPr="00AC6E9B">
        <w:rPr>
          <w:lang w:val="de-DE"/>
        </w:rPr>
        <w:tab/>
      </w:r>
      <w:r w:rsidRPr="00A56539">
        <w:fldChar w:fldCharType="begin"/>
      </w:r>
      <w:r w:rsidRPr="00AC6E9B">
        <w:rPr>
          <w:lang w:val="de-DE"/>
        </w:rPr>
        <w:instrText xml:space="preserve"> PAGEREF _Toc363998926 \h </w:instrText>
      </w:r>
      <w:r w:rsidRPr="00A56539">
        <w:fldChar w:fldCharType="separate"/>
      </w:r>
      <w:r w:rsidR="00DC4771">
        <w:rPr>
          <w:lang w:val="de-DE"/>
        </w:rPr>
        <w:t>40</w:t>
      </w:r>
      <w:r w:rsidRPr="00A56539">
        <w:fldChar w:fldCharType="end"/>
      </w:r>
    </w:p>
    <w:p w:rsidR="005E36DC" w:rsidRPr="00AC6E9B" w:rsidRDefault="005E36DC" w:rsidP="00A56539">
      <w:pPr>
        <w:pStyle w:val="TOC3"/>
        <w:rPr>
          <w:rFonts w:eastAsiaTheme="minorEastAsia"/>
          <w:sz w:val="22"/>
          <w:szCs w:val="22"/>
          <w:lang w:val="de-DE" w:eastAsia="zh-CN"/>
        </w:rPr>
      </w:pPr>
      <w:r w:rsidRPr="00AC6E9B">
        <w:rPr>
          <w:lang w:val="de-DE"/>
        </w:rPr>
        <w:t>Punkte und Mindestbestellmengen</w:t>
      </w:r>
      <w:r w:rsidRPr="00AC6E9B">
        <w:rPr>
          <w:lang w:val="de-DE"/>
        </w:rPr>
        <w:tab/>
      </w:r>
      <w:r w:rsidRPr="00A56539">
        <w:fldChar w:fldCharType="begin"/>
      </w:r>
      <w:r w:rsidRPr="00AC6E9B">
        <w:rPr>
          <w:lang w:val="de-DE"/>
        </w:rPr>
        <w:instrText xml:space="preserve"> PAGEREF _Toc363998927 \h </w:instrText>
      </w:r>
      <w:r w:rsidRPr="00A56539">
        <w:fldChar w:fldCharType="separate"/>
      </w:r>
      <w:r w:rsidR="00DC4771">
        <w:rPr>
          <w:lang w:val="de-DE"/>
        </w:rPr>
        <w:t>40</w:t>
      </w:r>
      <w:r w:rsidRPr="00A56539">
        <w:fldChar w:fldCharType="end"/>
      </w:r>
    </w:p>
    <w:p w:rsidR="005E36DC" w:rsidRPr="00A56539" w:rsidRDefault="005E36DC">
      <w:pPr>
        <w:pStyle w:val="TOC2"/>
        <w:rPr>
          <w:rFonts w:eastAsiaTheme="minorEastAsia" w:cs="Tahoma"/>
          <w:bCs/>
          <w:sz w:val="22"/>
          <w:szCs w:val="22"/>
          <w:lang w:val="de-DE" w:eastAsia="zh-CN"/>
        </w:rPr>
      </w:pPr>
      <w:r w:rsidRPr="00A56539">
        <w:rPr>
          <w:rFonts w:cs="Tahoma"/>
          <w:bCs/>
          <w:lang w:val="de-DE"/>
        </w:rPr>
        <w:t>Mindestbestellanforderungen</w:t>
      </w:r>
      <w:r w:rsidRPr="00A56539">
        <w:rPr>
          <w:rFonts w:cs="Tahoma"/>
          <w:bCs/>
          <w:lang w:val="de-DE"/>
        </w:rPr>
        <w:tab/>
      </w:r>
      <w:r w:rsidRPr="00A56539">
        <w:rPr>
          <w:rFonts w:cs="Tahoma"/>
          <w:bCs/>
        </w:rPr>
        <w:fldChar w:fldCharType="begin"/>
      </w:r>
      <w:r w:rsidRPr="00A56539">
        <w:rPr>
          <w:rFonts w:cs="Tahoma"/>
          <w:bCs/>
          <w:lang w:val="de-DE"/>
        </w:rPr>
        <w:instrText xml:space="preserve"> PAGEREF _Toc363998928 \h </w:instrText>
      </w:r>
      <w:r w:rsidRPr="00A56539">
        <w:rPr>
          <w:rFonts w:cs="Tahoma"/>
          <w:bCs/>
        </w:rPr>
      </w:r>
      <w:r w:rsidRPr="00A56539">
        <w:rPr>
          <w:rFonts w:cs="Tahoma"/>
          <w:bCs/>
        </w:rPr>
        <w:fldChar w:fldCharType="separate"/>
      </w:r>
      <w:r w:rsidR="00DC4771">
        <w:rPr>
          <w:rFonts w:cs="Tahoma"/>
          <w:bCs/>
          <w:lang w:val="de-DE"/>
        </w:rPr>
        <w:t>40</w:t>
      </w:r>
      <w:r w:rsidRPr="00A56539">
        <w:rPr>
          <w:rFonts w:cs="Tahoma"/>
          <w:bCs/>
        </w:rPr>
        <w:fldChar w:fldCharType="end"/>
      </w:r>
    </w:p>
    <w:p w:rsidR="005E36DC" w:rsidRPr="00AC6E9B" w:rsidRDefault="005E36DC" w:rsidP="00A56539">
      <w:pPr>
        <w:pStyle w:val="TOC3"/>
        <w:rPr>
          <w:rFonts w:eastAsiaTheme="minorEastAsia"/>
          <w:sz w:val="22"/>
          <w:szCs w:val="22"/>
          <w:lang w:val="de-DE" w:eastAsia="zh-CN"/>
        </w:rPr>
      </w:pPr>
      <w:r w:rsidRPr="00AC6E9B">
        <w:rPr>
          <w:lang w:val="de-DE"/>
        </w:rPr>
        <w:t>Plattformen</w:t>
      </w:r>
      <w:r w:rsidRPr="00AC6E9B">
        <w:rPr>
          <w:lang w:val="de-DE"/>
        </w:rPr>
        <w:tab/>
      </w:r>
      <w:r w:rsidRPr="00A56539">
        <w:fldChar w:fldCharType="begin"/>
      </w:r>
      <w:r w:rsidRPr="00AC6E9B">
        <w:rPr>
          <w:lang w:val="de-DE"/>
        </w:rPr>
        <w:instrText xml:space="preserve"> PAGEREF _Toc363998929 \h </w:instrText>
      </w:r>
      <w:r w:rsidRPr="00A56539">
        <w:fldChar w:fldCharType="separate"/>
      </w:r>
      <w:r w:rsidR="00DC4771">
        <w:rPr>
          <w:lang w:val="de-DE"/>
        </w:rPr>
        <w:t>44</w:t>
      </w:r>
      <w:r w:rsidRPr="00A56539">
        <w:fldChar w:fldCharType="end"/>
      </w:r>
    </w:p>
    <w:p w:rsidR="005E36DC" w:rsidRPr="00AC6E9B" w:rsidRDefault="005E36DC" w:rsidP="00A56539">
      <w:pPr>
        <w:pStyle w:val="TOC3"/>
        <w:rPr>
          <w:rFonts w:eastAsiaTheme="minorEastAsia"/>
          <w:sz w:val="22"/>
          <w:szCs w:val="22"/>
          <w:lang w:val="de-DE" w:eastAsia="zh-CN"/>
        </w:rPr>
      </w:pPr>
      <w:r w:rsidRPr="00AC6E9B">
        <w:rPr>
          <w:lang w:val="de-DE"/>
        </w:rPr>
        <w:t>Definition von Verwaltung für Qualifizierende Geräte</w:t>
      </w:r>
      <w:r w:rsidRPr="00AC6E9B">
        <w:rPr>
          <w:lang w:val="de-DE"/>
        </w:rPr>
        <w:tab/>
      </w:r>
      <w:r w:rsidRPr="00A56539">
        <w:fldChar w:fldCharType="begin"/>
      </w:r>
      <w:r w:rsidRPr="00AC6E9B">
        <w:rPr>
          <w:lang w:val="de-DE"/>
        </w:rPr>
        <w:instrText xml:space="preserve"> PAGEREF _Toc363998930 \h </w:instrText>
      </w:r>
      <w:r w:rsidRPr="00A56539">
        <w:fldChar w:fldCharType="separate"/>
      </w:r>
      <w:r w:rsidR="00DC4771">
        <w:rPr>
          <w:lang w:val="de-DE"/>
        </w:rPr>
        <w:t>45</w:t>
      </w:r>
      <w:r w:rsidRPr="00A56539">
        <w:fldChar w:fldCharType="end"/>
      </w:r>
    </w:p>
    <w:p w:rsidR="005E36DC" w:rsidRPr="00AC6E9B" w:rsidRDefault="005E36DC" w:rsidP="00A56539">
      <w:pPr>
        <w:pStyle w:val="TOC3"/>
        <w:rPr>
          <w:rFonts w:eastAsiaTheme="minorEastAsia"/>
          <w:sz w:val="22"/>
          <w:szCs w:val="22"/>
          <w:lang w:val="de-DE" w:eastAsia="zh-CN"/>
        </w:rPr>
      </w:pPr>
      <w:r w:rsidRPr="00AC6E9B">
        <w:rPr>
          <w:lang w:val="de-DE"/>
        </w:rPr>
        <w:t>Für Up-to-Date-Nachlass (UTD) qualifizierte Produkte</w:t>
      </w:r>
      <w:r w:rsidRPr="00AC6E9B">
        <w:rPr>
          <w:lang w:val="de-DE"/>
        </w:rPr>
        <w:tab/>
      </w:r>
      <w:r w:rsidRPr="00A56539">
        <w:fldChar w:fldCharType="begin"/>
      </w:r>
      <w:r w:rsidRPr="00AC6E9B">
        <w:rPr>
          <w:lang w:val="de-DE"/>
        </w:rPr>
        <w:instrText xml:space="preserve"> PAGEREF _Toc363998931 \h </w:instrText>
      </w:r>
      <w:r w:rsidRPr="00A56539">
        <w:fldChar w:fldCharType="separate"/>
      </w:r>
      <w:r w:rsidR="00DC4771">
        <w:rPr>
          <w:lang w:val="de-DE"/>
        </w:rPr>
        <w:t>45</w:t>
      </w:r>
      <w:r w:rsidRPr="00A56539">
        <w:fldChar w:fldCharType="end"/>
      </w:r>
    </w:p>
    <w:p w:rsidR="005E36DC" w:rsidRPr="00A56539" w:rsidRDefault="005E36DC">
      <w:pPr>
        <w:pStyle w:val="TOC2"/>
        <w:rPr>
          <w:rFonts w:eastAsiaTheme="minorEastAsia" w:cs="Tahoma"/>
          <w:bCs/>
          <w:sz w:val="22"/>
          <w:szCs w:val="22"/>
          <w:lang w:val="de-DE" w:eastAsia="zh-CN"/>
        </w:rPr>
      </w:pPr>
      <w:r w:rsidRPr="00A56539">
        <w:rPr>
          <w:rFonts w:cs="Tahoma"/>
          <w:bCs/>
          <w:lang w:val="de-DE"/>
        </w:rPr>
        <w:t>Aktualisierte Bestimmungen für das Konzernvertragsprogramm und das Abonnement-Vertragsprogramm</w:t>
      </w:r>
      <w:r w:rsidRPr="00A56539">
        <w:rPr>
          <w:rFonts w:cs="Tahoma"/>
          <w:bCs/>
          <w:lang w:val="de-DE"/>
        </w:rPr>
        <w:tab/>
      </w:r>
      <w:r w:rsidRPr="00A56539">
        <w:rPr>
          <w:rFonts w:cs="Tahoma"/>
          <w:bCs/>
        </w:rPr>
        <w:fldChar w:fldCharType="begin"/>
      </w:r>
      <w:r w:rsidRPr="00A56539">
        <w:rPr>
          <w:rFonts w:cs="Tahoma"/>
          <w:bCs/>
          <w:lang w:val="de-DE"/>
        </w:rPr>
        <w:instrText xml:space="preserve"> PAGEREF _Toc363998932 \h </w:instrText>
      </w:r>
      <w:r w:rsidRPr="00A56539">
        <w:rPr>
          <w:rFonts w:cs="Tahoma"/>
          <w:bCs/>
        </w:rPr>
      </w:r>
      <w:r w:rsidRPr="00A56539">
        <w:rPr>
          <w:rFonts w:cs="Tahoma"/>
          <w:bCs/>
        </w:rPr>
        <w:fldChar w:fldCharType="separate"/>
      </w:r>
      <w:r w:rsidR="00DC4771">
        <w:rPr>
          <w:rFonts w:cs="Tahoma"/>
          <w:bCs/>
          <w:lang w:val="de-DE"/>
        </w:rPr>
        <w:t>46</w:t>
      </w:r>
      <w:r w:rsidRPr="00A56539">
        <w:rPr>
          <w:rFonts w:cs="Tahoma"/>
          <w:bCs/>
        </w:rPr>
        <w:fldChar w:fldCharType="end"/>
      </w:r>
    </w:p>
    <w:p w:rsidR="005E36DC" w:rsidRPr="00A56539" w:rsidRDefault="005E36DC">
      <w:pPr>
        <w:pStyle w:val="TOC2"/>
        <w:rPr>
          <w:rFonts w:cs="Tahoma"/>
          <w:bCs/>
          <w:lang w:val="de-DE"/>
        </w:rPr>
      </w:pPr>
      <w:r w:rsidRPr="00A56539">
        <w:rPr>
          <w:rFonts w:cs="Tahoma"/>
          <w:bCs/>
          <w:lang w:val="de-DE"/>
        </w:rPr>
        <w:t>Dienstkontinuität mittels Verlängerter Laufzeit</w:t>
      </w:r>
      <w:r w:rsidRPr="00A56539">
        <w:rPr>
          <w:rFonts w:cs="Tahoma"/>
          <w:bCs/>
          <w:lang w:val="de-DE"/>
        </w:rPr>
        <w:tab/>
      </w:r>
      <w:r w:rsidRPr="00A56539">
        <w:rPr>
          <w:rFonts w:cs="Tahoma"/>
          <w:bCs/>
        </w:rPr>
        <w:fldChar w:fldCharType="begin"/>
      </w:r>
      <w:r w:rsidRPr="00A56539">
        <w:rPr>
          <w:rFonts w:cs="Tahoma"/>
          <w:bCs/>
          <w:lang w:val="de-DE"/>
        </w:rPr>
        <w:instrText xml:space="preserve"> PAGEREF _Toc363998933 \h </w:instrText>
      </w:r>
      <w:r w:rsidRPr="00A56539">
        <w:rPr>
          <w:rFonts w:cs="Tahoma"/>
          <w:bCs/>
        </w:rPr>
      </w:r>
      <w:r w:rsidRPr="00A56539">
        <w:rPr>
          <w:rFonts w:cs="Tahoma"/>
          <w:bCs/>
        </w:rPr>
        <w:fldChar w:fldCharType="separate"/>
      </w:r>
      <w:r w:rsidR="00DC4771">
        <w:rPr>
          <w:rFonts w:cs="Tahoma"/>
          <w:bCs/>
          <w:lang w:val="de-DE"/>
        </w:rPr>
        <w:t>49</w:t>
      </w:r>
      <w:r w:rsidRPr="00A56539">
        <w:rPr>
          <w:rFonts w:cs="Tahoma"/>
          <w:bCs/>
        </w:rPr>
        <w:fldChar w:fldCharType="end"/>
      </w:r>
    </w:p>
    <w:p w:rsidR="005E36DC" w:rsidRPr="005E36DC" w:rsidRDefault="005E36DC" w:rsidP="005E36DC">
      <w:pPr>
        <w:rPr>
          <w:rFonts w:cs="Tahoma"/>
          <w:noProof/>
          <w:lang w:val="de-DE"/>
        </w:rPr>
      </w:pPr>
    </w:p>
    <w:p w:rsidR="005E36DC" w:rsidRPr="005E36DC" w:rsidRDefault="005E36DC">
      <w:pPr>
        <w:pStyle w:val="TOC1"/>
        <w:rPr>
          <w:rFonts w:eastAsiaTheme="minorEastAsia"/>
          <w:b w:val="0"/>
          <w:caps w:val="0"/>
          <w:color w:val="auto"/>
          <w:szCs w:val="22"/>
          <w:lang w:val="de-DE" w:eastAsia="zh-CN"/>
        </w:rPr>
      </w:pPr>
      <w:r w:rsidRPr="005E36DC">
        <w:rPr>
          <w:color w:val="auto"/>
          <w:lang w:val="de-DE"/>
        </w:rPr>
        <w:t>ABSCHNITT 4 – Lizenztypen und Gebühren</w:t>
      </w:r>
      <w:r w:rsidRPr="005E36DC">
        <w:rPr>
          <w:color w:val="auto"/>
          <w:lang w:val="de-DE"/>
        </w:rPr>
        <w:tab/>
      </w:r>
      <w:r w:rsidRPr="005E36DC">
        <w:rPr>
          <w:color w:val="auto"/>
        </w:rPr>
        <w:fldChar w:fldCharType="begin"/>
      </w:r>
      <w:r w:rsidRPr="005E36DC">
        <w:rPr>
          <w:color w:val="auto"/>
          <w:lang w:val="de-DE"/>
        </w:rPr>
        <w:instrText xml:space="preserve"> PAGEREF _Toc363998934 \h </w:instrText>
      </w:r>
      <w:r w:rsidRPr="005E36DC">
        <w:rPr>
          <w:color w:val="auto"/>
        </w:rPr>
      </w:r>
      <w:r w:rsidRPr="005E36DC">
        <w:rPr>
          <w:color w:val="auto"/>
        </w:rPr>
        <w:fldChar w:fldCharType="separate"/>
      </w:r>
      <w:r w:rsidR="00DC4771">
        <w:rPr>
          <w:color w:val="auto"/>
          <w:lang w:val="de-DE"/>
        </w:rPr>
        <w:t>51</w:t>
      </w:r>
      <w:r w:rsidRPr="005E36DC">
        <w:rPr>
          <w:color w:val="auto"/>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Gebühren</w:t>
      </w:r>
      <w:r w:rsidRPr="005E36DC">
        <w:rPr>
          <w:rFonts w:cs="Tahoma"/>
          <w:lang w:val="de-DE"/>
        </w:rPr>
        <w:tab/>
      </w:r>
      <w:r w:rsidRPr="005E36DC">
        <w:rPr>
          <w:rFonts w:cs="Tahoma"/>
        </w:rPr>
        <w:fldChar w:fldCharType="begin"/>
      </w:r>
      <w:r w:rsidRPr="005E36DC">
        <w:rPr>
          <w:rFonts w:cs="Tahoma"/>
          <w:lang w:val="de-DE"/>
        </w:rPr>
        <w:instrText xml:space="preserve"> PAGEREF _Toc363998935 \h </w:instrText>
      </w:r>
      <w:r w:rsidRPr="005E36DC">
        <w:rPr>
          <w:rFonts w:cs="Tahoma"/>
        </w:rPr>
      </w:r>
      <w:r w:rsidRPr="005E36DC">
        <w:rPr>
          <w:rFonts w:cs="Tahoma"/>
        </w:rPr>
        <w:fldChar w:fldCharType="separate"/>
      </w:r>
      <w:r w:rsidR="00DC4771">
        <w:rPr>
          <w:rFonts w:cs="Tahoma"/>
          <w:lang w:val="de-DE"/>
        </w:rPr>
        <w:t>51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Lizenz</w:t>
      </w:r>
      <w:r w:rsidRPr="005E36DC">
        <w:rPr>
          <w:rFonts w:cs="Tahoma"/>
          <w:lang w:val="de-DE"/>
        </w:rPr>
        <w:tab/>
      </w:r>
      <w:r w:rsidRPr="005E36DC">
        <w:rPr>
          <w:rFonts w:cs="Tahoma"/>
        </w:rPr>
        <w:fldChar w:fldCharType="begin"/>
      </w:r>
      <w:r w:rsidRPr="005E36DC">
        <w:rPr>
          <w:rFonts w:cs="Tahoma"/>
          <w:lang w:val="de-DE"/>
        </w:rPr>
        <w:instrText xml:space="preserve"> PAGEREF _Toc363998936 \h </w:instrText>
      </w:r>
      <w:r w:rsidRPr="005E36DC">
        <w:rPr>
          <w:rFonts w:cs="Tahoma"/>
        </w:rPr>
      </w:r>
      <w:r w:rsidRPr="005E36DC">
        <w:rPr>
          <w:rFonts w:cs="Tahoma"/>
        </w:rPr>
        <w:fldChar w:fldCharType="separate"/>
      </w:r>
      <w:r w:rsidR="00DC4771">
        <w:rPr>
          <w:rFonts w:cs="Tahoma"/>
          <w:lang w:val="de-DE"/>
        </w:rPr>
        <w:t>51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Lizenz und Software Assurance</w:t>
      </w:r>
      <w:r w:rsidRPr="005E36DC">
        <w:rPr>
          <w:rFonts w:cs="Tahoma"/>
          <w:lang w:val="de-DE"/>
        </w:rPr>
        <w:tab/>
      </w:r>
      <w:r w:rsidRPr="005E36DC">
        <w:rPr>
          <w:rFonts w:cs="Tahoma"/>
        </w:rPr>
        <w:fldChar w:fldCharType="begin"/>
      </w:r>
      <w:r w:rsidRPr="005E36DC">
        <w:rPr>
          <w:rFonts w:cs="Tahoma"/>
          <w:lang w:val="de-DE"/>
        </w:rPr>
        <w:instrText xml:space="preserve"> PAGEREF _Toc363998937 \h </w:instrText>
      </w:r>
      <w:r w:rsidRPr="005E36DC">
        <w:rPr>
          <w:rFonts w:cs="Tahoma"/>
        </w:rPr>
      </w:r>
      <w:r w:rsidRPr="005E36DC">
        <w:rPr>
          <w:rFonts w:cs="Tahoma"/>
        </w:rPr>
        <w:fldChar w:fldCharType="separate"/>
      </w:r>
      <w:r w:rsidR="00DC4771">
        <w:rPr>
          <w:rFonts w:cs="Tahoma"/>
          <w:lang w:val="de-DE"/>
        </w:rPr>
        <w:t>51</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Software Assurance</w:t>
      </w:r>
      <w:r w:rsidRPr="005E36DC">
        <w:rPr>
          <w:rFonts w:cs="Tahoma"/>
        </w:rPr>
        <w:tab/>
      </w:r>
      <w:r w:rsidRPr="005E36DC">
        <w:rPr>
          <w:rFonts w:cs="Tahoma"/>
        </w:rPr>
        <w:fldChar w:fldCharType="begin"/>
      </w:r>
      <w:r w:rsidRPr="005E36DC">
        <w:rPr>
          <w:rFonts w:cs="Tahoma"/>
        </w:rPr>
        <w:instrText xml:space="preserve"> PAGEREF _Toc363998938 \h </w:instrText>
      </w:r>
      <w:r w:rsidRPr="005E36DC">
        <w:rPr>
          <w:rFonts w:cs="Tahoma"/>
        </w:rPr>
      </w:r>
      <w:r w:rsidRPr="005E36DC">
        <w:rPr>
          <w:rFonts w:cs="Tahoma"/>
        </w:rPr>
        <w:fldChar w:fldCharType="separate"/>
      </w:r>
      <w:r w:rsidR="00DC4771">
        <w:rPr>
          <w:rFonts w:cs="Tahoma"/>
        </w:rPr>
        <w:t>52</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Step Up-Lizenzen</w:t>
      </w:r>
      <w:r w:rsidRPr="005E36DC">
        <w:rPr>
          <w:rFonts w:cs="Tahoma"/>
        </w:rPr>
        <w:tab/>
      </w:r>
      <w:r w:rsidRPr="005E36DC">
        <w:rPr>
          <w:rFonts w:cs="Tahoma"/>
        </w:rPr>
        <w:fldChar w:fldCharType="begin"/>
      </w:r>
      <w:r w:rsidRPr="005E36DC">
        <w:rPr>
          <w:rFonts w:cs="Tahoma"/>
        </w:rPr>
        <w:instrText xml:space="preserve"> PAGEREF _Toc363998939 \h </w:instrText>
      </w:r>
      <w:r w:rsidRPr="005E36DC">
        <w:rPr>
          <w:rFonts w:cs="Tahoma"/>
        </w:rPr>
      </w:r>
      <w:r w:rsidRPr="005E36DC">
        <w:rPr>
          <w:rFonts w:cs="Tahoma"/>
        </w:rPr>
        <w:fldChar w:fldCharType="separate"/>
      </w:r>
      <w:r w:rsidR="00DC4771">
        <w:rPr>
          <w:rFonts w:cs="Tahoma"/>
        </w:rPr>
        <w:t>53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Abonnementlizenzen</w:t>
      </w:r>
      <w:r w:rsidRPr="005E36DC">
        <w:rPr>
          <w:rFonts w:cs="Tahoma"/>
        </w:rPr>
        <w:tab/>
      </w:r>
      <w:r w:rsidRPr="005E36DC">
        <w:rPr>
          <w:rFonts w:cs="Tahoma"/>
        </w:rPr>
        <w:fldChar w:fldCharType="begin"/>
      </w:r>
      <w:r w:rsidRPr="005E36DC">
        <w:rPr>
          <w:rFonts w:cs="Tahoma"/>
        </w:rPr>
        <w:instrText xml:space="preserve"> PAGEREF _Toc363998940 \h </w:instrText>
      </w:r>
      <w:r w:rsidRPr="005E36DC">
        <w:rPr>
          <w:rFonts w:cs="Tahoma"/>
        </w:rPr>
      </w:r>
      <w:r w:rsidRPr="005E36DC">
        <w:rPr>
          <w:rFonts w:cs="Tahoma"/>
        </w:rPr>
        <w:fldChar w:fldCharType="separate"/>
      </w:r>
      <w:r w:rsidR="00DC4771">
        <w:rPr>
          <w:rFonts w:cs="Tahoma"/>
        </w:rPr>
        <w:t>53</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Upgrade</w:t>
      </w:r>
      <w:r w:rsidRPr="005E36DC">
        <w:rPr>
          <w:rFonts w:cs="Tahoma"/>
        </w:rPr>
        <w:tab/>
      </w:r>
      <w:r w:rsidRPr="005E36DC">
        <w:rPr>
          <w:rFonts w:cs="Tahoma"/>
        </w:rPr>
        <w:fldChar w:fldCharType="begin"/>
      </w:r>
      <w:r w:rsidRPr="005E36DC">
        <w:rPr>
          <w:rFonts w:cs="Tahoma"/>
        </w:rPr>
        <w:instrText xml:space="preserve"> PAGEREF _Toc363998941 \h </w:instrText>
      </w:r>
      <w:r w:rsidRPr="005E36DC">
        <w:rPr>
          <w:rFonts w:cs="Tahoma"/>
        </w:rPr>
      </w:r>
      <w:r w:rsidRPr="005E36DC">
        <w:rPr>
          <w:rFonts w:cs="Tahoma"/>
        </w:rPr>
        <w:fldChar w:fldCharType="separate"/>
      </w:r>
      <w:r w:rsidR="00DC4771">
        <w:rPr>
          <w:rFonts w:cs="Tahoma"/>
        </w:rPr>
        <w:t>54</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rPr>
        <w:t>Upgrade und Software Assurance</w:t>
      </w:r>
      <w:r w:rsidRPr="005E36DC">
        <w:rPr>
          <w:rFonts w:cs="Tahoma"/>
        </w:rPr>
        <w:tab/>
      </w:r>
      <w:r w:rsidRPr="005E36DC">
        <w:rPr>
          <w:rFonts w:cs="Tahoma"/>
        </w:rPr>
        <w:fldChar w:fldCharType="begin"/>
      </w:r>
      <w:r w:rsidRPr="005E36DC">
        <w:rPr>
          <w:rFonts w:cs="Tahoma"/>
        </w:rPr>
        <w:instrText xml:space="preserve"> PAGEREF _Toc363998942 \h </w:instrText>
      </w:r>
      <w:r w:rsidRPr="005E36DC">
        <w:rPr>
          <w:rFonts w:cs="Tahoma"/>
        </w:rPr>
      </w:r>
      <w:r w:rsidRPr="005E36DC">
        <w:rPr>
          <w:rFonts w:cs="Tahoma"/>
        </w:rPr>
        <w:fldChar w:fldCharType="separate"/>
      </w:r>
      <w:r w:rsidR="00DC4771">
        <w:rPr>
          <w:rFonts w:cs="Tahoma"/>
        </w:rPr>
        <w:t>54</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Work-at-Home-Lizenzen</w:t>
      </w:r>
      <w:r w:rsidRPr="005E36DC">
        <w:rPr>
          <w:rFonts w:cs="Tahoma"/>
          <w:lang w:val="de-DE"/>
        </w:rPr>
        <w:tab/>
      </w:r>
      <w:r w:rsidRPr="005E36DC">
        <w:rPr>
          <w:rFonts w:cs="Tahoma"/>
        </w:rPr>
        <w:fldChar w:fldCharType="begin"/>
      </w:r>
      <w:r w:rsidRPr="005E36DC">
        <w:rPr>
          <w:rFonts w:cs="Tahoma"/>
          <w:lang w:val="de-DE"/>
        </w:rPr>
        <w:instrText xml:space="preserve"> PAGEREF _Toc363998943 \h </w:instrText>
      </w:r>
      <w:r w:rsidRPr="005E36DC">
        <w:rPr>
          <w:rFonts w:cs="Tahoma"/>
        </w:rPr>
      </w:r>
      <w:r w:rsidRPr="005E36DC">
        <w:rPr>
          <w:rFonts w:cs="Tahoma"/>
        </w:rPr>
        <w:fldChar w:fldCharType="separate"/>
      </w:r>
      <w:r w:rsidR="00DC4771">
        <w:rPr>
          <w:rFonts w:cs="Tahoma"/>
          <w:lang w:val="de-DE"/>
        </w:rPr>
        <w:t>54</w:t>
      </w:r>
      <w:r w:rsidRPr="005E36DC">
        <w:rPr>
          <w:rFonts w:cs="Tahoma"/>
        </w:rPr>
        <w:fldChar w:fldCharType="end"/>
      </w:r>
    </w:p>
    <w:p w:rsidR="005E36DC" w:rsidRPr="005E36DC" w:rsidRDefault="005E36DC">
      <w:pPr>
        <w:pStyle w:val="TOC1"/>
        <w:rPr>
          <w:rFonts w:eastAsiaTheme="minorEastAsia"/>
          <w:b w:val="0"/>
          <w:caps w:val="0"/>
          <w:color w:val="auto"/>
          <w:szCs w:val="22"/>
          <w:lang w:val="de-DE" w:eastAsia="zh-CN"/>
        </w:rPr>
      </w:pPr>
      <w:r w:rsidRPr="005E36DC">
        <w:rPr>
          <w:color w:val="auto"/>
          <w:lang w:val="de-DE"/>
        </w:rPr>
        <w:t>Abschnitt 5 – PREISE FÜR ONLINEDIENSTE, ZAHLUNG und Ergänzende BESTIMMUNGEN</w:t>
      </w:r>
      <w:r w:rsidRPr="005E36DC">
        <w:rPr>
          <w:color w:val="auto"/>
          <w:lang w:val="de-DE"/>
        </w:rPr>
        <w:tab/>
      </w:r>
      <w:r w:rsidRPr="005E36DC">
        <w:rPr>
          <w:color w:val="auto"/>
        </w:rPr>
        <w:fldChar w:fldCharType="begin"/>
      </w:r>
      <w:r w:rsidRPr="005E36DC">
        <w:rPr>
          <w:color w:val="auto"/>
          <w:lang w:val="de-DE"/>
        </w:rPr>
        <w:instrText xml:space="preserve"> PAGEREF _Toc363998944 \h </w:instrText>
      </w:r>
      <w:r w:rsidRPr="005E36DC">
        <w:rPr>
          <w:color w:val="auto"/>
        </w:rPr>
      </w:r>
      <w:r w:rsidRPr="005E36DC">
        <w:rPr>
          <w:color w:val="auto"/>
        </w:rPr>
        <w:fldChar w:fldCharType="separate"/>
      </w:r>
      <w:r w:rsidR="00DC4771">
        <w:rPr>
          <w:color w:val="auto"/>
          <w:lang w:val="de-DE"/>
        </w:rPr>
        <w:t>55</w:t>
      </w:r>
      <w:r w:rsidRPr="005E36DC">
        <w:rPr>
          <w:color w:val="auto"/>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Preise und Zahlungsbestimmungen für Onlinedienste</w:t>
      </w:r>
      <w:r w:rsidRPr="005E36DC">
        <w:rPr>
          <w:rFonts w:cs="Tahoma"/>
          <w:lang w:val="de-DE"/>
        </w:rPr>
        <w:tab/>
      </w:r>
      <w:r w:rsidRPr="005E36DC">
        <w:rPr>
          <w:rFonts w:cs="Tahoma"/>
        </w:rPr>
        <w:fldChar w:fldCharType="begin"/>
      </w:r>
      <w:r w:rsidRPr="005E36DC">
        <w:rPr>
          <w:rFonts w:cs="Tahoma"/>
          <w:lang w:val="de-DE"/>
        </w:rPr>
        <w:instrText xml:space="preserve"> PAGEREF _Toc363998945 \h </w:instrText>
      </w:r>
      <w:r w:rsidRPr="005E36DC">
        <w:rPr>
          <w:rFonts w:cs="Tahoma"/>
        </w:rPr>
      </w:r>
      <w:r w:rsidRPr="005E36DC">
        <w:rPr>
          <w:rFonts w:cs="Tahoma"/>
        </w:rPr>
        <w:fldChar w:fldCharType="separate"/>
      </w:r>
      <w:r w:rsidR="00DC4771">
        <w:rPr>
          <w:rFonts w:cs="Tahoma"/>
          <w:lang w:val="de-DE"/>
        </w:rPr>
        <w:t>55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Laufzeit eines Onlinedienste-Abonnements</w:t>
      </w:r>
      <w:r w:rsidRPr="005E36DC">
        <w:rPr>
          <w:rFonts w:cs="Tahoma"/>
          <w:lang w:val="de-DE"/>
        </w:rPr>
        <w:tab/>
      </w:r>
      <w:r w:rsidRPr="005E36DC">
        <w:rPr>
          <w:rFonts w:cs="Tahoma"/>
        </w:rPr>
        <w:fldChar w:fldCharType="begin"/>
      </w:r>
      <w:r w:rsidRPr="005E36DC">
        <w:rPr>
          <w:rFonts w:cs="Tahoma"/>
          <w:lang w:val="de-DE"/>
        </w:rPr>
        <w:instrText xml:space="preserve"> PAGEREF _Toc363998946 \h </w:instrText>
      </w:r>
      <w:r w:rsidRPr="005E36DC">
        <w:rPr>
          <w:rFonts w:cs="Tahoma"/>
        </w:rPr>
      </w:r>
      <w:r w:rsidRPr="005E36DC">
        <w:rPr>
          <w:rFonts w:cs="Tahoma"/>
        </w:rPr>
        <w:fldChar w:fldCharType="separate"/>
      </w:r>
      <w:r w:rsidR="00DC4771">
        <w:rPr>
          <w:rFonts w:cs="Tahoma"/>
          <w:lang w:val="de-DE"/>
        </w:rPr>
        <w:t>55</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Erwerb und automatische Verlängerung von Onlinediensten</w:t>
      </w:r>
      <w:r w:rsidRPr="005E36DC">
        <w:rPr>
          <w:rFonts w:cs="Tahoma"/>
          <w:lang w:val="de-DE"/>
        </w:rPr>
        <w:tab/>
      </w:r>
      <w:r w:rsidRPr="005E36DC">
        <w:rPr>
          <w:rFonts w:cs="Tahoma"/>
        </w:rPr>
        <w:fldChar w:fldCharType="begin"/>
      </w:r>
      <w:r w:rsidRPr="005E36DC">
        <w:rPr>
          <w:rFonts w:cs="Tahoma"/>
          <w:lang w:val="de-DE"/>
        </w:rPr>
        <w:instrText xml:space="preserve"> PAGEREF _Toc363998947 \h </w:instrText>
      </w:r>
      <w:r w:rsidRPr="005E36DC">
        <w:rPr>
          <w:rFonts w:cs="Tahoma"/>
        </w:rPr>
      </w:r>
      <w:r w:rsidRPr="005E36DC">
        <w:rPr>
          <w:rFonts w:cs="Tahoma"/>
        </w:rPr>
        <w:fldChar w:fldCharType="separate"/>
      </w:r>
      <w:r w:rsidR="00DC4771">
        <w:rPr>
          <w:rFonts w:cs="Tahoma"/>
          <w:lang w:val="de-DE"/>
        </w:rPr>
        <w:t>56</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Verwalten des Verlängerungs- und automatischen Verlängerungsstatus</w:t>
      </w:r>
      <w:r w:rsidRPr="005E36DC">
        <w:rPr>
          <w:rFonts w:cs="Tahoma"/>
          <w:lang w:val="de-DE"/>
        </w:rPr>
        <w:tab/>
      </w:r>
      <w:r w:rsidRPr="005E36DC">
        <w:rPr>
          <w:rFonts w:cs="Tahoma"/>
        </w:rPr>
        <w:fldChar w:fldCharType="begin"/>
      </w:r>
      <w:r w:rsidRPr="005E36DC">
        <w:rPr>
          <w:rFonts w:cs="Tahoma"/>
          <w:lang w:val="de-DE"/>
        </w:rPr>
        <w:instrText xml:space="preserve"> PAGEREF _Toc363998948 \h </w:instrText>
      </w:r>
      <w:r w:rsidRPr="005E36DC">
        <w:rPr>
          <w:rFonts w:cs="Tahoma"/>
        </w:rPr>
      </w:r>
      <w:r w:rsidRPr="005E36DC">
        <w:rPr>
          <w:rFonts w:cs="Tahoma"/>
        </w:rPr>
        <w:fldChar w:fldCharType="separate"/>
      </w:r>
      <w:r w:rsidR="00DC4771">
        <w:rPr>
          <w:rFonts w:cs="Tahoma"/>
          <w:lang w:val="de-DE"/>
        </w:rPr>
        <w:t>56</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Kündigung von Onlinediensten</w:t>
      </w:r>
      <w:r w:rsidRPr="005E36DC">
        <w:rPr>
          <w:rFonts w:cs="Tahoma"/>
          <w:lang w:val="de-DE"/>
        </w:rPr>
        <w:tab/>
      </w:r>
      <w:r w:rsidRPr="005E36DC">
        <w:rPr>
          <w:rFonts w:cs="Tahoma"/>
        </w:rPr>
        <w:fldChar w:fldCharType="begin"/>
      </w:r>
      <w:r w:rsidRPr="005E36DC">
        <w:rPr>
          <w:rFonts w:cs="Tahoma"/>
          <w:lang w:val="de-DE"/>
        </w:rPr>
        <w:instrText xml:space="preserve"> PAGEREF _Toc363998949 \h </w:instrText>
      </w:r>
      <w:r w:rsidRPr="005E36DC">
        <w:rPr>
          <w:rFonts w:cs="Tahoma"/>
        </w:rPr>
      </w:r>
      <w:r w:rsidRPr="005E36DC">
        <w:rPr>
          <w:rFonts w:cs="Tahoma"/>
        </w:rPr>
        <w:fldChar w:fldCharType="separate"/>
      </w:r>
      <w:r w:rsidR="00DC4771">
        <w:rPr>
          <w:rFonts w:cs="Tahoma"/>
          <w:lang w:val="de-DE"/>
        </w:rPr>
        <w:t>57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Zahlungsbestimmungsoptionen für Onlinedienste</w:t>
      </w:r>
      <w:r w:rsidRPr="005E36DC">
        <w:rPr>
          <w:rFonts w:cs="Tahoma"/>
          <w:lang w:val="de-DE"/>
        </w:rPr>
        <w:tab/>
      </w:r>
      <w:r w:rsidRPr="005E36DC">
        <w:rPr>
          <w:rFonts w:cs="Tahoma"/>
        </w:rPr>
        <w:fldChar w:fldCharType="begin"/>
      </w:r>
      <w:r w:rsidRPr="005E36DC">
        <w:rPr>
          <w:rFonts w:cs="Tahoma"/>
          <w:lang w:val="de-DE"/>
        </w:rPr>
        <w:instrText xml:space="preserve"> PAGEREF _Toc363998950 \h </w:instrText>
      </w:r>
      <w:r w:rsidRPr="005E36DC">
        <w:rPr>
          <w:rFonts w:cs="Tahoma"/>
        </w:rPr>
      </w:r>
      <w:r w:rsidRPr="005E36DC">
        <w:rPr>
          <w:rFonts w:cs="Tahoma"/>
        </w:rPr>
        <w:fldChar w:fldCharType="separate"/>
      </w:r>
      <w:r w:rsidR="00DC4771">
        <w:rPr>
          <w:rFonts w:cs="Tahoma"/>
          <w:lang w:val="de-DE"/>
        </w:rPr>
        <w:t>57</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Mindesterwerbsanforderungen für Onlinedienste im Rahmen der Volumenlizenzierung</w:t>
      </w:r>
      <w:r w:rsidRPr="005E36DC">
        <w:rPr>
          <w:rFonts w:cs="Tahoma"/>
          <w:lang w:val="de-DE"/>
        </w:rPr>
        <w:tab/>
      </w:r>
      <w:r w:rsidRPr="005E36DC">
        <w:rPr>
          <w:rFonts w:cs="Tahoma"/>
        </w:rPr>
        <w:fldChar w:fldCharType="begin"/>
      </w:r>
      <w:r w:rsidRPr="005E36DC">
        <w:rPr>
          <w:rFonts w:cs="Tahoma"/>
          <w:lang w:val="de-DE"/>
        </w:rPr>
        <w:instrText xml:space="preserve"> PAGEREF _Toc363998951 \h </w:instrText>
      </w:r>
      <w:r w:rsidRPr="005E36DC">
        <w:rPr>
          <w:rFonts w:cs="Tahoma"/>
        </w:rPr>
      </w:r>
      <w:r w:rsidRPr="005E36DC">
        <w:rPr>
          <w:rFonts w:cs="Tahoma"/>
        </w:rPr>
        <w:fldChar w:fldCharType="separate"/>
      </w:r>
      <w:r w:rsidR="00DC4771">
        <w:rPr>
          <w:rFonts w:cs="Tahoma"/>
          <w:lang w:val="de-DE"/>
        </w:rPr>
        <w:t>57</w:t>
      </w:r>
      <w:r w:rsidRPr="005E36DC">
        <w:rPr>
          <w:rFonts w:cs="Tahoma"/>
        </w:rPr>
        <w:fldChar w:fldCharType="end"/>
      </w:r>
    </w:p>
    <w:p w:rsidR="005E36DC" w:rsidRPr="00AC6E9B" w:rsidRDefault="005E36DC" w:rsidP="00A56539">
      <w:pPr>
        <w:pStyle w:val="TOC3"/>
        <w:rPr>
          <w:rFonts w:eastAsiaTheme="minorEastAsia"/>
          <w:sz w:val="22"/>
          <w:szCs w:val="22"/>
          <w:lang w:val="de-DE" w:eastAsia="zh-CN"/>
        </w:rPr>
      </w:pPr>
      <w:r w:rsidRPr="00AC6E9B">
        <w:rPr>
          <w:lang w:val="de-DE"/>
        </w:rPr>
        <w:t>Windows Azure-Dienste</w:t>
      </w:r>
      <w:r w:rsidRPr="00AC6E9B">
        <w:rPr>
          <w:lang w:val="de-DE"/>
        </w:rPr>
        <w:tab/>
      </w:r>
      <w:r w:rsidRPr="00A56539">
        <w:fldChar w:fldCharType="begin"/>
      </w:r>
      <w:r w:rsidRPr="00AC6E9B">
        <w:rPr>
          <w:lang w:val="de-DE"/>
        </w:rPr>
        <w:instrText xml:space="preserve"> PAGEREF _Toc363998952 \h </w:instrText>
      </w:r>
      <w:r w:rsidRPr="00A56539">
        <w:fldChar w:fldCharType="separate"/>
      </w:r>
      <w:r w:rsidR="00DC4771">
        <w:rPr>
          <w:lang w:val="de-DE"/>
        </w:rPr>
        <w:t>58</w:t>
      </w:r>
      <w:r w:rsidRPr="00A56539">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Regionale Verfügbarkeit von Onlinediensten</w:t>
      </w:r>
      <w:r w:rsidRPr="005E36DC">
        <w:rPr>
          <w:rFonts w:cs="Tahoma"/>
          <w:lang w:val="de-DE"/>
        </w:rPr>
        <w:tab/>
      </w:r>
      <w:r w:rsidRPr="005E36DC">
        <w:rPr>
          <w:rFonts w:cs="Tahoma"/>
        </w:rPr>
        <w:fldChar w:fldCharType="begin"/>
      </w:r>
      <w:r w:rsidRPr="005E36DC">
        <w:rPr>
          <w:rFonts w:cs="Tahoma"/>
          <w:lang w:val="de-DE"/>
        </w:rPr>
        <w:instrText xml:space="preserve"> PAGEREF _Toc363998953 \h </w:instrText>
      </w:r>
      <w:r w:rsidRPr="005E36DC">
        <w:rPr>
          <w:rFonts w:cs="Tahoma"/>
        </w:rPr>
      </w:r>
      <w:r w:rsidRPr="005E36DC">
        <w:rPr>
          <w:rFonts w:cs="Tahoma"/>
        </w:rPr>
        <w:fldChar w:fldCharType="separate"/>
      </w:r>
      <w:r w:rsidR="00DC4771">
        <w:rPr>
          <w:rFonts w:cs="Tahoma"/>
          <w:lang w:val="de-DE"/>
        </w:rPr>
        <w:t>59</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Zusätzliche Bestimmungen für Onlinedienste</w:t>
      </w:r>
      <w:r w:rsidRPr="005E36DC">
        <w:rPr>
          <w:rFonts w:cs="Tahoma"/>
          <w:lang w:val="de-DE"/>
        </w:rPr>
        <w:tab/>
      </w:r>
      <w:r w:rsidRPr="005E36DC">
        <w:rPr>
          <w:rFonts w:cs="Tahoma"/>
        </w:rPr>
        <w:fldChar w:fldCharType="begin"/>
      </w:r>
      <w:r w:rsidRPr="005E36DC">
        <w:rPr>
          <w:rFonts w:cs="Tahoma"/>
          <w:lang w:val="de-DE"/>
        </w:rPr>
        <w:instrText xml:space="preserve"> PAGEREF _Toc363998954 \h </w:instrText>
      </w:r>
      <w:r w:rsidRPr="005E36DC">
        <w:rPr>
          <w:rFonts w:cs="Tahoma"/>
        </w:rPr>
      </w:r>
      <w:r w:rsidRPr="005E36DC">
        <w:rPr>
          <w:rFonts w:cs="Tahoma"/>
        </w:rPr>
        <w:fldChar w:fldCharType="separate"/>
      </w:r>
      <w:r w:rsidR="00DC4771">
        <w:rPr>
          <w:rFonts w:cs="Tahoma"/>
          <w:lang w:val="de-DE"/>
        </w:rPr>
        <w:t>60</w:t>
      </w:r>
      <w:r w:rsidRPr="005E36DC">
        <w:rPr>
          <w:rFonts w:cs="Tahoma"/>
        </w:rPr>
        <w:fldChar w:fldCharType="end"/>
      </w:r>
    </w:p>
    <w:p w:rsidR="005E36DC" w:rsidRPr="005E36DC" w:rsidRDefault="005E36DC">
      <w:pPr>
        <w:pStyle w:val="TOC1"/>
        <w:rPr>
          <w:rFonts w:eastAsiaTheme="minorEastAsia"/>
          <w:b w:val="0"/>
          <w:caps w:val="0"/>
          <w:color w:val="auto"/>
          <w:szCs w:val="22"/>
          <w:lang w:val="de-DE" w:eastAsia="zh-CN"/>
        </w:rPr>
      </w:pPr>
      <w:r w:rsidRPr="005E36DC">
        <w:rPr>
          <w:color w:val="auto"/>
          <w:lang w:val="de-DE"/>
        </w:rPr>
        <w:t>ABSCHNITT 6 – Regeln zur Verlängerung von Software Assurance</w:t>
      </w:r>
      <w:r w:rsidRPr="005E36DC">
        <w:rPr>
          <w:color w:val="auto"/>
          <w:lang w:val="de-DE"/>
        </w:rPr>
        <w:tab/>
      </w:r>
      <w:r w:rsidRPr="005E36DC">
        <w:rPr>
          <w:color w:val="auto"/>
        </w:rPr>
        <w:fldChar w:fldCharType="begin"/>
      </w:r>
      <w:r w:rsidRPr="005E36DC">
        <w:rPr>
          <w:color w:val="auto"/>
          <w:lang w:val="de-DE"/>
        </w:rPr>
        <w:instrText xml:space="preserve"> PAGEREF _Toc363998955 \h </w:instrText>
      </w:r>
      <w:r w:rsidRPr="005E36DC">
        <w:rPr>
          <w:color w:val="auto"/>
        </w:rPr>
      </w:r>
      <w:r w:rsidRPr="005E36DC">
        <w:rPr>
          <w:color w:val="auto"/>
        </w:rPr>
        <w:fldChar w:fldCharType="separate"/>
      </w:r>
      <w:r w:rsidR="00DC4771">
        <w:rPr>
          <w:color w:val="auto"/>
          <w:lang w:val="de-DE"/>
        </w:rPr>
        <w:t>61</w:t>
      </w:r>
      <w:r w:rsidRPr="005E36DC">
        <w:rPr>
          <w:color w:val="auto"/>
        </w:rPr>
        <w:fldChar w:fldCharType="end"/>
      </w:r>
    </w:p>
    <w:p w:rsidR="005E36DC" w:rsidRPr="005E36DC" w:rsidRDefault="005E36DC">
      <w:pPr>
        <w:pStyle w:val="TOC4"/>
        <w:rPr>
          <w:rFonts w:eastAsiaTheme="minorEastAsia" w:cs="Tahoma"/>
          <w:noProof/>
          <w:sz w:val="22"/>
          <w:szCs w:val="22"/>
          <w:lang w:eastAsia="zh-CN"/>
        </w:rPr>
      </w:pPr>
      <w:r w:rsidRPr="005E36DC">
        <w:rPr>
          <w:rFonts w:cs="Tahoma"/>
          <w:noProof/>
        </w:rPr>
        <w:t>Open-Lizenz</w:t>
      </w:r>
      <w:r w:rsidRPr="005E36DC">
        <w:rPr>
          <w:rFonts w:cs="Tahoma"/>
          <w:noProof/>
        </w:rPr>
        <w:tab/>
      </w:r>
      <w:r w:rsidRPr="005E36DC">
        <w:rPr>
          <w:rFonts w:cs="Tahoma"/>
          <w:noProof/>
        </w:rPr>
        <w:fldChar w:fldCharType="begin"/>
      </w:r>
      <w:r w:rsidRPr="005E36DC">
        <w:rPr>
          <w:rFonts w:cs="Tahoma"/>
          <w:noProof/>
        </w:rPr>
        <w:instrText xml:space="preserve"> PAGEREF _Toc363998956 \h </w:instrText>
      </w:r>
      <w:r w:rsidRPr="005E36DC">
        <w:rPr>
          <w:rFonts w:cs="Tahoma"/>
          <w:noProof/>
        </w:rPr>
      </w:r>
      <w:r w:rsidRPr="005E36DC">
        <w:rPr>
          <w:rFonts w:cs="Tahoma"/>
          <w:noProof/>
        </w:rPr>
        <w:fldChar w:fldCharType="separate"/>
      </w:r>
      <w:r w:rsidR="00DC4771">
        <w:rPr>
          <w:rFonts w:cs="Tahoma"/>
          <w:noProof/>
        </w:rPr>
        <w:t>61</w:t>
      </w:r>
      <w:r w:rsidRPr="005E36DC">
        <w:rPr>
          <w:rFonts w:cs="Tahoma"/>
          <w:noProof/>
        </w:rPr>
        <w:fldChar w:fldCharType="end"/>
      </w:r>
    </w:p>
    <w:p w:rsidR="005E36DC" w:rsidRPr="005E36DC" w:rsidRDefault="005E36DC">
      <w:pPr>
        <w:pStyle w:val="TOC4"/>
        <w:rPr>
          <w:rFonts w:eastAsiaTheme="minorEastAsia" w:cs="Tahoma"/>
          <w:noProof/>
          <w:sz w:val="22"/>
          <w:szCs w:val="22"/>
          <w:lang w:eastAsia="zh-CN"/>
        </w:rPr>
      </w:pPr>
      <w:r w:rsidRPr="005E36DC">
        <w:rPr>
          <w:rFonts w:cs="Tahoma"/>
          <w:noProof/>
        </w:rPr>
        <w:t>Open Value 20xx</w:t>
      </w:r>
      <w:r w:rsidRPr="005E36DC">
        <w:rPr>
          <w:rFonts w:cs="Tahoma"/>
          <w:noProof/>
        </w:rPr>
        <w:tab/>
      </w:r>
      <w:r w:rsidRPr="005E36DC">
        <w:rPr>
          <w:rFonts w:cs="Tahoma"/>
          <w:noProof/>
        </w:rPr>
        <w:fldChar w:fldCharType="begin"/>
      </w:r>
      <w:r w:rsidRPr="005E36DC">
        <w:rPr>
          <w:rFonts w:cs="Tahoma"/>
          <w:noProof/>
        </w:rPr>
        <w:instrText xml:space="preserve"> PAGEREF _Toc363998957 \h </w:instrText>
      </w:r>
      <w:r w:rsidRPr="005E36DC">
        <w:rPr>
          <w:rFonts w:cs="Tahoma"/>
          <w:noProof/>
        </w:rPr>
      </w:r>
      <w:r w:rsidRPr="005E36DC">
        <w:rPr>
          <w:rFonts w:cs="Tahoma"/>
          <w:noProof/>
        </w:rPr>
        <w:fldChar w:fldCharType="separate"/>
      </w:r>
      <w:r w:rsidR="00DC4771">
        <w:rPr>
          <w:rFonts w:cs="Tahoma"/>
          <w:noProof/>
        </w:rPr>
        <w:t>61</w:t>
      </w:r>
      <w:r w:rsidRPr="005E36DC">
        <w:rPr>
          <w:rFonts w:cs="Tahoma"/>
          <w:noProof/>
        </w:rPr>
        <w:fldChar w:fldCharType="end"/>
      </w:r>
    </w:p>
    <w:p w:rsidR="005E36DC" w:rsidRPr="005E36DC" w:rsidRDefault="005E36DC">
      <w:pPr>
        <w:pStyle w:val="TOC4"/>
        <w:rPr>
          <w:rFonts w:eastAsiaTheme="minorEastAsia" w:cs="Tahoma"/>
          <w:noProof/>
          <w:sz w:val="22"/>
          <w:szCs w:val="22"/>
          <w:lang w:val="de-DE" w:eastAsia="zh-CN"/>
        </w:rPr>
      </w:pPr>
      <w:r w:rsidRPr="005E36DC">
        <w:rPr>
          <w:rFonts w:cs="Tahoma"/>
          <w:noProof/>
          <w:lang w:val="de-DE"/>
        </w:rPr>
        <w:t>Select 20xx</w:t>
      </w:r>
      <w:r w:rsidRPr="005E36DC">
        <w:rPr>
          <w:rFonts w:cs="Tahoma"/>
          <w:noProof/>
          <w:lang w:val="de-DE"/>
        </w:rPr>
        <w:tab/>
      </w:r>
      <w:r w:rsidRPr="005E36DC">
        <w:rPr>
          <w:rFonts w:cs="Tahoma"/>
          <w:noProof/>
        </w:rPr>
        <w:fldChar w:fldCharType="begin"/>
      </w:r>
      <w:r w:rsidRPr="005E36DC">
        <w:rPr>
          <w:rFonts w:cs="Tahoma"/>
          <w:noProof/>
          <w:lang w:val="de-DE"/>
        </w:rPr>
        <w:instrText xml:space="preserve"> PAGEREF _Toc363998958 \h </w:instrText>
      </w:r>
      <w:r w:rsidRPr="005E36DC">
        <w:rPr>
          <w:rFonts w:cs="Tahoma"/>
          <w:noProof/>
        </w:rPr>
      </w:r>
      <w:r w:rsidRPr="005E36DC">
        <w:rPr>
          <w:rFonts w:cs="Tahoma"/>
          <w:noProof/>
        </w:rPr>
        <w:fldChar w:fldCharType="separate"/>
      </w:r>
      <w:r w:rsidR="00DC4771">
        <w:rPr>
          <w:rFonts w:cs="Tahoma"/>
          <w:noProof/>
          <w:lang w:val="de-DE"/>
        </w:rPr>
        <w:t>61</w:t>
      </w:r>
      <w:r w:rsidRPr="005E36DC">
        <w:rPr>
          <w:rFonts w:cs="Tahoma"/>
          <w:noProof/>
        </w:rPr>
        <w:fldChar w:fldCharType="end"/>
      </w:r>
    </w:p>
    <w:p w:rsidR="005E36DC" w:rsidRPr="005E36DC" w:rsidRDefault="005E36DC">
      <w:pPr>
        <w:pStyle w:val="TOC4"/>
        <w:rPr>
          <w:rFonts w:eastAsiaTheme="minorEastAsia" w:cs="Tahoma"/>
          <w:noProof/>
          <w:sz w:val="22"/>
          <w:szCs w:val="22"/>
          <w:lang w:val="de-DE" w:eastAsia="zh-CN"/>
        </w:rPr>
      </w:pPr>
      <w:r w:rsidRPr="005E36DC">
        <w:rPr>
          <w:rFonts w:cs="Tahoma"/>
          <w:noProof/>
          <w:lang w:val="de-DE"/>
        </w:rPr>
        <w:t>Verlängerung im Rahmen des Gleichen Vertrages</w:t>
      </w:r>
      <w:r w:rsidRPr="005E36DC">
        <w:rPr>
          <w:rFonts w:cs="Tahoma"/>
          <w:noProof/>
          <w:lang w:val="de-DE"/>
        </w:rPr>
        <w:tab/>
      </w:r>
      <w:r w:rsidRPr="005E36DC">
        <w:rPr>
          <w:rFonts w:cs="Tahoma"/>
          <w:noProof/>
        </w:rPr>
        <w:fldChar w:fldCharType="begin"/>
      </w:r>
      <w:r w:rsidRPr="005E36DC">
        <w:rPr>
          <w:rFonts w:cs="Tahoma"/>
          <w:noProof/>
          <w:lang w:val="de-DE"/>
        </w:rPr>
        <w:instrText xml:space="preserve"> PAGEREF _Toc363998959 \h </w:instrText>
      </w:r>
      <w:r w:rsidRPr="005E36DC">
        <w:rPr>
          <w:rFonts w:cs="Tahoma"/>
          <w:noProof/>
        </w:rPr>
      </w:r>
      <w:r w:rsidRPr="005E36DC">
        <w:rPr>
          <w:rFonts w:cs="Tahoma"/>
          <w:noProof/>
        </w:rPr>
        <w:fldChar w:fldCharType="separate"/>
      </w:r>
      <w:r w:rsidR="00DC4771">
        <w:rPr>
          <w:rFonts w:cs="Tahoma"/>
          <w:noProof/>
          <w:lang w:val="de-DE"/>
        </w:rPr>
        <w:t>61</w:t>
      </w:r>
      <w:r w:rsidRPr="005E36DC">
        <w:rPr>
          <w:rFonts w:cs="Tahoma"/>
          <w:noProof/>
        </w:rPr>
        <w:fldChar w:fldCharType="end"/>
      </w:r>
    </w:p>
    <w:p w:rsidR="005E36DC" w:rsidRPr="005E36DC" w:rsidRDefault="005E36DC">
      <w:pPr>
        <w:pStyle w:val="TOC4"/>
        <w:rPr>
          <w:rFonts w:eastAsiaTheme="minorEastAsia" w:cs="Tahoma"/>
          <w:noProof/>
          <w:sz w:val="22"/>
          <w:szCs w:val="22"/>
          <w:lang w:val="de-DE" w:eastAsia="zh-CN"/>
        </w:rPr>
      </w:pPr>
      <w:r w:rsidRPr="005E36DC">
        <w:rPr>
          <w:rFonts w:cs="Tahoma"/>
          <w:noProof/>
          <w:lang w:val="de-DE"/>
        </w:rPr>
        <w:t>Verlängerung im Rahmen eines separaten Vertrages</w:t>
      </w:r>
      <w:r w:rsidRPr="005E36DC">
        <w:rPr>
          <w:rFonts w:cs="Tahoma"/>
          <w:noProof/>
          <w:lang w:val="de-DE"/>
        </w:rPr>
        <w:tab/>
      </w:r>
      <w:r w:rsidRPr="005E36DC">
        <w:rPr>
          <w:rFonts w:cs="Tahoma"/>
          <w:noProof/>
        </w:rPr>
        <w:fldChar w:fldCharType="begin"/>
      </w:r>
      <w:r w:rsidRPr="005E36DC">
        <w:rPr>
          <w:rFonts w:cs="Tahoma"/>
          <w:noProof/>
          <w:lang w:val="de-DE"/>
        </w:rPr>
        <w:instrText xml:space="preserve"> PAGEREF _Toc363998960 \h </w:instrText>
      </w:r>
      <w:r w:rsidRPr="005E36DC">
        <w:rPr>
          <w:rFonts w:cs="Tahoma"/>
          <w:noProof/>
        </w:rPr>
      </w:r>
      <w:r w:rsidRPr="005E36DC">
        <w:rPr>
          <w:rFonts w:cs="Tahoma"/>
          <w:noProof/>
        </w:rPr>
        <w:fldChar w:fldCharType="separate"/>
      </w:r>
      <w:r w:rsidR="00DC4771">
        <w:rPr>
          <w:rFonts w:cs="Tahoma"/>
          <w:noProof/>
          <w:lang w:val="de-DE"/>
        </w:rPr>
        <w:t>62</w:t>
      </w:r>
      <w:r w:rsidRPr="005E36DC">
        <w:rPr>
          <w:rFonts w:cs="Tahoma"/>
          <w:noProof/>
        </w:rPr>
        <w:fldChar w:fldCharType="end"/>
      </w:r>
    </w:p>
    <w:p w:rsidR="005E36DC" w:rsidRPr="005E36DC" w:rsidRDefault="005E36DC">
      <w:pPr>
        <w:pStyle w:val="TOC4"/>
        <w:rPr>
          <w:rFonts w:eastAsiaTheme="minorEastAsia" w:cs="Tahoma"/>
          <w:noProof/>
          <w:sz w:val="22"/>
          <w:szCs w:val="22"/>
          <w:lang w:val="de-DE" w:eastAsia="zh-CN"/>
        </w:rPr>
      </w:pPr>
      <w:r w:rsidRPr="005E36DC">
        <w:rPr>
          <w:rFonts w:cs="Tahoma"/>
          <w:noProof/>
          <w:lang w:val="de-DE"/>
        </w:rPr>
        <w:t>Select Plus 20xx</w:t>
      </w:r>
      <w:r w:rsidRPr="005E36DC">
        <w:rPr>
          <w:rFonts w:cs="Tahoma"/>
          <w:noProof/>
          <w:lang w:val="de-DE"/>
        </w:rPr>
        <w:tab/>
      </w:r>
      <w:r w:rsidRPr="005E36DC">
        <w:rPr>
          <w:rFonts w:cs="Tahoma"/>
          <w:noProof/>
        </w:rPr>
        <w:fldChar w:fldCharType="begin"/>
      </w:r>
      <w:r w:rsidRPr="005E36DC">
        <w:rPr>
          <w:rFonts w:cs="Tahoma"/>
          <w:noProof/>
          <w:lang w:val="de-DE"/>
        </w:rPr>
        <w:instrText xml:space="preserve"> PAGEREF _Toc363998961 \h </w:instrText>
      </w:r>
      <w:r w:rsidRPr="005E36DC">
        <w:rPr>
          <w:rFonts w:cs="Tahoma"/>
          <w:noProof/>
        </w:rPr>
      </w:r>
      <w:r w:rsidRPr="005E36DC">
        <w:rPr>
          <w:rFonts w:cs="Tahoma"/>
          <w:noProof/>
        </w:rPr>
        <w:fldChar w:fldCharType="separate"/>
      </w:r>
      <w:r w:rsidR="00DC4771">
        <w:rPr>
          <w:rFonts w:cs="Tahoma"/>
          <w:noProof/>
          <w:lang w:val="de-DE"/>
        </w:rPr>
        <w:t>62</w:t>
      </w:r>
      <w:r w:rsidRPr="005E36DC">
        <w:rPr>
          <w:rFonts w:cs="Tahoma"/>
          <w:noProof/>
        </w:rPr>
        <w:fldChar w:fldCharType="end"/>
      </w:r>
    </w:p>
    <w:p w:rsidR="005E36DC" w:rsidRPr="005E36DC" w:rsidRDefault="005E36DC">
      <w:pPr>
        <w:pStyle w:val="TOC4"/>
        <w:rPr>
          <w:rFonts w:eastAsiaTheme="minorEastAsia" w:cs="Tahoma"/>
          <w:noProof/>
          <w:sz w:val="22"/>
          <w:szCs w:val="22"/>
          <w:lang w:val="de-DE" w:eastAsia="zh-CN"/>
        </w:rPr>
      </w:pPr>
      <w:r w:rsidRPr="005E36DC">
        <w:rPr>
          <w:rFonts w:cs="Tahoma"/>
          <w:noProof/>
          <w:lang w:val="de-DE"/>
        </w:rPr>
        <w:t>Konzernvertrag 2011 und spätere Versionen</w:t>
      </w:r>
      <w:r w:rsidRPr="005E36DC">
        <w:rPr>
          <w:rFonts w:cs="Tahoma"/>
          <w:noProof/>
          <w:lang w:val="de-DE"/>
        </w:rPr>
        <w:tab/>
      </w:r>
      <w:r w:rsidRPr="005E36DC">
        <w:rPr>
          <w:rFonts w:cs="Tahoma"/>
          <w:noProof/>
        </w:rPr>
        <w:fldChar w:fldCharType="begin"/>
      </w:r>
      <w:r w:rsidRPr="005E36DC">
        <w:rPr>
          <w:rFonts w:cs="Tahoma"/>
          <w:noProof/>
          <w:lang w:val="de-DE"/>
        </w:rPr>
        <w:instrText xml:space="preserve"> PAGEREF _Toc363998962 \h </w:instrText>
      </w:r>
      <w:r w:rsidRPr="005E36DC">
        <w:rPr>
          <w:rFonts w:cs="Tahoma"/>
          <w:noProof/>
        </w:rPr>
      </w:r>
      <w:r w:rsidRPr="005E36DC">
        <w:rPr>
          <w:rFonts w:cs="Tahoma"/>
          <w:noProof/>
        </w:rPr>
        <w:fldChar w:fldCharType="separate"/>
      </w:r>
      <w:r w:rsidR="00DC4771">
        <w:rPr>
          <w:rFonts w:cs="Tahoma"/>
          <w:noProof/>
          <w:lang w:val="de-DE"/>
        </w:rPr>
        <w:t>62</w:t>
      </w:r>
      <w:r w:rsidRPr="005E36DC">
        <w:rPr>
          <w:rFonts w:cs="Tahoma"/>
          <w:noProof/>
        </w:rPr>
        <w:fldChar w:fldCharType="end"/>
      </w:r>
    </w:p>
    <w:p w:rsidR="005E36DC" w:rsidRPr="005E36DC" w:rsidRDefault="005E36DC">
      <w:pPr>
        <w:pStyle w:val="TOC4"/>
        <w:rPr>
          <w:rFonts w:eastAsiaTheme="minorEastAsia" w:cs="Tahoma"/>
          <w:noProof/>
          <w:sz w:val="22"/>
          <w:szCs w:val="22"/>
          <w:lang w:val="de-DE" w:eastAsia="zh-CN"/>
        </w:rPr>
      </w:pPr>
      <w:r w:rsidRPr="005E36DC">
        <w:rPr>
          <w:rFonts w:cs="Tahoma"/>
          <w:noProof/>
          <w:lang w:val="de-DE"/>
        </w:rPr>
        <w:t>Konzernvertrag vor 2011</w:t>
      </w:r>
      <w:r w:rsidRPr="005E36DC">
        <w:rPr>
          <w:rFonts w:cs="Tahoma"/>
          <w:noProof/>
          <w:lang w:val="de-DE"/>
        </w:rPr>
        <w:tab/>
      </w:r>
      <w:r w:rsidRPr="005E36DC">
        <w:rPr>
          <w:rFonts w:cs="Tahoma"/>
          <w:noProof/>
        </w:rPr>
        <w:fldChar w:fldCharType="begin"/>
      </w:r>
      <w:r w:rsidRPr="005E36DC">
        <w:rPr>
          <w:rFonts w:cs="Tahoma"/>
          <w:noProof/>
          <w:lang w:val="de-DE"/>
        </w:rPr>
        <w:instrText xml:space="preserve"> PAGEREF _Toc363998963 \h </w:instrText>
      </w:r>
      <w:r w:rsidRPr="005E36DC">
        <w:rPr>
          <w:rFonts w:cs="Tahoma"/>
          <w:noProof/>
        </w:rPr>
      </w:r>
      <w:r w:rsidRPr="005E36DC">
        <w:rPr>
          <w:rFonts w:cs="Tahoma"/>
          <w:noProof/>
        </w:rPr>
        <w:fldChar w:fldCharType="separate"/>
      </w:r>
      <w:r w:rsidR="00DC4771">
        <w:rPr>
          <w:rFonts w:cs="Tahoma"/>
          <w:noProof/>
          <w:lang w:val="de-DE"/>
        </w:rPr>
        <w:t>63</w:t>
      </w:r>
      <w:r w:rsidRPr="005E36DC">
        <w:rPr>
          <w:rFonts w:cs="Tahoma"/>
          <w:noProof/>
        </w:rPr>
        <w:fldChar w:fldCharType="end"/>
      </w:r>
    </w:p>
    <w:p w:rsidR="005E36DC" w:rsidRPr="005E36DC" w:rsidRDefault="005E36DC">
      <w:pPr>
        <w:pStyle w:val="TOC4"/>
        <w:rPr>
          <w:rFonts w:eastAsiaTheme="minorEastAsia" w:cs="Tahoma"/>
          <w:noProof/>
          <w:sz w:val="22"/>
          <w:szCs w:val="22"/>
          <w:lang w:val="de-DE" w:eastAsia="zh-CN"/>
        </w:rPr>
      </w:pPr>
      <w:r w:rsidRPr="005E36DC">
        <w:rPr>
          <w:rFonts w:cs="Tahoma"/>
          <w:noProof/>
          <w:lang w:val="de-DE"/>
        </w:rPr>
        <w:t>Programmübergreifende Verlängerung</w:t>
      </w:r>
      <w:r w:rsidRPr="005E36DC">
        <w:rPr>
          <w:rFonts w:cs="Tahoma"/>
          <w:noProof/>
          <w:lang w:val="de-DE"/>
        </w:rPr>
        <w:tab/>
      </w:r>
      <w:r w:rsidRPr="005E36DC">
        <w:rPr>
          <w:rFonts w:cs="Tahoma"/>
          <w:noProof/>
        </w:rPr>
        <w:fldChar w:fldCharType="begin"/>
      </w:r>
      <w:r w:rsidRPr="005E36DC">
        <w:rPr>
          <w:rFonts w:cs="Tahoma"/>
          <w:noProof/>
          <w:lang w:val="de-DE"/>
        </w:rPr>
        <w:instrText xml:space="preserve"> PAGEREF _Toc363998964 \h </w:instrText>
      </w:r>
      <w:r w:rsidRPr="005E36DC">
        <w:rPr>
          <w:rFonts w:cs="Tahoma"/>
          <w:noProof/>
        </w:rPr>
      </w:r>
      <w:r w:rsidRPr="005E36DC">
        <w:rPr>
          <w:rFonts w:cs="Tahoma"/>
          <w:noProof/>
        </w:rPr>
        <w:fldChar w:fldCharType="separate"/>
      </w:r>
      <w:r w:rsidR="00DC4771">
        <w:rPr>
          <w:rFonts w:cs="Tahoma"/>
          <w:noProof/>
          <w:lang w:val="de-DE"/>
        </w:rPr>
        <w:t>63</w:t>
      </w:r>
      <w:r w:rsidRPr="005E36DC">
        <w:rPr>
          <w:rFonts w:cs="Tahoma"/>
          <w:noProof/>
        </w:rPr>
        <w:fldChar w:fldCharType="end"/>
      </w:r>
    </w:p>
    <w:p w:rsidR="005E36DC" w:rsidRPr="005E36DC" w:rsidRDefault="005E36DC">
      <w:pPr>
        <w:pStyle w:val="TOC1"/>
        <w:rPr>
          <w:rFonts w:eastAsiaTheme="minorEastAsia"/>
          <w:b w:val="0"/>
          <w:caps w:val="0"/>
          <w:color w:val="auto"/>
          <w:szCs w:val="22"/>
          <w:lang w:val="de-DE" w:eastAsia="zh-CN"/>
        </w:rPr>
      </w:pPr>
      <w:r w:rsidRPr="005E36DC">
        <w:rPr>
          <w:color w:val="auto"/>
          <w:lang w:val="de-DE"/>
        </w:rPr>
        <w:t>ABSCHNITT 7 – Software Assurance</w:t>
      </w:r>
      <w:r w:rsidR="00306AAF">
        <w:rPr>
          <w:color w:val="auto"/>
          <w:lang w:val="de-DE"/>
        </w:rPr>
        <w:t xml:space="preserve"> </w:t>
      </w:r>
      <w:r w:rsidRPr="005E36DC">
        <w:rPr>
          <w:color w:val="auto"/>
          <w:lang w:val="de-DE"/>
        </w:rPr>
        <w:t>(SA)-VERGÜNSTIGUNGEN und Onlinedienste</w:t>
      </w:r>
      <w:r w:rsidR="00306AAF">
        <w:rPr>
          <w:color w:val="auto"/>
          <w:lang w:val="de-DE"/>
        </w:rPr>
        <w:t xml:space="preserve"> </w:t>
      </w:r>
      <w:r w:rsidRPr="005E36DC">
        <w:rPr>
          <w:color w:val="auto"/>
          <w:lang w:val="de-DE"/>
        </w:rPr>
        <w:t>(OLS)-Vergünstigungenn</w:t>
      </w:r>
      <w:r w:rsidRPr="005E36DC">
        <w:rPr>
          <w:color w:val="auto"/>
          <w:lang w:val="de-DE"/>
        </w:rPr>
        <w:tab/>
      </w:r>
      <w:r w:rsidRPr="005E36DC">
        <w:rPr>
          <w:color w:val="auto"/>
        </w:rPr>
        <w:fldChar w:fldCharType="begin"/>
      </w:r>
      <w:r w:rsidRPr="005E36DC">
        <w:rPr>
          <w:color w:val="auto"/>
          <w:lang w:val="de-DE"/>
        </w:rPr>
        <w:instrText xml:space="preserve"> PAGEREF _Toc363998965 \h </w:instrText>
      </w:r>
      <w:r w:rsidRPr="005E36DC">
        <w:rPr>
          <w:color w:val="auto"/>
        </w:rPr>
      </w:r>
      <w:r w:rsidRPr="005E36DC">
        <w:rPr>
          <w:color w:val="auto"/>
        </w:rPr>
        <w:fldChar w:fldCharType="separate"/>
      </w:r>
      <w:r w:rsidR="00DC4771">
        <w:rPr>
          <w:color w:val="auto"/>
          <w:lang w:val="de-DE"/>
        </w:rPr>
        <w:t>64</w:t>
      </w:r>
      <w:r w:rsidRPr="005E36DC">
        <w:rPr>
          <w:color w:val="auto"/>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Rechte für neue Versionen</w:t>
      </w:r>
      <w:r w:rsidRPr="005E36DC">
        <w:rPr>
          <w:rFonts w:cs="Tahoma"/>
          <w:lang w:val="de-DE"/>
        </w:rPr>
        <w:tab/>
      </w:r>
      <w:r w:rsidRPr="005E36DC">
        <w:rPr>
          <w:rFonts w:cs="Tahoma"/>
        </w:rPr>
        <w:fldChar w:fldCharType="begin"/>
      </w:r>
      <w:r w:rsidRPr="005E36DC">
        <w:rPr>
          <w:rFonts w:cs="Tahoma"/>
          <w:lang w:val="de-DE"/>
        </w:rPr>
        <w:instrText xml:space="preserve"> PAGEREF _Toc363998966 \h </w:instrText>
      </w:r>
      <w:r w:rsidRPr="005E36DC">
        <w:rPr>
          <w:rFonts w:cs="Tahoma"/>
        </w:rPr>
      </w:r>
      <w:r w:rsidRPr="005E36DC">
        <w:rPr>
          <w:rFonts w:cs="Tahoma"/>
        </w:rPr>
        <w:fldChar w:fldCharType="separate"/>
      </w:r>
      <w:r w:rsidR="00DC4771">
        <w:rPr>
          <w:rFonts w:cs="Tahoma"/>
          <w:lang w:val="de-DE"/>
        </w:rPr>
        <w:t>66</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Office Multi Language Pack</w:t>
      </w:r>
      <w:r w:rsidRPr="005E36DC">
        <w:rPr>
          <w:rFonts w:cs="Tahoma"/>
          <w:lang w:val="de-DE"/>
        </w:rPr>
        <w:tab/>
      </w:r>
      <w:r w:rsidRPr="005E36DC">
        <w:rPr>
          <w:rFonts w:cs="Tahoma"/>
        </w:rPr>
        <w:fldChar w:fldCharType="begin"/>
      </w:r>
      <w:r w:rsidRPr="005E36DC">
        <w:rPr>
          <w:rFonts w:cs="Tahoma"/>
          <w:lang w:val="de-DE"/>
        </w:rPr>
        <w:instrText xml:space="preserve"> PAGEREF _Toc363998967 \h </w:instrText>
      </w:r>
      <w:r w:rsidRPr="005E36DC">
        <w:rPr>
          <w:rFonts w:cs="Tahoma"/>
        </w:rPr>
      </w:r>
      <w:r w:rsidRPr="005E36DC">
        <w:rPr>
          <w:rFonts w:cs="Tahoma"/>
        </w:rPr>
        <w:fldChar w:fldCharType="separate"/>
      </w:r>
      <w:r w:rsidR="00DC4771">
        <w:rPr>
          <w:rFonts w:cs="Tahoma"/>
          <w:lang w:val="de-DE"/>
        </w:rPr>
        <w:t>66</w:t>
      </w:r>
      <w:r w:rsidRPr="005E36DC">
        <w:rPr>
          <w:rFonts w:cs="Tahoma"/>
        </w:rPr>
        <w:fldChar w:fldCharType="end"/>
      </w:r>
    </w:p>
    <w:p w:rsidR="005E36DC" w:rsidRPr="00051083" w:rsidRDefault="005E36DC" w:rsidP="00A56539">
      <w:pPr>
        <w:pStyle w:val="TOC3"/>
        <w:rPr>
          <w:rFonts w:eastAsiaTheme="minorEastAsia"/>
          <w:sz w:val="22"/>
          <w:szCs w:val="22"/>
          <w:lang w:eastAsia="zh-CN"/>
        </w:rPr>
      </w:pPr>
      <w:r w:rsidRPr="00051083">
        <w:t>Windows 8 Enterprise</w:t>
      </w:r>
      <w:r w:rsidRPr="00051083">
        <w:tab/>
      </w:r>
      <w:r w:rsidRPr="005E36DC">
        <w:fldChar w:fldCharType="begin"/>
      </w:r>
      <w:r w:rsidRPr="00051083">
        <w:instrText xml:space="preserve"> PAGEREF _Toc363998968 \h </w:instrText>
      </w:r>
      <w:r w:rsidRPr="005E36DC">
        <w:fldChar w:fldCharType="separate"/>
      </w:r>
      <w:r w:rsidR="00DC4771">
        <w:t>71</w:t>
      </w:r>
      <w:r w:rsidRPr="005E36DC">
        <w:fldChar w:fldCharType="end"/>
      </w:r>
    </w:p>
    <w:p w:rsidR="005E36DC" w:rsidRPr="00051083" w:rsidRDefault="005E36DC" w:rsidP="00A56539">
      <w:pPr>
        <w:pStyle w:val="TOC3"/>
        <w:rPr>
          <w:rFonts w:eastAsiaTheme="minorEastAsia"/>
          <w:sz w:val="22"/>
          <w:szCs w:val="22"/>
          <w:lang w:eastAsia="zh-CN"/>
        </w:rPr>
      </w:pPr>
      <w:r w:rsidRPr="00051083">
        <w:t>Windows 8 Enterprise Sideloading</w:t>
      </w:r>
      <w:r w:rsidRPr="00051083">
        <w:tab/>
      </w:r>
      <w:r w:rsidRPr="005E36DC">
        <w:fldChar w:fldCharType="begin"/>
      </w:r>
      <w:r w:rsidRPr="00051083">
        <w:instrText xml:space="preserve"> PAGEREF _Toc363998969 \h </w:instrText>
      </w:r>
      <w:r w:rsidRPr="005E36DC">
        <w:fldChar w:fldCharType="separate"/>
      </w:r>
      <w:r w:rsidR="00DC4771">
        <w:t>71</w:t>
      </w:r>
      <w:r w:rsidRPr="005E36DC">
        <w:fldChar w:fldCharType="end"/>
      </w:r>
    </w:p>
    <w:p w:rsidR="005E36DC" w:rsidRPr="00051083" w:rsidRDefault="005E36DC" w:rsidP="00A56539">
      <w:pPr>
        <w:pStyle w:val="TOC3"/>
        <w:rPr>
          <w:rFonts w:eastAsiaTheme="minorEastAsia"/>
          <w:sz w:val="22"/>
          <w:szCs w:val="22"/>
          <w:lang w:eastAsia="zh-CN"/>
        </w:rPr>
      </w:pPr>
      <w:r w:rsidRPr="00051083">
        <w:t>Windows Companion-Abonnementlizenz</w:t>
      </w:r>
      <w:r w:rsidRPr="00051083">
        <w:tab/>
      </w:r>
      <w:r w:rsidRPr="005E36DC">
        <w:fldChar w:fldCharType="begin"/>
      </w:r>
      <w:r w:rsidRPr="00051083">
        <w:instrText xml:space="preserve"> PAGEREF _Toc363998970 \h </w:instrText>
      </w:r>
      <w:r w:rsidRPr="005E36DC">
        <w:fldChar w:fldCharType="separate"/>
      </w:r>
      <w:r w:rsidR="00DC4771">
        <w:t>71</w:t>
      </w:r>
      <w:r w:rsidRPr="005E36DC">
        <w:fldChar w:fldCharType="end"/>
      </w:r>
    </w:p>
    <w:p w:rsidR="005E36DC" w:rsidRPr="00051083" w:rsidRDefault="005E36DC" w:rsidP="00A56539">
      <w:pPr>
        <w:pStyle w:val="TOC3"/>
        <w:rPr>
          <w:rFonts w:eastAsiaTheme="minorEastAsia"/>
          <w:sz w:val="22"/>
          <w:szCs w:val="22"/>
          <w:lang w:eastAsia="zh-CN"/>
        </w:rPr>
      </w:pPr>
      <w:r w:rsidRPr="00051083">
        <w:t>Trainingsgutscheine</w:t>
      </w:r>
      <w:r w:rsidRPr="00051083">
        <w:tab/>
      </w:r>
      <w:r w:rsidRPr="005E36DC">
        <w:fldChar w:fldCharType="begin"/>
      </w:r>
      <w:r w:rsidRPr="00051083">
        <w:instrText xml:space="preserve"> PAGEREF _Toc363998971 \h </w:instrText>
      </w:r>
      <w:r w:rsidRPr="005E36DC">
        <w:fldChar w:fldCharType="separate"/>
      </w:r>
      <w:r w:rsidR="00DC4771">
        <w:t>71</w:t>
      </w:r>
      <w:r w:rsidRPr="005E36DC">
        <w:fldChar w:fldCharType="end"/>
      </w:r>
    </w:p>
    <w:p w:rsidR="005E36DC" w:rsidRPr="00051083" w:rsidRDefault="005E36DC" w:rsidP="00A56539">
      <w:pPr>
        <w:pStyle w:val="TOC3"/>
        <w:rPr>
          <w:rFonts w:eastAsiaTheme="minorEastAsia"/>
          <w:sz w:val="22"/>
          <w:szCs w:val="22"/>
          <w:lang w:eastAsia="zh-CN"/>
        </w:rPr>
      </w:pPr>
      <w:r w:rsidRPr="00051083">
        <w:t>E-Learning</w:t>
      </w:r>
      <w:r w:rsidRPr="00051083">
        <w:tab/>
      </w:r>
      <w:r w:rsidRPr="005E36DC">
        <w:fldChar w:fldCharType="begin"/>
      </w:r>
      <w:r w:rsidRPr="00051083">
        <w:instrText xml:space="preserve"> PAGEREF _Toc363998972 \h </w:instrText>
      </w:r>
      <w:r w:rsidRPr="005E36DC">
        <w:fldChar w:fldCharType="separate"/>
      </w:r>
      <w:r w:rsidR="00DC4771">
        <w:t>74</w:t>
      </w:r>
      <w:r w:rsidRPr="005E36DC">
        <w:fldChar w:fldCharType="end"/>
      </w:r>
    </w:p>
    <w:p w:rsidR="005E36DC" w:rsidRPr="00051083" w:rsidRDefault="005E36DC" w:rsidP="00A56539">
      <w:pPr>
        <w:pStyle w:val="TOC3"/>
        <w:rPr>
          <w:rFonts w:eastAsiaTheme="minorEastAsia"/>
          <w:sz w:val="22"/>
          <w:szCs w:val="22"/>
          <w:lang w:eastAsia="zh-CN"/>
        </w:rPr>
      </w:pPr>
      <w:r w:rsidRPr="00051083">
        <w:t>Home Use Program</w:t>
      </w:r>
      <w:r w:rsidRPr="00051083">
        <w:tab/>
      </w:r>
      <w:r w:rsidRPr="005E36DC">
        <w:fldChar w:fldCharType="begin"/>
      </w:r>
      <w:r w:rsidRPr="00051083">
        <w:instrText xml:space="preserve"> PAGEREF _Toc363998973 \h </w:instrText>
      </w:r>
      <w:r w:rsidRPr="005E36DC">
        <w:fldChar w:fldCharType="separate"/>
      </w:r>
      <w:r w:rsidR="00DC4771">
        <w:t>74</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lang w:val="de-DE"/>
        </w:rPr>
        <w:t>24x7 Problembehebungssupport</w:t>
      </w:r>
      <w:r w:rsidRPr="00AC6E9B">
        <w:rPr>
          <w:lang w:val="de-DE"/>
        </w:rPr>
        <w:tab/>
      </w:r>
      <w:r w:rsidRPr="005E36DC">
        <w:fldChar w:fldCharType="begin"/>
      </w:r>
      <w:r w:rsidRPr="00AC6E9B">
        <w:rPr>
          <w:lang w:val="de-DE"/>
        </w:rPr>
        <w:instrText xml:space="preserve"> PAGEREF _Toc363998974 \h </w:instrText>
      </w:r>
      <w:r w:rsidRPr="005E36DC">
        <w:fldChar w:fldCharType="separate"/>
      </w:r>
      <w:r w:rsidR="00DC4771">
        <w:rPr>
          <w:lang w:val="de-DE"/>
        </w:rPr>
        <w:t>76</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lang w:val="de-DE"/>
        </w:rPr>
        <w:t>Unbegrenzter 24x7-Problembehebungssupport</w:t>
      </w:r>
      <w:r w:rsidRPr="00AC6E9B">
        <w:rPr>
          <w:lang w:val="de-DE"/>
        </w:rPr>
        <w:tab/>
      </w:r>
      <w:r w:rsidRPr="005E36DC">
        <w:fldChar w:fldCharType="begin"/>
      </w:r>
      <w:r w:rsidRPr="00AC6E9B">
        <w:rPr>
          <w:lang w:val="de-DE"/>
        </w:rPr>
        <w:instrText xml:space="preserve"> PAGEREF _Toc363998975 \h </w:instrText>
      </w:r>
      <w:r w:rsidRPr="005E36DC">
        <w:fldChar w:fldCharType="separate"/>
      </w:r>
      <w:r w:rsidR="00DC4771">
        <w:rPr>
          <w:lang w:val="de-DE"/>
        </w:rPr>
        <w:t>81</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lang w:val="de-DE"/>
        </w:rPr>
        <w:t>System Center Advisor</w:t>
      </w:r>
      <w:r w:rsidRPr="00AC6E9B">
        <w:rPr>
          <w:lang w:val="de-DE"/>
        </w:rPr>
        <w:tab/>
      </w:r>
      <w:r w:rsidRPr="005E36DC">
        <w:fldChar w:fldCharType="begin"/>
      </w:r>
      <w:r w:rsidRPr="00AC6E9B">
        <w:rPr>
          <w:lang w:val="de-DE"/>
        </w:rPr>
        <w:instrText xml:space="preserve"> PAGEREF _Toc363998976 \h </w:instrText>
      </w:r>
      <w:r w:rsidRPr="005E36DC">
        <w:fldChar w:fldCharType="separate"/>
      </w:r>
      <w:r w:rsidR="00DC4771">
        <w:rPr>
          <w:lang w:val="de-DE"/>
        </w:rPr>
        <w:t>84</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lang w:val="de-DE"/>
        </w:rPr>
        <w:t>„Cold Backup“ für die Wiederherstellung im Notfall</w:t>
      </w:r>
      <w:r w:rsidRPr="00AC6E9B">
        <w:rPr>
          <w:lang w:val="de-DE"/>
        </w:rPr>
        <w:tab/>
      </w:r>
      <w:r w:rsidRPr="005E36DC">
        <w:fldChar w:fldCharType="begin"/>
      </w:r>
      <w:r w:rsidRPr="00AC6E9B">
        <w:rPr>
          <w:lang w:val="de-DE"/>
        </w:rPr>
        <w:instrText xml:space="preserve"> PAGEREF _Toc363998977 \h </w:instrText>
      </w:r>
      <w:r w:rsidRPr="005E36DC">
        <w:fldChar w:fldCharType="separate"/>
      </w:r>
      <w:r w:rsidR="00DC4771">
        <w:rPr>
          <w:lang w:val="de-DE"/>
        </w:rPr>
        <w:t>85</w:t>
      </w:r>
      <w:r w:rsidRPr="005E36DC">
        <w:fldChar w:fldCharType="end"/>
      </w:r>
    </w:p>
    <w:p w:rsidR="005E36DC" w:rsidRPr="00051083" w:rsidRDefault="005E36DC" w:rsidP="00A56539">
      <w:pPr>
        <w:pStyle w:val="TOC3"/>
        <w:rPr>
          <w:rFonts w:eastAsiaTheme="minorEastAsia"/>
          <w:sz w:val="22"/>
          <w:szCs w:val="22"/>
          <w:lang w:val="fr-FR" w:eastAsia="zh-CN"/>
        </w:rPr>
      </w:pPr>
      <w:r w:rsidRPr="00051083">
        <w:rPr>
          <w:lang w:val="fr-FR"/>
        </w:rPr>
        <w:t>TechNet SA-Abonnementservices</w:t>
      </w:r>
      <w:r w:rsidRPr="00051083">
        <w:rPr>
          <w:lang w:val="fr-FR"/>
        </w:rPr>
        <w:tab/>
      </w:r>
      <w:r w:rsidRPr="005E36DC">
        <w:fldChar w:fldCharType="begin"/>
      </w:r>
      <w:r w:rsidRPr="00051083">
        <w:rPr>
          <w:lang w:val="fr-FR"/>
        </w:rPr>
        <w:instrText xml:space="preserve"> PAGEREF _Toc363998978 \h </w:instrText>
      </w:r>
      <w:r w:rsidRPr="005E36DC">
        <w:fldChar w:fldCharType="separate"/>
      </w:r>
      <w:r w:rsidR="00DC4771">
        <w:rPr>
          <w:lang w:val="fr-FR"/>
        </w:rPr>
        <w:t>86</w:t>
      </w:r>
      <w:r w:rsidRPr="005E36DC">
        <w:fldChar w:fldCharType="end"/>
      </w:r>
    </w:p>
    <w:p w:rsidR="005E36DC" w:rsidRPr="00051083" w:rsidRDefault="005E36DC" w:rsidP="00A56539">
      <w:pPr>
        <w:pStyle w:val="TOC3"/>
        <w:rPr>
          <w:rFonts w:eastAsiaTheme="minorEastAsia"/>
          <w:sz w:val="22"/>
          <w:szCs w:val="22"/>
          <w:lang w:val="fr-FR" w:eastAsia="zh-CN"/>
        </w:rPr>
      </w:pPr>
      <w:r w:rsidRPr="00051083">
        <w:rPr>
          <w:lang w:val="fr-FR"/>
        </w:rPr>
        <w:t>TechNet Plus Direct</w:t>
      </w:r>
      <w:r w:rsidRPr="00051083">
        <w:rPr>
          <w:lang w:val="fr-FR"/>
        </w:rPr>
        <w:tab/>
      </w:r>
      <w:r w:rsidRPr="005E36DC">
        <w:fldChar w:fldCharType="begin"/>
      </w:r>
      <w:r w:rsidRPr="00051083">
        <w:rPr>
          <w:lang w:val="fr-FR"/>
        </w:rPr>
        <w:instrText xml:space="preserve"> PAGEREF _Toc363998979 \h </w:instrText>
      </w:r>
      <w:r w:rsidRPr="005E36DC">
        <w:fldChar w:fldCharType="separate"/>
      </w:r>
      <w:r w:rsidR="00DC4771">
        <w:rPr>
          <w:lang w:val="fr-FR"/>
        </w:rPr>
        <w:t>86</w:t>
      </w:r>
      <w:r w:rsidRPr="005E36DC">
        <w:fldChar w:fldCharType="end"/>
      </w:r>
    </w:p>
    <w:p w:rsidR="005E36DC" w:rsidRPr="00051083" w:rsidRDefault="005E36DC" w:rsidP="00A56539">
      <w:pPr>
        <w:pStyle w:val="TOC3"/>
        <w:rPr>
          <w:rFonts w:eastAsiaTheme="minorEastAsia"/>
          <w:sz w:val="22"/>
          <w:szCs w:val="22"/>
          <w:lang w:val="fr-FR" w:eastAsia="zh-CN"/>
        </w:rPr>
      </w:pPr>
      <w:r w:rsidRPr="00051083">
        <w:rPr>
          <w:lang w:val="fr-FR"/>
        </w:rPr>
        <w:t>Lizenzmobilität durch Software Assurance</w:t>
      </w:r>
      <w:r w:rsidRPr="00051083">
        <w:rPr>
          <w:lang w:val="fr-FR"/>
        </w:rPr>
        <w:tab/>
      </w:r>
      <w:r w:rsidRPr="005E36DC">
        <w:fldChar w:fldCharType="begin"/>
      </w:r>
      <w:r w:rsidRPr="00051083">
        <w:rPr>
          <w:lang w:val="fr-FR"/>
        </w:rPr>
        <w:instrText xml:space="preserve"> PAGEREF _Toc363998980 \h </w:instrText>
      </w:r>
      <w:r w:rsidRPr="005E36DC">
        <w:fldChar w:fldCharType="separate"/>
      </w:r>
      <w:r w:rsidR="00DC4771">
        <w:rPr>
          <w:lang w:val="fr-FR"/>
        </w:rPr>
        <w:t>87</w:t>
      </w:r>
      <w:r w:rsidRPr="005E36DC">
        <w:fldChar w:fldCharType="end"/>
      </w:r>
    </w:p>
    <w:p w:rsidR="005E36DC" w:rsidRPr="00051083" w:rsidRDefault="005E36DC" w:rsidP="00A56539">
      <w:pPr>
        <w:pStyle w:val="TOC3"/>
        <w:rPr>
          <w:rFonts w:eastAsiaTheme="minorEastAsia"/>
          <w:sz w:val="22"/>
          <w:szCs w:val="22"/>
          <w:lang w:val="fr-FR" w:eastAsia="zh-CN"/>
        </w:rPr>
      </w:pPr>
      <w:r w:rsidRPr="00051083">
        <w:rPr>
          <w:lang w:val="fr-FR"/>
        </w:rPr>
        <w:t>Windows Thin PC</w:t>
      </w:r>
      <w:r w:rsidRPr="00051083">
        <w:rPr>
          <w:lang w:val="fr-FR"/>
        </w:rPr>
        <w:tab/>
      </w:r>
      <w:r w:rsidRPr="005E36DC">
        <w:fldChar w:fldCharType="begin"/>
      </w:r>
      <w:r w:rsidRPr="00051083">
        <w:rPr>
          <w:lang w:val="fr-FR"/>
        </w:rPr>
        <w:instrText xml:space="preserve"> PAGEREF _Toc363998981 \h </w:instrText>
      </w:r>
      <w:r w:rsidRPr="005E36DC">
        <w:fldChar w:fldCharType="separate"/>
      </w:r>
      <w:r w:rsidR="00DC4771">
        <w:rPr>
          <w:lang w:val="fr-FR"/>
        </w:rPr>
        <w:t>88</w:t>
      </w:r>
      <w:r w:rsidRPr="005E36DC">
        <w:fldChar w:fldCharType="end"/>
      </w:r>
    </w:p>
    <w:p w:rsidR="005E36DC" w:rsidRPr="00051083" w:rsidRDefault="005E36DC" w:rsidP="00A56539">
      <w:pPr>
        <w:pStyle w:val="TOC3"/>
        <w:rPr>
          <w:rFonts w:eastAsiaTheme="minorEastAsia"/>
          <w:sz w:val="22"/>
          <w:szCs w:val="22"/>
          <w:lang w:val="fr-FR" w:eastAsia="zh-CN"/>
        </w:rPr>
      </w:pPr>
      <w:r w:rsidRPr="00051083">
        <w:rPr>
          <w:lang w:val="fr-FR"/>
        </w:rPr>
        <w:t>Microsoft Desktop Optimization Pack für Software Assurance</w:t>
      </w:r>
      <w:r w:rsidRPr="00051083">
        <w:rPr>
          <w:lang w:val="fr-FR"/>
        </w:rPr>
        <w:tab/>
      </w:r>
      <w:r w:rsidRPr="005E36DC">
        <w:fldChar w:fldCharType="begin"/>
      </w:r>
      <w:r w:rsidRPr="00051083">
        <w:rPr>
          <w:lang w:val="fr-FR"/>
        </w:rPr>
        <w:instrText xml:space="preserve"> PAGEREF _Toc363998982 \h </w:instrText>
      </w:r>
      <w:r w:rsidRPr="005E36DC">
        <w:fldChar w:fldCharType="separate"/>
      </w:r>
      <w:r w:rsidR="00DC4771">
        <w:rPr>
          <w:lang w:val="fr-FR"/>
        </w:rPr>
        <w:t>89</w:t>
      </w:r>
      <w:r w:rsidRPr="005E36DC">
        <w:fldChar w:fldCharType="end"/>
      </w:r>
    </w:p>
    <w:p w:rsidR="005E36DC" w:rsidRPr="00051083" w:rsidRDefault="005E36DC" w:rsidP="00A56539">
      <w:pPr>
        <w:pStyle w:val="TOC3"/>
        <w:rPr>
          <w:rFonts w:eastAsiaTheme="minorEastAsia"/>
          <w:sz w:val="22"/>
          <w:szCs w:val="22"/>
          <w:lang w:val="fr-FR" w:eastAsia="zh-CN"/>
        </w:rPr>
      </w:pPr>
      <w:r w:rsidRPr="00051083">
        <w:rPr>
          <w:lang w:val="fr-FR"/>
        </w:rPr>
        <w:t>Windows Virtual Desktop Access (VDA)-Rechte</w:t>
      </w:r>
      <w:r w:rsidRPr="00051083">
        <w:rPr>
          <w:lang w:val="fr-FR"/>
        </w:rPr>
        <w:tab/>
      </w:r>
      <w:r w:rsidRPr="005E36DC">
        <w:fldChar w:fldCharType="begin"/>
      </w:r>
      <w:r w:rsidRPr="00051083">
        <w:rPr>
          <w:lang w:val="fr-FR"/>
        </w:rPr>
        <w:instrText xml:space="preserve"> PAGEREF _Toc363998983 \h </w:instrText>
      </w:r>
      <w:r w:rsidRPr="005E36DC">
        <w:fldChar w:fldCharType="separate"/>
      </w:r>
      <w:r w:rsidR="00DC4771">
        <w:rPr>
          <w:lang w:val="fr-FR"/>
        </w:rPr>
        <w:t>89</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lang w:val="de-DE"/>
        </w:rPr>
        <w:t>Step Up-Lizenzverfügbarkeit</w:t>
      </w:r>
      <w:r w:rsidRPr="00AC6E9B">
        <w:rPr>
          <w:lang w:val="de-DE"/>
        </w:rPr>
        <w:tab/>
      </w:r>
      <w:r w:rsidRPr="005E36DC">
        <w:fldChar w:fldCharType="begin"/>
      </w:r>
      <w:r w:rsidRPr="00AC6E9B">
        <w:rPr>
          <w:lang w:val="de-DE"/>
        </w:rPr>
        <w:instrText xml:space="preserve"> PAGEREF _Toc363998984 \h </w:instrText>
      </w:r>
      <w:r w:rsidRPr="005E36DC">
        <w:fldChar w:fldCharType="separate"/>
      </w:r>
      <w:r w:rsidR="00DC4771">
        <w:rPr>
          <w:lang w:val="de-DE"/>
        </w:rPr>
        <w:t>89</w:t>
      </w:r>
      <w:r w:rsidRPr="005E36DC">
        <w:fldChar w:fldCharType="end"/>
      </w:r>
    </w:p>
    <w:p w:rsidR="005E36DC" w:rsidRPr="005E36DC" w:rsidRDefault="005E36DC">
      <w:pPr>
        <w:pStyle w:val="TOC1"/>
        <w:rPr>
          <w:rFonts w:eastAsiaTheme="minorEastAsia"/>
          <w:b w:val="0"/>
          <w:caps w:val="0"/>
          <w:color w:val="auto"/>
          <w:szCs w:val="22"/>
          <w:lang w:val="de-DE" w:eastAsia="zh-CN"/>
        </w:rPr>
      </w:pPr>
      <w:r w:rsidRPr="005E36DC">
        <w:rPr>
          <w:color w:val="auto"/>
          <w:lang w:val="de-DE"/>
        </w:rPr>
        <w:t>ABSCHNITT 8 – SERVICES</w:t>
      </w:r>
      <w:r w:rsidRPr="005E36DC">
        <w:rPr>
          <w:color w:val="auto"/>
          <w:lang w:val="de-DE"/>
        </w:rPr>
        <w:tab/>
      </w:r>
      <w:r w:rsidRPr="005E36DC">
        <w:rPr>
          <w:color w:val="auto"/>
        </w:rPr>
        <w:fldChar w:fldCharType="begin"/>
      </w:r>
      <w:r w:rsidRPr="005E36DC">
        <w:rPr>
          <w:color w:val="auto"/>
          <w:lang w:val="de-DE"/>
        </w:rPr>
        <w:instrText xml:space="preserve"> PAGEREF _Toc363998985 \h </w:instrText>
      </w:r>
      <w:r w:rsidRPr="005E36DC">
        <w:rPr>
          <w:color w:val="auto"/>
        </w:rPr>
      </w:r>
      <w:r w:rsidRPr="005E36DC">
        <w:rPr>
          <w:color w:val="auto"/>
        </w:rPr>
        <w:fldChar w:fldCharType="separate"/>
      </w:r>
      <w:r w:rsidR="00DC4771">
        <w:rPr>
          <w:color w:val="auto"/>
          <w:lang w:val="de-DE"/>
        </w:rPr>
        <w:t>91</w:t>
      </w:r>
      <w:r w:rsidRPr="005E36DC">
        <w:rPr>
          <w:color w:val="auto"/>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Nutzungsrechte, Eigentum und Lizenzrechte</w:t>
      </w:r>
      <w:r w:rsidRPr="005E36DC">
        <w:rPr>
          <w:rFonts w:cs="Tahoma"/>
          <w:lang w:val="de-DE"/>
        </w:rPr>
        <w:tab/>
      </w:r>
      <w:r w:rsidRPr="005E36DC">
        <w:rPr>
          <w:rFonts w:cs="Tahoma"/>
        </w:rPr>
        <w:fldChar w:fldCharType="begin"/>
      </w:r>
      <w:r w:rsidRPr="005E36DC">
        <w:rPr>
          <w:rFonts w:cs="Tahoma"/>
          <w:lang w:val="de-DE"/>
        </w:rPr>
        <w:instrText xml:space="preserve"> PAGEREF _Toc363998986 \h </w:instrText>
      </w:r>
      <w:r w:rsidRPr="005E36DC">
        <w:rPr>
          <w:rFonts w:cs="Tahoma"/>
        </w:rPr>
      </w:r>
      <w:r w:rsidRPr="005E36DC">
        <w:rPr>
          <w:rFonts w:cs="Tahoma"/>
        </w:rPr>
        <w:fldChar w:fldCharType="separate"/>
      </w:r>
      <w:r w:rsidR="00DC4771">
        <w:rPr>
          <w:rFonts w:cs="Tahoma"/>
          <w:lang w:val="de-DE"/>
        </w:rPr>
        <w:t>99</w:t>
      </w:r>
      <w:r w:rsidRPr="005E36DC">
        <w:rPr>
          <w:rFonts w:cs="Tahoma"/>
        </w:rPr>
        <w:fldChar w:fldCharType="end"/>
      </w:r>
    </w:p>
    <w:p w:rsidR="005E36DC" w:rsidRPr="005E36DC" w:rsidRDefault="005E36DC">
      <w:pPr>
        <w:pStyle w:val="TOC1"/>
        <w:rPr>
          <w:rFonts w:eastAsiaTheme="minorEastAsia"/>
          <w:b w:val="0"/>
          <w:caps w:val="0"/>
          <w:color w:val="auto"/>
          <w:szCs w:val="22"/>
          <w:lang w:val="de-DE" w:eastAsia="zh-CN"/>
        </w:rPr>
      </w:pPr>
      <w:r w:rsidRPr="005E36DC">
        <w:rPr>
          <w:color w:val="auto"/>
          <w:lang w:val="de-DE"/>
        </w:rPr>
        <w:t>ABSCHNITT 9 – Zusätzliche Bestimmungen</w:t>
      </w:r>
      <w:r w:rsidRPr="005E36DC">
        <w:rPr>
          <w:color w:val="auto"/>
          <w:lang w:val="de-DE"/>
        </w:rPr>
        <w:tab/>
      </w:r>
      <w:r w:rsidRPr="005E36DC">
        <w:rPr>
          <w:color w:val="auto"/>
        </w:rPr>
        <w:fldChar w:fldCharType="begin"/>
      </w:r>
      <w:r w:rsidRPr="005E36DC">
        <w:rPr>
          <w:color w:val="auto"/>
          <w:lang w:val="de-DE"/>
        </w:rPr>
        <w:instrText xml:space="preserve"> PAGEREF _Toc363998987 \h </w:instrText>
      </w:r>
      <w:r w:rsidRPr="005E36DC">
        <w:rPr>
          <w:color w:val="auto"/>
        </w:rPr>
      </w:r>
      <w:r w:rsidRPr="005E36DC">
        <w:rPr>
          <w:color w:val="auto"/>
        </w:rPr>
        <w:fldChar w:fldCharType="separate"/>
      </w:r>
      <w:r w:rsidR="00DC4771">
        <w:rPr>
          <w:color w:val="auto"/>
          <w:lang w:val="de-DE"/>
        </w:rPr>
        <w:t>101</w:t>
      </w:r>
      <w:r w:rsidRPr="005E36DC">
        <w:rPr>
          <w:color w:val="auto"/>
        </w:rPr>
        <w:fldChar w:fldCharType="end"/>
      </w:r>
    </w:p>
    <w:p w:rsidR="005E36DC" w:rsidRPr="00AC6E9B" w:rsidRDefault="005E36DC" w:rsidP="00A56539">
      <w:pPr>
        <w:pStyle w:val="TOC3"/>
        <w:rPr>
          <w:rFonts w:eastAsiaTheme="minorEastAsia"/>
          <w:sz w:val="22"/>
          <w:szCs w:val="22"/>
          <w:lang w:val="de-DE" w:eastAsia="zh-CN"/>
        </w:rPr>
      </w:pPr>
      <w:r w:rsidRPr="00AC6E9B">
        <w:rPr>
          <w:lang w:val="de-DE"/>
        </w:rPr>
        <w:t>Client-Zugriffslizenzen (Client Access Licenses, CALs) und Client-Management-Lizenzen (MLs)</w:t>
      </w:r>
      <w:r w:rsidRPr="00AC6E9B">
        <w:rPr>
          <w:lang w:val="de-DE"/>
        </w:rPr>
        <w:tab/>
      </w:r>
      <w:r w:rsidRPr="005E36DC">
        <w:fldChar w:fldCharType="begin"/>
      </w:r>
      <w:r w:rsidRPr="00AC6E9B">
        <w:rPr>
          <w:lang w:val="de-DE"/>
        </w:rPr>
        <w:instrText xml:space="preserve"> PAGEREF _Toc363998988 \h </w:instrText>
      </w:r>
      <w:r w:rsidRPr="005E36DC">
        <w:fldChar w:fldCharType="separate"/>
      </w:r>
      <w:r w:rsidR="00DC4771">
        <w:rPr>
          <w:lang w:val="de-DE"/>
        </w:rPr>
        <w:t>101</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lang w:val="de-DE"/>
        </w:rPr>
        <w:t>Beschränkungen durch „EI Controls“</w:t>
      </w:r>
      <w:r w:rsidRPr="00AC6E9B">
        <w:rPr>
          <w:lang w:val="de-DE"/>
        </w:rPr>
        <w:tab/>
      </w:r>
      <w:r w:rsidRPr="005E36DC">
        <w:fldChar w:fldCharType="begin"/>
      </w:r>
      <w:r w:rsidRPr="00AC6E9B">
        <w:rPr>
          <w:lang w:val="de-DE"/>
        </w:rPr>
        <w:instrText xml:space="preserve"> PAGEREF _Toc363998989 \h </w:instrText>
      </w:r>
      <w:r w:rsidRPr="005E36DC">
        <w:fldChar w:fldCharType="separate"/>
      </w:r>
      <w:r w:rsidR="00DC4771">
        <w:rPr>
          <w:lang w:val="de-DE"/>
        </w:rPr>
        <w:t>101</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lang w:val="de-DE"/>
        </w:rPr>
        <w:t>Multi Language Packs (MLPs), mehrsprachige Benutzeroberflächen (Multilanguage User Interface, MUIs) und neue Sprachrechte</w:t>
      </w:r>
      <w:r w:rsidRPr="00AC6E9B">
        <w:rPr>
          <w:lang w:val="de-DE"/>
        </w:rPr>
        <w:tab/>
      </w:r>
      <w:r w:rsidRPr="005E36DC">
        <w:fldChar w:fldCharType="begin"/>
      </w:r>
      <w:r w:rsidRPr="00AC6E9B">
        <w:rPr>
          <w:lang w:val="de-DE"/>
        </w:rPr>
        <w:instrText xml:space="preserve"> PAGEREF _Toc363998990 \h </w:instrText>
      </w:r>
      <w:r w:rsidRPr="005E36DC">
        <w:fldChar w:fldCharType="separate"/>
      </w:r>
      <w:r w:rsidR="00DC4771">
        <w:rPr>
          <w:lang w:val="de-DE"/>
        </w:rPr>
        <w:t>102</w:t>
      </w:r>
      <w:r w:rsidRPr="005E36DC">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Plattformunabhängige Lizenzen</w:t>
      </w:r>
      <w:r w:rsidRPr="005E36DC">
        <w:rPr>
          <w:rFonts w:cs="Tahoma"/>
          <w:lang w:val="de-DE"/>
        </w:rPr>
        <w:tab/>
      </w:r>
      <w:r w:rsidRPr="005E36DC">
        <w:rPr>
          <w:rFonts w:cs="Tahoma"/>
        </w:rPr>
        <w:fldChar w:fldCharType="begin"/>
      </w:r>
      <w:r w:rsidRPr="005E36DC">
        <w:rPr>
          <w:rFonts w:cs="Tahoma"/>
          <w:lang w:val="de-DE"/>
        </w:rPr>
        <w:instrText xml:space="preserve"> PAGEREF _Toc363998991 \h </w:instrText>
      </w:r>
      <w:r w:rsidRPr="005E36DC">
        <w:rPr>
          <w:rFonts w:cs="Tahoma"/>
        </w:rPr>
      </w:r>
      <w:r w:rsidRPr="005E36DC">
        <w:rPr>
          <w:rFonts w:cs="Tahoma"/>
        </w:rPr>
        <w:fldChar w:fldCharType="separate"/>
      </w:r>
      <w:r w:rsidR="00DC4771">
        <w:rPr>
          <w:rFonts w:cs="Tahoma"/>
          <w:lang w:val="de-DE"/>
        </w:rPr>
        <w:t>102</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Volumenlizenz-Product Keys</w:t>
      </w:r>
      <w:r w:rsidRPr="005E36DC">
        <w:rPr>
          <w:rFonts w:cs="Tahoma"/>
          <w:lang w:val="de-DE"/>
        </w:rPr>
        <w:tab/>
      </w:r>
      <w:r w:rsidRPr="005E36DC">
        <w:rPr>
          <w:rFonts w:cs="Tahoma"/>
        </w:rPr>
        <w:fldChar w:fldCharType="begin"/>
      </w:r>
      <w:r w:rsidRPr="005E36DC">
        <w:rPr>
          <w:rFonts w:cs="Tahoma"/>
          <w:lang w:val="de-DE"/>
        </w:rPr>
        <w:instrText xml:space="preserve"> PAGEREF _Toc363998992 \h </w:instrText>
      </w:r>
      <w:r w:rsidRPr="005E36DC">
        <w:rPr>
          <w:rFonts w:cs="Tahoma"/>
        </w:rPr>
      </w:r>
      <w:r w:rsidRPr="005E36DC">
        <w:rPr>
          <w:rFonts w:cs="Tahoma"/>
        </w:rPr>
        <w:fldChar w:fldCharType="separate"/>
      </w:r>
      <w:r w:rsidR="00DC4771">
        <w:rPr>
          <w:rFonts w:cs="Tahoma"/>
          <w:lang w:val="de-DE"/>
        </w:rPr>
        <w:t>103</w:t>
      </w:r>
      <w:r w:rsidRPr="005E36DC">
        <w:rPr>
          <w:rFonts w:cs="Tahoma"/>
        </w:rPr>
        <w:fldChar w:fldCharType="end"/>
      </w:r>
    </w:p>
    <w:p w:rsidR="005E36DC" w:rsidRPr="005E36DC" w:rsidRDefault="005E36DC" w:rsidP="003D1657">
      <w:pPr>
        <w:pStyle w:val="TOC1"/>
        <w:rPr>
          <w:rFonts w:eastAsiaTheme="minorEastAsia"/>
          <w:b w:val="0"/>
          <w:caps w:val="0"/>
          <w:color w:val="auto"/>
          <w:szCs w:val="22"/>
          <w:lang w:val="de-DE" w:eastAsia="zh-CN"/>
        </w:rPr>
      </w:pPr>
      <w:r w:rsidRPr="005E36DC">
        <w:rPr>
          <w:color w:val="auto"/>
          <w:lang w:val="de-DE"/>
        </w:rPr>
        <w:t xml:space="preserve">Abschnitt 10 – Ergänzende Bestimmungen für Onlinedienste, </w:t>
      </w:r>
      <w:r w:rsidR="003D1657">
        <w:rPr>
          <w:color w:val="auto"/>
          <w:lang w:val="de-DE"/>
        </w:rPr>
        <w:br/>
      </w:r>
      <w:r w:rsidRPr="005E36DC">
        <w:rPr>
          <w:color w:val="auto"/>
          <w:lang w:val="de-DE"/>
        </w:rPr>
        <w:t>die mit Vor-Ort-Software verwendet werden</w:t>
      </w:r>
      <w:r w:rsidRPr="005E36DC">
        <w:rPr>
          <w:color w:val="auto"/>
          <w:lang w:val="de-DE"/>
        </w:rPr>
        <w:tab/>
      </w:r>
      <w:r w:rsidRPr="005E36DC">
        <w:rPr>
          <w:color w:val="auto"/>
        </w:rPr>
        <w:fldChar w:fldCharType="begin"/>
      </w:r>
      <w:r w:rsidRPr="005E36DC">
        <w:rPr>
          <w:color w:val="auto"/>
          <w:lang w:val="de-DE"/>
        </w:rPr>
        <w:instrText xml:space="preserve"> PAGEREF _Toc363998993 \h </w:instrText>
      </w:r>
      <w:r w:rsidRPr="005E36DC">
        <w:rPr>
          <w:color w:val="auto"/>
        </w:rPr>
      </w:r>
      <w:r w:rsidRPr="005E36DC">
        <w:rPr>
          <w:color w:val="auto"/>
        </w:rPr>
        <w:fldChar w:fldCharType="separate"/>
      </w:r>
      <w:r w:rsidR="00DC4771">
        <w:rPr>
          <w:color w:val="auto"/>
          <w:lang w:val="de-DE"/>
        </w:rPr>
        <w:t>104</w:t>
      </w:r>
      <w:r w:rsidRPr="005E36DC">
        <w:rPr>
          <w:color w:val="auto"/>
        </w:rPr>
        <w:fldChar w:fldCharType="end"/>
      </w:r>
    </w:p>
    <w:p w:rsidR="005E36DC" w:rsidRPr="005E36DC" w:rsidRDefault="005E36DC">
      <w:pPr>
        <w:pStyle w:val="TOC1"/>
        <w:rPr>
          <w:rFonts w:eastAsiaTheme="minorEastAsia"/>
          <w:b w:val="0"/>
          <w:caps w:val="0"/>
          <w:color w:val="auto"/>
          <w:szCs w:val="22"/>
          <w:lang w:val="de-DE" w:eastAsia="zh-CN"/>
        </w:rPr>
      </w:pPr>
      <w:r w:rsidRPr="005E36DC">
        <w:rPr>
          <w:color w:val="auto"/>
          <w:lang w:val="de-DE"/>
        </w:rPr>
        <w:t>ProduktHINWEISE</w:t>
      </w:r>
      <w:r w:rsidRPr="005E36DC">
        <w:rPr>
          <w:color w:val="auto"/>
          <w:lang w:val="de-DE"/>
        </w:rPr>
        <w:tab/>
      </w:r>
      <w:r w:rsidRPr="005E36DC">
        <w:rPr>
          <w:color w:val="auto"/>
        </w:rPr>
        <w:fldChar w:fldCharType="begin"/>
      </w:r>
      <w:r w:rsidRPr="005E36DC">
        <w:rPr>
          <w:color w:val="auto"/>
          <w:lang w:val="de-DE"/>
        </w:rPr>
        <w:instrText xml:space="preserve"> PAGEREF _Toc363998994 \h </w:instrText>
      </w:r>
      <w:r w:rsidRPr="005E36DC">
        <w:rPr>
          <w:color w:val="auto"/>
        </w:rPr>
      </w:r>
      <w:r w:rsidRPr="005E36DC">
        <w:rPr>
          <w:color w:val="auto"/>
        </w:rPr>
        <w:fldChar w:fldCharType="separate"/>
      </w:r>
      <w:r w:rsidR="00DC4771">
        <w:rPr>
          <w:color w:val="auto"/>
          <w:lang w:val="de-DE"/>
        </w:rPr>
        <w:t>107</w:t>
      </w:r>
      <w:r w:rsidRPr="005E36DC">
        <w:rPr>
          <w:color w:val="auto"/>
        </w:rPr>
        <w:fldChar w:fldCharType="end"/>
      </w:r>
    </w:p>
    <w:p w:rsidR="005E36DC" w:rsidRPr="005E36DC" w:rsidRDefault="005E36DC">
      <w:pPr>
        <w:pStyle w:val="TOC2"/>
        <w:rPr>
          <w:rFonts w:eastAsiaTheme="minorEastAsia" w:cs="Tahoma"/>
          <w:sz w:val="22"/>
          <w:szCs w:val="22"/>
          <w:lang w:val="de-DE" w:eastAsia="zh-CN"/>
        </w:rPr>
      </w:pPr>
      <w:r w:rsidRPr="005E36DC">
        <w:rPr>
          <w:rFonts w:cs="Tahoma"/>
          <w:lang w:val="de-DE"/>
        </w:rPr>
        <w:t>Anwendungs-Pool</w:t>
      </w:r>
      <w:r w:rsidRPr="005E36DC">
        <w:rPr>
          <w:rFonts w:cs="Tahoma"/>
          <w:lang w:val="de-DE"/>
        </w:rPr>
        <w:tab/>
      </w:r>
      <w:r w:rsidRPr="005E36DC">
        <w:rPr>
          <w:rFonts w:cs="Tahoma"/>
        </w:rPr>
        <w:fldChar w:fldCharType="begin"/>
      </w:r>
      <w:r w:rsidRPr="005E36DC">
        <w:rPr>
          <w:rFonts w:cs="Tahoma"/>
          <w:lang w:val="de-DE"/>
        </w:rPr>
        <w:instrText xml:space="preserve"> PAGEREF _Toc363998995 \h </w:instrText>
      </w:r>
      <w:r w:rsidRPr="005E36DC">
        <w:rPr>
          <w:rFonts w:cs="Tahoma"/>
        </w:rPr>
      </w:r>
      <w:r w:rsidRPr="005E36DC">
        <w:rPr>
          <w:rFonts w:cs="Tahoma"/>
        </w:rPr>
        <w:fldChar w:fldCharType="separate"/>
      </w:r>
      <w:r w:rsidR="00DC4771">
        <w:rPr>
          <w:rFonts w:cs="Tahoma"/>
          <w:lang w:val="de-DE"/>
        </w:rPr>
        <w:t>107</w:t>
      </w:r>
      <w:r w:rsidRPr="005E36DC">
        <w:rPr>
          <w:rFonts w:cs="Tahoma"/>
        </w:rPr>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1</w:t>
      </w:r>
      <w:r w:rsidRPr="00AC6E9B">
        <w:rPr>
          <w:lang w:val="de-DE"/>
        </w:rPr>
        <w:t xml:space="preserve"> Expression Encoder Pro 4</w:t>
      </w:r>
      <w:r w:rsidRPr="00AC6E9B">
        <w:rPr>
          <w:lang w:val="de-DE"/>
        </w:rPr>
        <w:tab/>
      </w:r>
      <w:r w:rsidRPr="005E36DC">
        <w:fldChar w:fldCharType="begin"/>
      </w:r>
      <w:r w:rsidRPr="00AC6E9B">
        <w:rPr>
          <w:lang w:val="de-DE"/>
        </w:rPr>
        <w:instrText xml:space="preserve"> PAGEREF _Toc363998996 \h </w:instrText>
      </w:r>
      <w:r w:rsidRPr="005E36DC">
        <w:fldChar w:fldCharType="separate"/>
      </w:r>
      <w:r w:rsidR="00DC4771">
        <w:rPr>
          <w:lang w:val="de-DE"/>
        </w:rPr>
        <w:t>107</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2</w:t>
      </w:r>
      <w:r w:rsidRPr="00AC6E9B">
        <w:rPr>
          <w:lang w:val="de-DE"/>
        </w:rPr>
        <w:t xml:space="preserve"> Lync für Mac 2011</w:t>
      </w:r>
      <w:r w:rsidRPr="00AC6E9B">
        <w:rPr>
          <w:lang w:val="de-DE"/>
        </w:rPr>
        <w:tab/>
      </w:r>
      <w:r w:rsidRPr="005E36DC">
        <w:fldChar w:fldCharType="begin"/>
      </w:r>
      <w:r w:rsidRPr="00AC6E9B">
        <w:rPr>
          <w:lang w:val="de-DE"/>
        </w:rPr>
        <w:instrText xml:space="preserve"> PAGEREF _Toc363998997 \h </w:instrText>
      </w:r>
      <w:r w:rsidRPr="005E36DC">
        <w:fldChar w:fldCharType="separate"/>
      </w:r>
      <w:r w:rsidR="00DC4771">
        <w:rPr>
          <w:lang w:val="de-DE"/>
        </w:rPr>
        <w:t>107</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3</w:t>
      </w:r>
      <w:r w:rsidRPr="00AC6E9B">
        <w:rPr>
          <w:lang w:val="de-DE"/>
        </w:rPr>
        <w:t xml:space="preserve"> MSDN-Betriebssysteme</w:t>
      </w:r>
      <w:r w:rsidRPr="00AC6E9B">
        <w:rPr>
          <w:lang w:val="de-DE"/>
        </w:rPr>
        <w:tab/>
      </w:r>
      <w:r w:rsidRPr="005E36DC">
        <w:fldChar w:fldCharType="begin"/>
      </w:r>
      <w:r w:rsidRPr="00AC6E9B">
        <w:rPr>
          <w:lang w:val="de-DE"/>
        </w:rPr>
        <w:instrText xml:space="preserve"> PAGEREF _Toc363998998 \h </w:instrText>
      </w:r>
      <w:r w:rsidRPr="005E36DC">
        <w:fldChar w:fldCharType="separate"/>
      </w:r>
      <w:r w:rsidR="00DC4771">
        <w:rPr>
          <w:lang w:val="de-DE"/>
        </w:rPr>
        <w:t>107</w:t>
      </w:r>
      <w:r w:rsidRPr="005E36DC">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4</w:t>
      </w:r>
      <w:r w:rsidRPr="005E36DC">
        <w:rPr>
          <w:rFonts w:cs="Tahoma"/>
        </w:rPr>
        <w:t xml:space="preserve"> MSDN-Plattformen</w:t>
      </w:r>
      <w:r w:rsidRPr="005E36DC">
        <w:rPr>
          <w:rFonts w:cs="Tahoma"/>
        </w:rPr>
        <w:tab/>
      </w:r>
      <w:r w:rsidRPr="005E36DC">
        <w:rPr>
          <w:rFonts w:cs="Tahoma"/>
        </w:rPr>
        <w:fldChar w:fldCharType="begin"/>
      </w:r>
      <w:r w:rsidRPr="005E36DC">
        <w:rPr>
          <w:rFonts w:cs="Tahoma"/>
        </w:rPr>
        <w:instrText xml:space="preserve"> PAGEREF _Toc363998999 \h </w:instrText>
      </w:r>
      <w:r w:rsidRPr="005E36DC">
        <w:rPr>
          <w:rFonts w:cs="Tahoma"/>
        </w:rPr>
      </w:r>
      <w:r w:rsidRPr="005E36DC">
        <w:rPr>
          <w:rFonts w:cs="Tahoma"/>
        </w:rPr>
        <w:fldChar w:fldCharType="separate"/>
      </w:r>
      <w:r w:rsidR="00DC4771">
        <w:rPr>
          <w:rFonts w:cs="Tahoma"/>
        </w:rPr>
        <w:t>108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5</w:t>
      </w:r>
      <w:r w:rsidRPr="005E36DC">
        <w:rPr>
          <w:rFonts w:cs="Tahoma"/>
        </w:rPr>
        <w:t xml:space="preserve"> Office 365 Education A2-A4 (Nutzer-AL)</w:t>
      </w:r>
      <w:r w:rsidRPr="005E36DC">
        <w:rPr>
          <w:rFonts w:cs="Tahoma"/>
        </w:rPr>
        <w:tab/>
      </w:r>
      <w:r w:rsidRPr="005E36DC">
        <w:rPr>
          <w:rFonts w:cs="Tahoma"/>
        </w:rPr>
        <w:fldChar w:fldCharType="begin"/>
      </w:r>
      <w:r w:rsidRPr="005E36DC">
        <w:rPr>
          <w:rFonts w:cs="Tahoma"/>
        </w:rPr>
        <w:instrText xml:space="preserve"> PAGEREF _Toc363999000 \h </w:instrText>
      </w:r>
      <w:r w:rsidRPr="005E36DC">
        <w:rPr>
          <w:rFonts w:cs="Tahoma"/>
        </w:rPr>
      </w:r>
      <w:r w:rsidRPr="005E36DC">
        <w:rPr>
          <w:rFonts w:cs="Tahoma"/>
        </w:rPr>
        <w:fldChar w:fldCharType="separate"/>
      </w:r>
      <w:r w:rsidR="00DC4771">
        <w:rPr>
          <w:rFonts w:cs="Tahoma"/>
        </w:rPr>
        <w:t>108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6</w:t>
      </w:r>
      <w:r w:rsidRPr="005E36DC">
        <w:rPr>
          <w:rFonts w:cs="Tahoma"/>
        </w:rPr>
        <w:t xml:space="preserve"> Office 365 Midsize Business</w:t>
      </w:r>
      <w:r w:rsidRPr="005E36DC">
        <w:rPr>
          <w:rFonts w:cs="Tahoma"/>
        </w:rPr>
        <w:tab/>
      </w:r>
      <w:r w:rsidRPr="005E36DC">
        <w:rPr>
          <w:rFonts w:cs="Tahoma"/>
        </w:rPr>
        <w:fldChar w:fldCharType="begin"/>
      </w:r>
      <w:r w:rsidRPr="005E36DC">
        <w:rPr>
          <w:rFonts w:cs="Tahoma"/>
        </w:rPr>
        <w:instrText xml:space="preserve"> PAGEREF _Toc363999001 \h </w:instrText>
      </w:r>
      <w:r w:rsidRPr="005E36DC">
        <w:rPr>
          <w:rFonts w:cs="Tahoma"/>
        </w:rPr>
      </w:r>
      <w:r w:rsidRPr="005E36DC">
        <w:rPr>
          <w:rFonts w:cs="Tahoma"/>
        </w:rPr>
        <w:fldChar w:fldCharType="separate"/>
      </w:r>
      <w:r w:rsidR="00DC4771">
        <w:rPr>
          <w:rFonts w:cs="Tahoma"/>
        </w:rPr>
        <w:t>109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 xml:space="preserve">7 </w:t>
      </w:r>
      <w:r w:rsidRPr="005E36DC">
        <w:rPr>
          <w:rFonts w:cs="Tahoma"/>
        </w:rPr>
        <w:t>Add-On-Nutzer-Abonnementlizenzen für Office 365 und Enterprise Workloads</w:t>
      </w:r>
      <w:r w:rsidRPr="005E36DC">
        <w:rPr>
          <w:rFonts w:cs="Tahoma"/>
        </w:rPr>
        <w:tab/>
      </w:r>
      <w:r w:rsidRPr="005E36DC">
        <w:rPr>
          <w:rFonts w:cs="Tahoma"/>
        </w:rPr>
        <w:fldChar w:fldCharType="begin"/>
      </w:r>
      <w:r w:rsidRPr="005E36DC">
        <w:rPr>
          <w:rFonts w:cs="Tahoma"/>
        </w:rPr>
        <w:instrText xml:space="preserve"> PAGEREF _Toc363999002 \h </w:instrText>
      </w:r>
      <w:r w:rsidRPr="005E36DC">
        <w:rPr>
          <w:rFonts w:cs="Tahoma"/>
        </w:rPr>
      </w:r>
      <w:r w:rsidRPr="005E36DC">
        <w:rPr>
          <w:rFonts w:cs="Tahoma"/>
        </w:rPr>
        <w:fldChar w:fldCharType="separate"/>
      </w:r>
      <w:r w:rsidR="00DC4771">
        <w:rPr>
          <w:rFonts w:cs="Tahoma"/>
        </w:rPr>
        <w:t>109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8</w:t>
      </w:r>
      <w:r w:rsidRPr="005E36DC">
        <w:rPr>
          <w:rFonts w:cs="Tahoma"/>
          <w:caps/>
        </w:rPr>
        <w:t xml:space="preserve"> </w:t>
      </w:r>
      <w:r w:rsidRPr="005E36DC">
        <w:rPr>
          <w:rFonts w:cs="Tahoma"/>
        </w:rPr>
        <w:t>Office 365 Enterprise E3-E4</w:t>
      </w:r>
      <w:r w:rsidRPr="005E36DC">
        <w:rPr>
          <w:rFonts w:cs="Tahoma"/>
        </w:rPr>
        <w:tab/>
      </w:r>
      <w:r w:rsidRPr="005E36DC">
        <w:rPr>
          <w:rFonts w:cs="Tahoma"/>
        </w:rPr>
        <w:fldChar w:fldCharType="begin"/>
      </w:r>
      <w:r w:rsidRPr="005E36DC">
        <w:rPr>
          <w:rFonts w:cs="Tahoma"/>
        </w:rPr>
        <w:instrText xml:space="preserve"> PAGEREF _Toc363999003 \h </w:instrText>
      </w:r>
      <w:r w:rsidRPr="005E36DC">
        <w:rPr>
          <w:rFonts w:cs="Tahoma"/>
        </w:rPr>
      </w:r>
      <w:r w:rsidRPr="005E36DC">
        <w:rPr>
          <w:rFonts w:cs="Tahoma"/>
        </w:rPr>
        <w:fldChar w:fldCharType="separate"/>
      </w:r>
      <w:r w:rsidR="00DC4771">
        <w:rPr>
          <w:rFonts w:cs="Tahoma"/>
        </w:rPr>
        <w:t>111</w:t>
      </w:r>
      <w:r w:rsidRPr="005E36DC">
        <w:rPr>
          <w:rFonts w:cs="Tahoma"/>
        </w:rPr>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9</w:t>
      </w:r>
      <w:r w:rsidRPr="00051083">
        <w:rPr>
          <w:caps/>
        </w:rPr>
        <w:t xml:space="preserve"> </w:t>
      </w:r>
      <w:r w:rsidRPr="00051083">
        <w:t>Office für Mac Standard 2011</w:t>
      </w:r>
      <w:r w:rsidRPr="00051083">
        <w:tab/>
      </w:r>
      <w:r w:rsidRPr="005E36DC">
        <w:fldChar w:fldCharType="begin"/>
      </w:r>
      <w:r w:rsidRPr="00051083">
        <w:instrText xml:space="preserve"> PAGEREF _Toc363999004 \h </w:instrText>
      </w:r>
      <w:r w:rsidRPr="005E36DC">
        <w:fldChar w:fldCharType="separate"/>
      </w:r>
      <w:r w:rsidR="00DC4771">
        <w:t>112</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10</w:t>
      </w:r>
      <w:r w:rsidRPr="00051083">
        <w:t xml:space="preserve"> Office Multi-Language Pack 2013</w:t>
      </w:r>
      <w:r w:rsidRPr="00051083">
        <w:tab/>
      </w:r>
      <w:r w:rsidRPr="005E36DC">
        <w:fldChar w:fldCharType="begin"/>
      </w:r>
      <w:r w:rsidRPr="00051083">
        <w:instrText xml:space="preserve"> PAGEREF _Toc363999005 \h </w:instrText>
      </w:r>
      <w:r w:rsidRPr="005E36DC">
        <w:fldChar w:fldCharType="separate"/>
      </w:r>
      <w:r w:rsidR="00DC4771">
        <w:t>112</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11</w:t>
      </w:r>
      <w:r w:rsidRPr="00051083">
        <w:t xml:space="preserve"> Office Professional Plus 2013</w:t>
      </w:r>
      <w:r w:rsidRPr="00051083">
        <w:tab/>
      </w:r>
      <w:r w:rsidRPr="005E36DC">
        <w:fldChar w:fldCharType="begin"/>
      </w:r>
      <w:r w:rsidRPr="00051083">
        <w:instrText xml:space="preserve"> PAGEREF _Toc363999006 \h </w:instrText>
      </w:r>
      <w:r w:rsidRPr="005E36DC">
        <w:fldChar w:fldCharType="separate"/>
      </w:r>
      <w:r w:rsidR="00DC4771">
        <w:t>112</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12</w:t>
      </w:r>
      <w:r w:rsidRPr="00051083">
        <w:t xml:space="preserve"> Office Standard 2013</w:t>
      </w:r>
      <w:r w:rsidRPr="00051083">
        <w:tab/>
      </w:r>
      <w:r w:rsidRPr="005E36DC">
        <w:fldChar w:fldCharType="begin"/>
      </w:r>
      <w:r w:rsidRPr="00051083">
        <w:instrText xml:space="preserve"> PAGEREF _Toc363999007 \h </w:instrText>
      </w:r>
      <w:r w:rsidRPr="005E36DC">
        <w:fldChar w:fldCharType="separate"/>
      </w:r>
      <w:r w:rsidR="00DC4771">
        <w:t>113</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13</w:t>
      </w:r>
      <w:r w:rsidRPr="00051083">
        <w:t xml:space="preserve"> Office 365 ProPlus (Nutzer-AL)</w:t>
      </w:r>
      <w:r w:rsidRPr="00051083">
        <w:tab/>
      </w:r>
      <w:r w:rsidRPr="005E36DC">
        <w:fldChar w:fldCharType="begin"/>
      </w:r>
      <w:r w:rsidRPr="00051083">
        <w:instrText xml:space="preserve"> PAGEREF _Toc363999008 \h </w:instrText>
      </w:r>
      <w:r w:rsidRPr="005E36DC">
        <w:fldChar w:fldCharType="separate"/>
      </w:r>
      <w:r w:rsidR="00DC4771">
        <w:t>113</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14</w:t>
      </w:r>
      <w:r w:rsidRPr="00051083">
        <w:t xml:space="preserve"> Outlook für Mac 2011</w:t>
      </w:r>
      <w:r w:rsidRPr="00051083">
        <w:tab/>
      </w:r>
      <w:r w:rsidRPr="005E36DC">
        <w:fldChar w:fldCharType="begin"/>
      </w:r>
      <w:r w:rsidRPr="00051083">
        <w:instrText xml:space="preserve"> PAGEREF _Toc363999009 \h </w:instrText>
      </w:r>
      <w:r w:rsidRPr="005E36DC">
        <w:fldChar w:fldCharType="separate"/>
      </w:r>
      <w:r w:rsidR="00DC4771">
        <w:t>114</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15</w:t>
      </w:r>
      <w:r w:rsidRPr="00051083">
        <w:t xml:space="preserve"> Project Professional 2013</w:t>
      </w:r>
      <w:r w:rsidRPr="00051083">
        <w:tab/>
      </w:r>
      <w:r w:rsidRPr="005E36DC">
        <w:fldChar w:fldCharType="begin"/>
      </w:r>
      <w:r w:rsidRPr="00051083">
        <w:instrText xml:space="preserve"> PAGEREF _Toc363999010 \h </w:instrText>
      </w:r>
      <w:r w:rsidRPr="005E36DC">
        <w:fldChar w:fldCharType="separate"/>
      </w:r>
      <w:r w:rsidR="00DC4771">
        <w:t>114</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16</w:t>
      </w:r>
      <w:r w:rsidRPr="00051083">
        <w:rPr>
          <w:caps/>
        </w:rPr>
        <w:t xml:space="preserve"> </w:t>
      </w:r>
      <w:r w:rsidRPr="00051083">
        <w:t>Project Pro für Office 365</w:t>
      </w:r>
      <w:r w:rsidRPr="00051083">
        <w:tab/>
      </w:r>
      <w:r w:rsidRPr="005E36DC">
        <w:fldChar w:fldCharType="begin"/>
      </w:r>
      <w:r w:rsidRPr="00051083">
        <w:instrText xml:space="preserve"> PAGEREF _Toc363999011 \h </w:instrText>
      </w:r>
      <w:r w:rsidRPr="005E36DC">
        <w:fldChar w:fldCharType="separate"/>
      </w:r>
      <w:r w:rsidR="00DC4771">
        <w:t>114</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17</w:t>
      </w:r>
      <w:r w:rsidRPr="00AC6E9B">
        <w:rPr>
          <w:lang w:val="de-DE"/>
        </w:rPr>
        <w:t xml:space="preserve"> Vermietungsrechte für Office</w:t>
      </w:r>
      <w:r w:rsidRPr="00AC6E9B">
        <w:rPr>
          <w:lang w:val="de-DE"/>
        </w:rPr>
        <w:tab/>
      </w:r>
      <w:r w:rsidRPr="005E36DC">
        <w:fldChar w:fldCharType="begin"/>
      </w:r>
      <w:r w:rsidRPr="00AC6E9B">
        <w:rPr>
          <w:lang w:val="de-DE"/>
        </w:rPr>
        <w:instrText xml:space="preserve"> PAGEREF _Toc363999012 \h </w:instrText>
      </w:r>
      <w:r w:rsidRPr="005E36DC">
        <w:fldChar w:fldCharType="separate"/>
      </w:r>
      <w:r w:rsidR="00DC4771">
        <w:rPr>
          <w:lang w:val="de-DE"/>
        </w:rPr>
        <w:t>114</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18</w:t>
      </w:r>
      <w:r w:rsidRPr="00AC6E9B">
        <w:rPr>
          <w:lang w:val="de-DE"/>
        </w:rPr>
        <w:t xml:space="preserve"> Visio Professional 2013</w:t>
      </w:r>
      <w:r w:rsidRPr="00AC6E9B">
        <w:rPr>
          <w:lang w:val="de-DE"/>
        </w:rPr>
        <w:tab/>
      </w:r>
      <w:r w:rsidRPr="005E36DC">
        <w:fldChar w:fldCharType="begin"/>
      </w:r>
      <w:r w:rsidRPr="00AC6E9B">
        <w:rPr>
          <w:lang w:val="de-DE"/>
        </w:rPr>
        <w:instrText xml:space="preserve"> PAGEREF _Toc363999013 \h </w:instrText>
      </w:r>
      <w:r w:rsidRPr="005E36DC">
        <w:fldChar w:fldCharType="separate"/>
      </w:r>
      <w:r w:rsidR="00DC4771">
        <w:rPr>
          <w:lang w:val="de-DE"/>
        </w:rPr>
        <w:t>115</w:t>
      </w:r>
      <w:r w:rsidRPr="005E36DC">
        <w:fldChar w:fldCharType="end"/>
      </w:r>
    </w:p>
    <w:p w:rsidR="005E36DC" w:rsidRPr="00051083" w:rsidRDefault="005E36DC" w:rsidP="00A56539">
      <w:pPr>
        <w:pStyle w:val="TOC3"/>
        <w:rPr>
          <w:rFonts w:eastAsiaTheme="minorEastAsia"/>
          <w:sz w:val="22"/>
          <w:szCs w:val="22"/>
          <w:lang w:val="it-IT" w:eastAsia="zh-CN"/>
        </w:rPr>
      </w:pPr>
      <w:r w:rsidRPr="00051083">
        <w:rPr>
          <w:caps/>
          <w:vertAlign w:val="superscript"/>
          <w:lang w:val="it-IT"/>
        </w:rPr>
        <w:t>19</w:t>
      </w:r>
      <w:r w:rsidRPr="00051083">
        <w:rPr>
          <w:lang w:val="it-IT"/>
        </w:rPr>
        <w:t xml:space="preserve"> Visio Pro für Office 365</w:t>
      </w:r>
      <w:r w:rsidRPr="00051083">
        <w:rPr>
          <w:lang w:val="it-IT"/>
        </w:rPr>
        <w:tab/>
      </w:r>
      <w:r w:rsidRPr="005E36DC">
        <w:fldChar w:fldCharType="begin"/>
      </w:r>
      <w:r w:rsidRPr="00051083">
        <w:rPr>
          <w:lang w:val="it-IT"/>
        </w:rPr>
        <w:instrText xml:space="preserve"> PAGEREF _Toc363999014 \h </w:instrText>
      </w:r>
      <w:r w:rsidRPr="005E36DC">
        <w:fldChar w:fldCharType="separate"/>
      </w:r>
      <w:r w:rsidR="00DC4771">
        <w:rPr>
          <w:lang w:val="it-IT"/>
        </w:rPr>
        <w:t>116</w:t>
      </w:r>
      <w:r w:rsidRPr="005E36DC">
        <w:fldChar w:fldCharType="end"/>
      </w:r>
    </w:p>
    <w:p w:rsidR="005E36DC" w:rsidRPr="00051083" w:rsidRDefault="005E36DC" w:rsidP="00A56539">
      <w:pPr>
        <w:pStyle w:val="TOC3"/>
        <w:rPr>
          <w:rFonts w:eastAsiaTheme="minorEastAsia"/>
          <w:sz w:val="22"/>
          <w:szCs w:val="22"/>
          <w:lang w:val="it-IT" w:eastAsia="zh-CN"/>
        </w:rPr>
      </w:pPr>
      <w:r w:rsidRPr="00051083">
        <w:rPr>
          <w:caps/>
          <w:vertAlign w:val="superscript"/>
          <w:lang w:val="it-IT"/>
        </w:rPr>
        <w:t>20</w:t>
      </w:r>
      <w:r w:rsidRPr="00051083">
        <w:rPr>
          <w:lang w:val="it-IT"/>
        </w:rPr>
        <w:t xml:space="preserve"> Visual Studio Professional 2012</w:t>
      </w:r>
      <w:r w:rsidRPr="00051083">
        <w:rPr>
          <w:lang w:val="it-IT"/>
        </w:rPr>
        <w:tab/>
      </w:r>
      <w:r w:rsidRPr="005E36DC">
        <w:fldChar w:fldCharType="begin"/>
      </w:r>
      <w:r w:rsidRPr="00051083">
        <w:rPr>
          <w:lang w:val="it-IT"/>
        </w:rPr>
        <w:instrText xml:space="preserve"> PAGEREF _Toc363999015 \h </w:instrText>
      </w:r>
      <w:r w:rsidRPr="005E36DC">
        <w:fldChar w:fldCharType="separate"/>
      </w:r>
      <w:r w:rsidR="00DC4771">
        <w:rPr>
          <w:lang w:val="it-IT"/>
        </w:rPr>
        <w:t>116</w:t>
      </w:r>
      <w:r w:rsidRPr="005E36DC">
        <w:fldChar w:fldCharType="end"/>
      </w:r>
    </w:p>
    <w:p w:rsidR="005E36DC" w:rsidRPr="00051083" w:rsidRDefault="005E36DC" w:rsidP="00A56539">
      <w:pPr>
        <w:pStyle w:val="TOC3"/>
        <w:rPr>
          <w:rFonts w:eastAsiaTheme="minorEastAsia"/>
          <w:sz w:val="22"/>
          <w:szCs w:val="22"/>
          <w:lang w:val="it-IT" w:eastAsia="zh-CN"/>
        </w:rPr>
      </w:pPr>
      <w:r w:rsidRPr="00051083">
        <w:rPr>
          <w:caps/>
          <w:vertAlign w:val="superscript"/>
          <w:lang w:val="it-IT"/>
        </w:rPr>
        <w:t>21</w:t>
      </w:r>
      <w:r w:rsidRPr="00051083">
        <w:rPr>
          <w:lang w:val="it-IT"/>
        </w:rPr>
        <w:t xml:space="preserve"> Visual Studio Professional 2012 mit MSDN</w:t>
      </w:r>
      <w:r w:rsidRPr="00051083">
        <w:rPr>
          <w:lang w:val="it-IT"/>
        </w:rPr>
        <w:tab/>
      </w:r>
      <w:r w:rsidRPr="005E36DC">
        <w:fldChar w:fldCharType="begin"/>
      </w:r>
      <w:r w:rsidRPr="00051083">
        <w:rPr>
          <w:lang w:val="it-IT"/>
        </w:rPr>
        <w:instrText xml:space="preserve"> PAGEREF _Toc363999016 \h </w:instrText>
      </w:r>
      <w:r w:rsidRPr="005E36DC">
        <w:fldChar w:fldCharType="separate"/>
      </w:r>
      <w:r w:rsidR="00DC4771">
        <w:rPr>
          <w:lang w:val="it-IT"/>
        </w:rPr>
        <w:t>116</w:t>
      </w:r>
      <w:r w:rsidRPr="005E36DC">
        <w:fldChar w:fldCharType="end"/>
      </w:r>
    </w:p>
    <w:p w:rsidR="005E36DC" w:rsidRPr="00051083" w:rsidRDefault="005E36DC" w:rsidP="00A56539">
      <w:pPr>
        <w:pStyle w:val="TOC3"/>
        <w:rPr>
          <w:rFonts w:eastAsiaTheme="minorEastAsia"/>
          <w:sz w:val="22"/>
          <w:szCs w:val="22"/>
          <w:lang w:val="it-IT" w:eastAsia="zh-CN"/>
        </w:rPr>
      </w:pPr>
      <w:r w:rsidRPr="00051083">
        <w:rPr>
          <w:caps/>
          <w:vertAlign w:val="superscript"/>
          <w:lang w:val="it-IT"/>
        </w:rPr>
        <w:t>22</w:t>
      </w:r>
      <w:r w:rsidRPr="00051083">
        <w:rPr>
          <w:lang w:val="it-IT"/>
        </w:rPr>
        <w:t xml:space="preserve"> Visual Studio Premium 2012 mit MSDN</w:t>
      </w:r>
      <w:r w:rsidRPr="00051083">
        <w:rPr>
          <w:lang w:val="it-IT"/>
        </w:rPr>
        <w:tab/>
      </w:r>
      <w:r w:rsidRPr="005E36DC">
        <w:fldChar w:fldCharType="begin"/>
      </w:r>
      <w:r w:rsidRPr="00051083">
        <w:rPr>
          <w:lang w:val="it-IT"/>
        </w:rPr>
        <w:instrText xml:space="preserve"> PAGEREF _Toc363999017 \h </w:instrText>
      </w:r>
      <w:r w:rsidRPr="005E36DC">
        <w:fldChar w:fldCharType="separate"/>
      </w:r>
      <w:r w:rsidR="00DC4771">
        <w:rPr>
          <w:lang w:val="it-IT"/>
        </w:rPr>
        <w:t>117</w:t>
      </w:r>
      <w:r w:rsidRPr="005E36DC">
        <w:fldChar w:fldCharType="end"/>
      </w:r>
    </w:p>
    <w:p w:rsidR="005E36DC" w:rsidRPr="00051083" w:rsidRDefault="005E36DC" w:rsidP="00A56539">
      <w:pPr>
        <w:pStyle w:val="TOC3"/>
        <w:rPr>
          <w:rFonts w:eastAsiaTheme="minorEastAsia"/>
          <w:sz w:val="22"/>
          <w:szCs w:val="22"/>
          <w:lang w:val="it-IT" w:eastAsia="zh-CN"/>
        </w:rPr>
      </w:pPr>
      <w:r w:rsidRPr="00051083">
        <w:rPr>
          <w:caps/>
          <w:vertAlign w:val="superscript"/>
          <w:lang w:val="it-IT"/>
        </w:rPr>
        <w:t>23</w:t>
      </w:r>
      <w:r w:rsidRPr="00051083">
        <w:rPr>
          <w:lang w:val="it-IT"/>
        </w:rPr>
        <w:t xml:space="preserve"> Visual Studio Ultimate 2012 mit MSDN</w:t>
      </w:r>
      <w:r w:rsidRPr="00051083">
        <w:rPr>
          <w:lang w:val="it-IT"/>
        </w:rPr>
        <w:tab/>
      </w:r>
      <w:r w:rsidRPr="005E36DC">
        <w:fldChar w:fldCharType="begin"/>
      </w:r>
      <w:r w:rsidRPr="00051083">
        <w:rPr>
          <w:lang w:val="it-IT"/>
        </w:rPr>
        <w:instrText xml:space="preserve"> PAGEREF _Toc363999018 \h </w:instrText>
      </w:r>
      <w:r w:rsidRPr="005E36DC">
        <w:fldChar w:fldCharType="separate"/>
      </w:r>
      <w:r w:rsidR="00DC4771">
        <w:rPr>
          <w:lang w:val="it-IT"/>
        </w:rPr>
        <w:t>118</w:t>
      </w:r>
      <w:r w:rsidRPr="005E36DC">
        <w:fldChar w:fldCharType="end"/>
      </w:r>
    </w:p>
    <w:p w:rsidR="005E36DC" w:rsidRPr="00051083" w:rsidRDefault="005E36DC" w:rsidP="00A56539">
      <w:pPr>
        <w:pStyle w:val="TOC3"/>
        <w:rPr>
          <w:rFonts w:eastAsiaTheme="minorEastAsia"/>
          <w:sz w:val="22"/>
          <w:szCs w:val="22"/>
          <w:lang w:val="it-IT" w:eastAsia="zh-CN"/>
        </w:rPr>
      </w:pPr>
      <w:r w:rsidRPr="00051083">
        <w:rPr>
          <w:caps/>
          <w:vertAlign w:val="superscript"/>
          <w:lang w:val="it-IT"/>
        </w:rPr>
        <w:t>24</w:t>
      </w:r>
      <w:r w:rsidRPr="00051083">
        <w:rPr>
          <w:lang w:val="it-IT"/>
        </w:rPr>
        <w:t xml:space="preserve"> Visual Studio Test Professional 2012 mit MSDN</w:t>
      </w:r>
      <w:r w:rsidRPr="00051083">
        <w:rPr>
          <w:lang w:val="it-IT"/>
        </w:rPr>
        <w:tab/>
      </w:r>
      <w:r w:rsidRPr="005E36DC">
        <w:fldChar w:fldCharType="begin"/>
      </w:r>
      <w:r w:rsidRPr="00051083">
        <w:rPr>
          <w:lang w:val="it-IT"/>
        </w:rPr>
        <w:instrText xml:space="preserve"> PAGEREF _Toc363999019 \h </w:instrText>
      </w:r>
      <w:r w:rsidRPr="005E36DC">
        <w:fldChar w:fldCharType="separate"/>
      </w:r>
      <w:r w:rsidR="00DC4771">
        <w:rPr>
          <w:lang w:val="it-IT"/>
        </w:rPr>
        <w:t>119</w:t>
      </w:r>
      <w:r w:rsidRPr="005E36DC">
        <w:fldChar w:fldCharType="end"/>
      </w:r>
    </w:p>
    <w:p w:rsidR="005E36DC" w:rsidRPr="001B6F67" w:rsidRDefault="005E36DC">
      <w:pPr>
        <w:pStyle w:val="TOC2"/>
        <w:rPr>
          <w:rFonts w:eastAsiaTheme="minorEastAsia" w:cs="Tahoma"/>
          <w:b/>
          <w:bCs/>
          <w:sz w:val="22"/>
          <w:szCs w:val="22"/>
          <w:lang w:val="it-IT" w:eastAsia="zh-CN"/>
        </w:rPr>
      </w:pPr>
      <w:r w:rsidRPr="001B6F67">
        <w:rPr>
          <w:rFonts w:cs="Tahoma"/>
          <w:b/>
          <w:bCs/>
          <w:lang w:val="it-IT"/>
        </w:rPr>
        <w:t>System-Pool</w:t>
      </w:r>
      <w:r w:rsidRPr="001B6F67">
        <w:rPr>
          <w:rFonts w:cs="Tahoma"/>
          <w:b/>
          <w:bCs/>
          <w:lang w:val="it-IT"/>
        </w:rPr>
        <w:tab/>
      </w:r>
      <w:r w:rsidRPr="001B6F67">
        <w:rPr>
          <w:rFonts w:cs="Tahoma"/>
          <w:b/>
          <w:bCs/>
        </w:rPr>
        <w:fldChar w:fldCharType="begin"/>
      </w:r>
      <w:r w:rsidRPr="001B6F67">
        <w:rPr>
          <w:rFonts w:cs="Tahoma"/>
          <w:b/>
          <w:bCs/>
          <w:lang w:val="it-IT"/>
        </w:rPr>
        <w:instrText xml:space="preserve"> PAGEREF _Toc363999020 \h </w:instrText>
      </w:r>
      <w:r w:rsidRPr="001B6F67">
        <w:rPr>
          <w:rFonts w:cs="Tahoma"/>
          <w:b/>
          <w:bCs/>
        </w:rPr>
      </w:r>
      <w:r w:rsidRPr="001B6F67">
        <w:rPr>
          <w:rFonts w:cs="Tahoma"/>
          <w:b/>
          <w:bCs/>
        </w:rPr>
        <w:fldChar w:fldCharType="separate"/>
      </w:r>
      <w:r w:rsidR="00DC4771">
        <w:rPr>
          <w:rFonts w:cs="Tahoma"/>
          <w:b/>
          <w:bCs/>
          <w:lang w:val="it-IT"/>
        </w:rPr>
        <w:t>121</w:t>
      </w:r>
      <w:r w:rsidRPr="001B6F67">
        <w:rPr>
          <w:rFonts w:cs="Tahoma"/>
          <w:b/>
          <w:bCs/>
        </w:rPr>
        <w:fldChar w:fldCharType="end"/>
      </w:r>
    </w:p>
    <w:p w:rsidR="005E36DC" w:rsidRPr="00051083" w:rsidRDefault="005E36DC" w:rsidP="00A56539">
      <w:pPr>
        <w:pStyle w:val="TOC3"/>
        <w:rPr>
          <w:rFonts w:eastAsiaTheme="minorEastAsia"/>
          <w:sz w:val="22"/>
          <w:szCs w:val="22"/>
          <w:lang w:val="it-IT" w:eastAsia="zh-CN"/>
        </w:rPr>
      </w:pPr>
      <w:r w:rsidRPr="00051083">
        <w:rPr>
          <w:caps/>
          <w:vertAlign w:val="superscript"/>
          <w:lang w:val="it-IT"/>
        </w:rPr>
        <w:t>25</w:t>
      </w:r>
      <w:r w:rsidRPr="00051083">
        <w:rPr>
          <w:lang w:val="it-IT"/>
        </w:rPr>
        <w:t xml:space="preserve"> Microsoft Desktop Optimization Pack für Software Assurance</w:t>
      </w:r>
      <w:r w:rsidRPr="00051083">
        <w:rPr>
          <w:lang w:val="it-IT"/>
        </w:rPr>
        <w:tab/>
      </w:r>
      <w:r w:rsidRPr="005E36DC">
        <w:fldChar w:fldCharType="begin"/>
      </w:r>
      <w:r w:rsidRPr="00051083">
        <w:rPr>
          <w:lang w:val="it-IT"/>
        </w:rPr>
        <w:instrText xml:space="preserve"> PAGEREF _Toc363999021 \h </w:instrText>
      </w:r>
      <w:r w:rsidRPr="005E36DC">
        <w:fldChar w:fldCharType="separate"/>
      </w:r>
      <w:r w:rsidR="00DC4771">
        <w:rPr>
          <w:lang w:val="it-IT"/>
        </w:rPr>
        <w:t>121</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26</w:t>
      </w:r>
      <w:r w:rsidRPr="00051083">
        <w:rPr>
          <w:caps/>
        </w:rPr>
        <w:t xml:space="preserve"> </w:t>
      </w:r>
      <w:r w:rsidRPr="00051083">
        <w:t>Windows Embedded 8 Standard Enterprise Kit</w:t>
      </w:r>
      <w:r w:rsidRPr="00051083">
        <w:tab/>
      </w:r>
      <w:r w:rsidRPr="005E36DC">
        <w:fldChar w:fldCharType="begin"/>
      </w:r>
      <w:r w:rsidRPr="00051083">
        <w:instrText xml:space="preserve"> PAGEREF _Toc363999022 \h </w:instrText>
      </w:r>
      <w:r w:rsidRPr="005E36DC">
        <w:fldChar w:fldCharType="separate"/>
      </w:r>
      <w:r w:rsidR="00DC4771">
        <w:t>122</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27</w:t>
      </w:r>
      <w:r w:rsidRPr="00051083">
        <w:rPr>
          <w:caps/>
        </w:rPr>
        <w:t xml:space="preserve"> </w:t>
      </w:r>
      <w:r w:rsidRPr="00051083">
        <w:t>Windows Embedded 8 Industry Pro Sideloading</w:t>
      </w:r>
      <w:r w:rsidRPr="00051083">
        <w:tab/>
      </w:r>
      <w:r w:rsidRPr="005E36DC">
        <w:fldChar w:fldCharType="begin"/>
      </w:r>
      <w:r w:rsidRPr="00051083">
        <w:instrText xml:space="preserve"> PAGEREF _Toc363999023 \h </w:instrText>
      </w:r>
      <w:r w:rsidRPr="005E36DC">
        <w:fldChar w:fldCharType="separate"/>
      </w:r>
      <w:r w:rsidR="00DC4771">
        <w:t>122</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28</w:t>
      </w:r>
      <w:r w:rsidRPr="00051083">
        <w:rPr>
          <w:caps/>
        </w:rPr>
        <w:t xml:space="preserve"> </w:t>
      </w:r>
      <w:r w:rsidRPr="00051083">
        <w:t>Windows</w:t>
      </w:r>
      <w:r w:rsidR="0069040B" w:rsidRPr="00051083">
        <w:rPr>
          <w:vertAlign w:val="superscript"/>
        </w:rPr>
        <w:t>®</w:t>
      </w:r>
      <w:r w:rsidRPr="00051083">
        <w:t xml:space="preserve"> Embedded 8 Industry Pro-Upgrade</w:t>
      </w:r>
      <w:r w:rsidRPr="00051083">
        <w:tab/>
      </w:r>
      <w:r w:rsidRPr="005E36DC">
        <w:fldChar w:fldCharType="begin"/>
      </w:r>
      <w:r w:rsidRPr="00051083">
        <w:instrText xml:space="preserve"> PAGEREF _Toc363999024 \h </w:instrText>
      </w:r>
      <w:r w:rsidRPr="005E36DC">
        <w:fldChar w:fldCharType="separate"/>
      </w:r>
      <w:r w:rsidR="00DC4771">
        <w:t>122</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29</w:t>
      </w:r>
      <w:r w:rsidRPr="00051083">
        <w:rPr>
          <w:caps/>
        </w:rPr>
        <w:t xml:space="preserve"> </w:t>
      </w:r>
      <w:r w:rsidRPr="00051083">
        <w:t>Windows</w:t>
      </w:r>
      <w:r w:rsidR="0069040B" w:rsidRPr="00051083">
        <w:rPr>
          <w:vertAlign w:val="superscript"/>
        </w:rPr>
        <w:t>®</w:t>
      </w:r>
      <w:r w:rsidRPr="00051083">
        <w:t xml:space="preserve"> Companion-Abonnementlizenz</w:t>
      </w:r>
      <w:r w:rsidRPr="00051083">
        <w:tab/>
      </w:r>
      <w:r w:rsidRPr="005E36DC">
        <w:fldChar w:fldCharType="begin"/>
      </w:r>
      <w:r w:rsidRPr="00051083">
        <w:instrText xml:space="preserve"> PAGEREF _Toc363999025 \h </w:instrText>
      </w:r>
      <w:r w:rsidRPr="005E36DC">
        <w:fldChar w:fldCharType="separate"/>
      </w:r>
      <w:r w:rsidR="00DC4771">
        <w:t>124</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30</w:t>
      </w:r>
      <w:r w:rsidRPr="00051083">
        <w:rPr>
          <w:rFonts w:eastAsia="Times New Roman"/>
        </w:rPr>
        <w:t xml:space="preserve"> Windows Vista DVD Playback Pack</w:t>
      </w:r>
      <w:r w:rsidRPr="00051083">
        <w:tab/>
      </w:r>
      <w:r w:rsidRPr="005E36DC">
        <w:fldChar w:fldCharType="begin"/>
      </w:r>
      <w:r w:rsidRPr="00051083">
        <w:instrText xml:space="preserve"> PAGEREF _Toc363999026 \h </w:instrText>
      </w:r>
      <w:r w:rsidRPr="005E36DC">
        <w:fldChar w:fldCharType="separate"/>
      </w:r>
      <w:r w:rsidR="00DC4771">
        <w:t>124</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31</w:t>
      </w:r>
      <w:r w:rsidRPr="00051083">
        <w:t xml:space="preserve"> Windows</w:t>
      </w:r>
      <w:r w:rsidR="0069040B" w:rsidRPr="00051083">
        <w:rPr>
          <w:vertAlign w:val="superscript"/>
        </w:rPr>
        <w:t>®</w:t>
      </w:r>
      <w:r w:rsidRPr="00051083">
        <w:t xml:space="preserve"> 7 Partners in Learning</w:t>
      </w:r>
      <w:r w:rsidRPr="00051083">
        <w:tab/>
      </w:r>
      <w:r w:rsidRPr="005E36DC">
        <w:fldChar w:fldCharType="begin"/>
      </w:r>
      <w:r w:rsidRPr="00051083">
        <w:instrText xml:space="preserve"> PAGEREF _Toc363999027 \h </w:instrText>
      </w:r>
      <w:r w:rsidRPr="005E36DC">
        <w:fldChar w:fldCharType="separate"/>
      </w:r>
      <w:r w:rsidR="00DC4771">
        <w:t>124</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32</w:t>
      </w:r>
      <w:r w:rsidRPr="00051083">
        <w:t xml:space="preserve"> Windows</w:t>
      </w:r>
      <w:r w:rsidR="0069040B" w:rsidRPr="00051083">
        <w:rPr>
          <w:vertAlign w:val="superscript"/>
        </w:rPr>
        <w:t>®</w:t>
      </w:r>
      <w:r w:rsidRPr="00051083">
        <w:t xml:space="preserve"> 8 Enterprise Sideloading</w:t>
      </w:r>
      <w:r w:rsidRPr="00051083">
        <w:tab/>
      </w:r>
      <w:r w:rsidRPr="005E36DC">
        <w:fldChar w:fldCharType="begin"/>
      </w:r>
      <w:r w:rsidRPr="00051083">
        <w:instrText xml:space="preserve"> PAGEREF _Toc363999028 \h </w:instrText>
      </w:r>
      <w:r w:rsidRPr="005E36DC">
        <w:fldChar w:fldCharType="separate"/>
      </w:r>
      <w:r w:rsidR="00DC4771">
        <w:t>124</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33</w:t>
      </w:r>
      <w:r w:rsidRPr="00AC6E9B">
        <w:rPr>
          <w:lang w:val="de-DE"/>
        </w:rPr>
        <w:t xml:space="preserve"> Windows</w:t>
      </w:r>
      <w:r w:rsidR="0069040B" w:rsidRPr="00AC6E9B">
        <w:rPr>
          <w:vertAlign w:val="superscript"/>
          <w:lang w:val="de-DE"/>
        </w:rPr>
        <w:t>®</w:t>
      </w:r>
      <w:r w:rsidRPr="00AC6E9B">
        <w:rPr>
          <w:lang w:val="de-DE"/>
        </w:rPr>
        <w:t xml:space="preserve"> 8 Pro Upgrade und Windows Intune (pro Gerät)</w:t>
      </w:r>
      <w:r w:rsidRPr="00AC6E9B">
        <w:rPr>
          <w:lang w:val="de-DE"/>
        </w:rPr>
        <w:tab/>
      </w:r>
      <w:r w:rsidRPr="005E36DC">
        <w:fldChar w:fldCharType="begin"/>
      </w:r>
      <w:r w:rsidRPr="00AC6E9B">
        <w:rPr>
          <w:lang w:val="de-DE"/>
        </w:rPr>
        <w:instrText xml:space="preserve"> PAGEREF _Toc363999029 \h </w:instrText>
      </w:r>
      <w:r w:rsidRPr="005E36DC">
        <w:fldChar w:fldCharType="separate"/>
      </w:r>
      <w:r w:rsidR="00DC4771">
        <w:rPr>
          <w:lang w:val="de-DE"/>
        </w:rPr>
        <w:t>125</w:t>
      </w:r>
      <w:r w:rsidRPr="005E36DC">
        <w:fldChar w:fldCharType="end"/>
      </w:r>
    </w:p>
    <w:p w:rsidR="005E36DC" w:rsidRPr="005E36DC" w:rsidRDefault="005E36DC">
      <w:pPr>
        <w:pStyle w:val="TOC2"/>
        <w:rPr>
          <w:rFonts w:eastAsiaTheme="minorEastAsia" w:cs="Tahoma"/>
          <w:sz w:val="22"/>
          <w:szCs w:val="22"/>
          <w:lang w:val="de-DE" w:eastAsia="zh-CN"/>
        </w:rPr>
      </w:pPr>
      <w:r w:rsidRPr="005E36DC">
        <w:rPr>
          <w:rFonts w:cs="Tahoma"/>
          <w:caps/>
          <w:vertAlign w:val="superscript"/>
          <w:lang w:val="de-DE"/>
        </w:rPr>
        <w:t>34</w:t>
      </w:r>
      <w:r w:rsidRPr="005E36DC">
        <w:rPr>
          <w:rFonts w:cs="Tahoma"/>
          <w:caps/>
          <w:lang w:val="de-DE"/>
        </w:rPr>
        <w:t xml:space="preserve"> </w:t>
      </w:r>
      <w:r w:rsidRPr="005E36DC">
        <w:rPr>
          <w:rFonts w:cs="Tahoma"/>
          <w:lang w:val="de-DE"/>
        </w:rPr>
        <w:t>Add-on für Windows Intune (pro Gerät)</w:t>
      </w:r>
      <w:r w:rsidRPr="005E36DC">
        <w:rPr>
          <w:rFonts w:cs="Tahoma"/>
          <w:lang w:val="de-DE"/>
        </w:rPr>
        <w:tab/>
      </w:r>
      <w:r w:rsidRPr="005E36DC">
        <w:rPr>
          <w:rFonts w:cs="Tahoma"/>
        </w:rPr>
        <w:fldChar w:fldCharType="begin"/>
      </w:r>
      <w:r w:rsidRPr="005E36DC">
        <w:rPr>
          <w:rFonts w:cs="Tahoma"/>
          <w:lang w:val="de-DE"/>
        </w:rPr>
        <w:instrText xml:space="preserve"> PAGEREF _Toc363999030 \h </w:instrText>
      </w:r>
      <w:r w:rsidRPr="005E36DC">
        <w:rPr>
          <w:rFonts w:cs="Tahoma"/>
        </w:rPr>
      </w:r>
      <w:r w:rsidRPr="005E36DC">
        <w:rPr>
          <w:rFonts w:cs="Tahoma"/>
        </w:rPr>
        <w:fldChar w:fldCharType="separate"/>
      </w:r>
      <w:r w:rsidR="00DC4771">
        <w:rPr>
          <w:rFonts w:cs="Tahoma"/>
          <w:lang w:val="de-DE"/>
        </w:rPr>
        <w:t>133</w:t>
      </w:r>
      <w:r w:rsidRPr="005E36DC">
        <w:rPr>
          <w:rFonts w:cs="Tahoma"/>
        </w:rPr>
        <w:fldChar w:fldCharType="end"/>
      </w:r>
    </w:p>
    <w:p w:rsidR="005E36DC" w:rsidRPr="001B6F67" w:rsidRDefault="005E36DC">
      <w:pPr>
        <w:pStyle w:val="TOC2"/>
        <w:rPr>
          <w:rFonts w:eastAsiaTheme="minorEastAsia" w:cs="Tahoma"/>
          <w:b/>
          <w:bCs/>
          <w:sz w:val="22"/>
          <w:szCs w:val="22"/>
          <w:lang w:val="de-DE" w:eastAsia="zh-CN"/>
        </w:rPr>
      </w:pPr>
      <w:r w:rsidRPr="001B6F67">
        <w:rPr>
          <w:rFonts w:cs="Tahoma"/>
          <w:b/>
          <w:bCs/>
          <w:lang w:val="de-DE"/>
        </w:rPr>
        <w:t>Server-Pool</w:t>
      </w:r>
      <w:r w:rsidRPr="001B6F67">
        <w:rPr>
          <w:rFonts w:cs="Tahoma"/>
          <w:b/>
          <w:bCs/>
          <w:lang w:val="de-DE"/>
        </w:rPr>
        <w:tab/>
      </w:r>
      <w:r w:rsidRPr="001B6F67">
        <w:rPr>
          <w:rFonts w:cs="Tahoma"/>
          <w:b/>
          <w:bCs/>
        </w:rPr>
        <w:fldChar w:fldCharType="begin"/>
      </w:r>
      <w:r w:rsidRPr="001B6F67">
        <w:rPr>
          <w:rFonts w:cs="Tahoma"/>
          <w:b/>
          <w:bCs/>
          <w:lang w:val="de-DE"/>
        </w:rPr>
        <w:instrText xml:space="preserve"> PAGEREF _Toc363999031 \h </w:instrText>
      </w:r>
      <w:r w:rsidRPr="001B6F67">
        <w:rPr>
          <w:rFonts w:cs="Tahoma"/>
          <w:b/>
          <w:bCs/>
        </w:rPr>
      </w:r>
      <w:r w:rsidRPr="001B6F67">
        <w:rPr>
          <w:rFonts w:cs="Tahoma"/>
          <w:b/>
          <w:bCs/>
        </w:rPr>
        <w:fldChar w:fldCharType="separate"/>
      </w:r>
      <w:r w:rsidR="00DC4771">
        <w:rPr>
          <w:rFonts w:cs="Tahoma"/>
          <w:b/>
          <w:bCs/>
          <w:lang w:val="de-DE"/>
        </w:rPr>
        <w:t>134</w:t>
      </w:r>
      <w:r w:rsidRPr="001B6F67">
        <w:rPr>
          <w:rFonts w:cs="Tahoma"/>
          <w:b/>
          <w:bCs/>
        </w:rPr>
        <w:fldChar w:fldCharType="end"/>
      </w:r>
    </w:p>
    <w:p w:rsidR="005E36DC" w:rsidRPr="005E36DC" w:rsidRDefault="005E36DC" w:rsidP="005E36DC">
      <w:pPr>
        <w:pStyle w:val="TOC2"/>
        <w:ind w:left="180" w:hanging="180"/>
        <w:rPr>
          <w:rFonts w:eastAsiaTheme="minorEastAsia" w:cs="Tahoma"/>
          <w:sz w:val="22"/>
          <w:szCs w:val="22"/>
          <w:lang w:val="de-DE" w:eastAsia="zh-CN"/>
        </w:rPr>
      </w:pPr>
      <w:r w:rsidRPr="005E36DC">
        <w:rPr>
          <w:rFonts w:cs="Tahoma"/>
          <w:caps/>
          <w:vertAlign w:val="superscript"/>
          <w:lang w:val="de-DE"/>
        </w:rPr>
        <w:t>35</w:t>
      </w:r>
      <w:r w:rsidRPr="005E36DC">
        <w:rPr>
          <w:rFonts w:cs="Tahoma"/>
          <w:lang w:val="de-DE"/>
        </w:rPr>
        <w:t xml:space="preserve"> Add-On für Bing Maps Öffentliche Website-Nutzung und Add-On-AL für Bing Maps Interne </w:t>
      </w:r>
      <w:r>
        <w:rPr>
          <w:rFonts w:cs="Tahoma"/>
          <w:lang w:val="de-DE"/>
        </w:rPr>
        <w:br/>
      </w:r>
      <w:r w:rsidRPr="005E36DC">
        <w:rPr>
          <w:rFonts w:cs="Tahoma"/>
          <w:lang w:val="de-DE"/>
        </w:rPr>
        <w:t>Website-Nutzung</w:t>
      </w:r>
      <w:r w:rsidRPr="005E36DC">
        <w:rPr>
          <w:rFonts w:cs="Tahoma"/>
          <w:lang w:val="de-DE"/>
        </w:rPr>
        <w:tab/>
      </w:r>
      <w:r w:rsidRPr="005E36DC">
        <w:rPr>
          <w:rFonts w:cs="Tahoma"/>
        </w:rPr>
        <w:fldChar w:fldCharType="begin"/>
      </w:r>
      <w:r w:rsidRPr="005E36DC">
        <w:rPr>
          <w:rFonts w:cs="Tahoma"/>
          <w:lang w:val="de-DE"/>
        </w:rPr>
        <w:instrText xml:space="preserve"> PAGEREF _Toc363999032 \h </w:instrText>
      </w:r>
      <w:r w:rsidRPr="005E36DC">
        <w:rPr>
          <w:rFonts w:cs="Tahoma"/>
        </w:rPr>
      </w:r>
      <w:r w:rsidRPr="005E36DC">
        <w:rPr>
          <w:rFonts w:cs="Tahoma"/>
        </w:rPr>
        <w:fldChar w:fldCharType="separate"/>
      </w:r>
      <w:r w:rsidR="00DC4771">
        <w:rPr>
          <w:rFonts w:cs="Tahoma"/>
          <w:lang w:val="de-DE"/>
        </w:rPr>
        <w:t>134</w:t>
      </w:r>
      <w:r w:rsidRPr="005E36DC">
        <w:rPr>
          <w:rFonts w:cs="Tahoma"/>
        </w:rPr>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36</w:t>
      </w:r>
      <w:r w:rsidRPr="00AC6E9B">
        <w:rPr>
          <w:caps/>
          <w:lang w:val="de-DE"/>
        </w:rPr>
        <w:t xml:space="preserve"> </w:t>
      </w:r>
      <w:r w:rsidRPr="00AC6E9B">
        <w:rPr>
          <w:lang w:val="de-DE"/>
        </w:rPr>
        <w:t>BizTalk Server</w:t>
      </w:r>
      <w:r w:rsidR="0069040B" w:rsidRPr="00AC6E9B">
        <w:rPr>
          <w:vertAlign w:val="superscript"/>
          <w:lang w:val="de-DE"/>
        </w:rPr>
        <w:t>®</w:t>
      </w:r>
      <w:r w:rsidRPr="00AC6E9B">
        <w:rPr>
          <w:lang w:val="de-DE"/>
        </w:rPr>
        <w:t xml:space="preserve"> 2013 Branch</w:t>
      </w:r>
      <w:r w:rsidRPr="00AC6E9B">
        <w:rPr>
          <w:lang w:val="de-DE"/>
        </w:rPr>
        <w:tab/>
      </w:r>
      <w:r w:rsidRPr="005E36DC">
        <w:fldChar w:fldCharType="begin"/>
      </w:r>
      <w:r w:rsidRPr="00AC6E9B">
        <w:rPr>
          <w:lang w:val="de-DE"/>
        </w:rPr>
        <w:instrText xml:space="preserve"> PAGEREF _Toc363999033 \h </w:instrText>
      </w:r>
      <w:r w:rsidRPr="005E36DC">
        <w:fldChar w:fldCharType="separate"/>
      </w:r>
      <w:r w:rsidR="00DC4771">
        <w:rPr>
          <w:lang w:val="de-DE"/>
        </w:rPr>
        <w:t>136</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37</w:t>
      </w:r>
      <w:r w:rsidRPr="00AC6E9B">
        <w:rPr>
          <w:caps/>
          <w:lang w:val="de-DE"/>
        </w:rPr>
        <w:t xml:space="preserve"> </w:t>
      </w:r>
      <w:r w:rsidRPr="00AC6E9B">
        <w:rPr>
          <w:lang w:val="de-DE"/>
        </w:rPr>
        <w:t>BizTalk Server</w:t>
      </w:r>
      <w:r w:rsidR="0069040B" w:rsidRPr="00AC6E9B">
        <w:rPr>
          <w:vertAlign w:val="superscript"/>
          <w:lang w:val="de-DE"/>
        </w:rPr>
        <w:t>®</w:t>
      </w:r>
      <w:r w:rsidRPr="00AC6E9B">
        <w:rPr>
          <w:lang w:val="de-DE"/>
        </w:rPr>
        <w:t xml:space="preserve"> 2013 Enterprise</w:t>
      </w:r>
      <w:r w:rsidRPr="00AC6E9B">
        <w:rPr>
          <w:lang w:val="de-DE"/>
        </w:rPr>
        <w:tab/>
      </w:r>
      <w:r w:rsidRPr="005E36DC">
        <w:fldChar w:fldCharType="begin"/>
      </w:r>
      <w:r w:rsidRPr="00AC6E9B">
        <w:rPr>
          <w:lang w:val="de-DE"/>
        </w:rPr>
        <w:instrText xml:space="preserve"> PAGEREF _Toc363999034 \h </w:instrText>
      </w:r>
      <w:r w:rsidRPr="005E36DC">
        <w:fldChar w:fldCharType="separate"/>
      </w:r>
      <w:r w:rsidR="00DC4771">
        <w:rPr>
          <w:lang w:val="de-DE"/>
        </w:rPr>
        <w:t>137</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38</w:t>
      </w:r>
      <w:r w:rsidRPr="00AC6E9B">
        <w:rPr>
          <w:lang w:val="de-DE"/>
        </w:rPr>
        <w:t xml:space="preserve"> BizTalk Server</w:t>
      </w:r>
      <w:r w:rsidR="0069040B" w:rsidRPr="00AC6E9B">
        <w:rPr>
          <w:vertAlign w:val="superscript"/>
          <w:lang w:val="de-DE"/>
        </w:rPr>
        <w:t>®</w:t>
      </w:r>
      <w:r w:rsidRPr="00AC6E9B">
        <w:rPr>
          <w:lang w:val="de-DE"/>
        </w:rPr>
        <w:t xml:space="preserve"> 2013 Standard</w:t>
      </w:r>
      <w:r w:rsidRPr="00AC6E9B">
        <w:rPr>
          <w:lang w:val="de-DE"/>
        </w:rPr>
        <w:tab/>
      </w:r>
      <w:r w:rsidRPr="005E36DC">
        <w:fldChar w:fldCharType="begin"/>
      </w:r>
      <w:r w:rsidRPr="00AC6E9B">
        <w:rPr>
          <w:lang w:val="de-DE"/>
        </w:rPr>
        <w:instrText xml:space="preserve"> PAGEREF _Toc363999035 \h </w:instrText>
      </w:r>
      <w:r w:rsidRPr="005E36DC">
        <w:fldChar w:fldCharType="separate"/>
      </w:r>
      <w:r w:rsidR="00DC4771">
        <w:rPr>
          <w:lang w:val="de-DE"/>
        </w:rPr>
        <w:t>138</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39</w:t>
      </w:r>
      <w:r w:rsidRPr="00AC6E9B">
        <w:rPr>
          <w:caps/>
          <w:lang w:val="de-DE"/>
        </w:rPr>
        <w:t xml:space="preserve"> </w:t>
      </w:r>
      <w:r w:rsidRPr="00AC6E9B">
        <w:rPr>
          <w:lang w:val="de-DE"/>
        </w:rPr>
        <w:t>Business Intelligence Appliance 2012</w:t>
      </w:r>
      <w:r w:rsidRPr="00AC6E9B">
        <w:rPr>
          <w:lang w:val="de-DE"/>
        </w:rPr>
        <w:tab/>
      </w:r>
      <w:r w:rsidRPr="005E36DC">
        <w:fldChar w:fldCharType="begin"/>
      </w:r>
      <w:r w:rsidRPr="00AC6E9B">
        <w:rPr>
          <w:lang w:val="de-DE"/>
        </w:rPr>
        <w:instrText xml:space="preserve"> PAGEREF _Toc363999036 \h </w:instrText>
      </w:r>
      <w:r w:rsidRPr="005E36DC">
        <w:fldChar w:fldCharType="separate"/>
      </w:r>
      <w:r w:rsidR="00DC4771">
        <w:rPr>
          <w:lang w:val="de-DE"/>
        </w:rPr>
        <w:t>140</w:t>
      </w:r>
      <w:r w:rsidRPr="005E36DC">
        <w:fldChar w:fldCharType="end"/>
      </w:r>
    </w:p>
    <w:p w:rsidR="005E36DC" w:rsidRPr="00AC6E9B" w:rsidRDefault="005E36DC" w:rsidP="00A56539">
      <w:pPr>
        <w:pStyle w:val="TOC3"/>
        <w:ind w:left="180" w:hanging="180"/>
        <w:rPr>
          <w:rFonts w:eastAsiaTheme="minorEastAsia"/>
          <w:sz w:val="22"/>
          <w:szCs w:val="22"/>
          <w:lang w:val="de-DE" w:eastAsia="zh-CN"/>
        </w:rPr>
      </w:pPr>
      <w:r w:rsidRPr="00AC6E9B">
        <w:rPr>
          <w:caps/>
          <w:vertAlign w:val="superscript"/>
          <w:lang w:val="de-DE"/>
        </w:rPr>
        <w:t>40</w:t>
      </w:r>
      <w:r w:rsidRPr="00AC6E9B">
        <w:rPr>
          <w:lang w:val="de-DE"/>
        </w:rPr>
        <w:t xml:space="preserve"> Core CAL Suite Bridge für Office 365, Core CAL Suite Bridge für Office 365 und Windows Intune sowie Core CAL Suite Bridge für Windows Intune</w:t>
      </w:r>
      <w:r w:rsidRPr="00AC6E9B">
        <w:rPr>
          <w:lang w:val="de-DE"/>
        </w:rPr>
        <w:tab/>
      </w:r>
      <w:r w:rsidRPr="005E36DC">
        <w:fldChar w:fldCharType="begin"/>
      </w:r>
      <w:r w:rsidRPr="00AC6E9B">
        <w:rPr>
          <w:lang w:val="de-DE"/>
        </w:rPr>
        <w:instrText xml:space="preserve"> PAGEREF _Toc363999037 \h </w:instrText>
      </w:r>
      <w:r w:rsidRPr="005E36DC">
        <w:fldChar w:fldCharType="separate"/>
      </w:r>
      <w:r w:rsidR="00DC4771">
        <w:rPr>
          <w:lang w:val="de-DE"/>
        </w:rPr>
        <w:t>140</w:t>
      </w:r>
      <w:r w:rsidRPr="005E36DC">
        <w:fldChar w:fldCharType="end"/>
      </w:r>
    </w:p>
    <w:p w:rsidR="005E36DC" w:rsidRPr="00051083" w:rsidRDefault="005E36DC" w:rsidP="00A56539">
      <w:pPr>
        <w:pStyle w:val="TOC3"/>
        <w:rPr>
          <w:rFonts w:eastAsiaTheme="minorEastAsia"/>
          <w:sz w:val="22"/>
          <w:szCs w:val="22"/>
          <w:lang w:val="fr-FR" w:eastAsia="zh-CN"/>
        </w:rPr>
      </w:pPr>
      <w:r w:rsidRPr="00051083">
        <w:rPr>
          <w:caps/>
          <w:vertAlign w:val="superscript"/>
          <w:lang w:val="fr-FR"/>
        </w:rPr>
        <w:t>41</w:t>
      </w:r>
      <w:r w:rsidRPr="00051083">
        <w:rPr>
          <w:lang w:val="fr-FR"/>
        </w:rPr>
        <w:t xml:space="preserve"> Core CAL Suite</w:t>
      </w:r>
      <w:r w:rsidRPr="00051083">
        <w:rPr>
          <w:lang w:val="fr-FR"/>
        </w:rPr>
        <w:tab/>
      </w:r>
      <w:r w:rsidRPr="005E36DC">
        <w:fldChar w:fldCharType="begin"/>
      </w:r>
      <w:r w:rsidRPr="00051083">
        <w:rPr>
          <w:lang w:val="fr-FR"/>
        </w:rPr>
        <w:instrText xml:space="preserve"> PAGEREF _Toc363999038 \h </w:instrText>
      </w:r>
      <w:r w:rsidRPr="005E36DC">
        <w:fldChar w:fldCharType="separate"/>
      </w:r>
      <w:r w:rsidR="00DC4771">
        <w:rPr>
          <w:lang w:val="fr-FR"/>
        </w:rPr>
        <w:t>141</w:t>
      </w:r>
      <w:r w:rsidRPr="005E36DC">
        <w:fldChar w:fldCharType="end"/>
      </w:r>
    </w:p>
    <w:p w:rsidR="005E36DC" w:rsidRPr="00051083" w:rsidRDefault="005E36DC" w:rsidP="00A56539">
      <w:pPr>
        <w:pStyle w:val="TOC3"/>
        <w:rPr>
          <w:rFonts w:eastAsiaTheme="minorEastAsia"/>
          <w:sz w:val="22"/>
          <w:szCs w:val="22"/>
          <w:lang w:val="fr-FR" w:eastAsia="zh-CN"/>
        </w:rPr>
      </w:pPr>
      <w:r w:rsidRPr="00051083">
        <w:rPr>
          <w:caps/>
          <w:vertAlign w:val="superscript"/>
          <w:lang w:val="fr-FR"/>
        </w:rPr>
        <w:t>42</w:t>
      </w:r>
      <w:r w:rsidRPr="00051083">
        <w:rPr>
          <w:lang w:val="fr-FR"/>
        </w:rPr>
        <w:t xml:space="preserve"> Core Infrastructure Server Suite Standard</w:t>
      </w:r>
      <w:r w:rsidRPr="00051083">
        <w:rPr>
          <w:lang w:val="fr-FR"/>
        </w:rPr>
        <w:tab/>
      </w:r>
      <w:r w:rsidRPr="005E36DC">
        <w:fldChar w:fldCharType="begin"/>
      </w:r>
      <w:r w:rsidRPr="00051083">
        <w:rPr>
          <w:lang w:val="fr-FR"/>
        </w:rPr>
        <w:instrText xml:space="preserve"> PAGEREF _Toc363999039 \h </w:instrText>
      </w:r>
      <w:r w:rsidRPr="005E36DC">
        <w:fldChar w:fldCharType="separate"/>
      </w:r>
      <w:r w:rsidR="00DC4771">
        <w:rPr>
          <w:lang w:val="fr-FR"/>
        </w:rPr>
        <w:t>141</w:t>
      </w:r>
      <w:r w:rsidRPr="005E36DC">
        <w:fldChar w:fldCharType="end"/>
      </w:r>
    </w:p>
    <w:p w:rsidR="005E36DC" w:rsidRPr="00051083" w:rsidRDefault="005E36DC" w:rsidP="00A56539">
      <w:pPr>
        <w:pStyle w:val="TOC3"/>
        <w:rPr>
          <w:rFonts w:eastAsiaTheme="minorEastAsia"/>
          <w:sz w:val="22"/>
          <w:szCs w:val="22"/>
          <w:lang w:val="fr-FR" w:eastAsia="zh-CN"/>
        </w:rPr>
      </w:pPr>
      <w:r w:rsidRPr="00051083">
        <w:rPr>
          <w:caps/>
          <w:vertAlign w:val="superscript"/>
          <w:lang w:val="fr-FR"/>
        </w:rPr>
        <w:t>43</w:t>
      </w:r>
      <w:r w:rsidRPr="00051083">
        <w:rPr>
          <w:lang w:val="fr-FR"/>
        </w:rPr>
        <w:t xml:space="preserve"> Core Infrastructure Server Suite Enterprise</w:t>
      </w:r>
      <w:r w:rsidRPr="00051083">
        <w:rPr>
          <w:lang w:val="fr-FR"/>
        </w:rPr>
        <w:tab/>
      </w:r>
      <w:r w:rsidRPr="005E36DC">
        <w:fldChar w:fldCharType="begin"/>
      </w:r>
      <w:r w:rsidRPr="00051083">
        <w:rPr>
          <w:lang w:val="fr-FR"/>
        </w:rPr>
        <w:instrText xml:space="preserve"> PAGEREF _Toc363999040 \h </w:instrText>
      </w:r>
      <w:r w:rsidRPr="005E36DC">
        <w:fldChar w:fldCharType="separate"/>
      </w:r>
      <w:r w:rsidR="00DC4771">
        <w:rPr>
          <w:lang w:val="fr-FR"/>
        </w:rPr>
        <w:t>143</w:t>
      </w:r>
      <w:r w:rsidRPr="005E36DC">
        <w:fldChar w:fldCharType="end"/>
      </w:r>
    </w:p>
    <w:p w:rsidR="005E36DC" w:rsidRPr="00051083" w:rsidRDefault="005E36DC" w:rsidP="00A56539">
      <w:pPr>
        <w:pStyle w:val="TOC3"/>
        <w:rPr>
          <w:rFonts w:eastAsiaTheme="minorEastAsia"/>
          <w:sz w:val="22"/>
          <w:szCs w:val="22"/>
          <w:lang w:val="fr-FR" w:eastAsia="zh-CN"/>
        </w:rPr>
      </w:pPr>
      <w:r w:rsidRPr="00051083">
        <w:rPr>
          <w:caps/>
          <w:vertAlign w:val="superscript"/>
          <w:lang w:val="fr-FR"/>
        </w:rPr>
        <w:t>44</w:t>
      </w:r>
      <w:r w:rsidRPr="00051083">
        <w:rPr>
          <w:lang w:val="fr-FR"/>
        </w:rPr>
        <w:t xml:space="preserve"> Core Infrastructure Server Suite Datacenter</w:t>
      </w:r>
      <w:r w:rsidRPr="00051083">
        <w:rPr>
          <w:lang w:val="fr-FR"/>
        </w:rPr>
        <w:tab/>
      </w:r>
      <w:r w:rsidRPr="005E36DC">
        <w:fldChar w:fldCharType="begin"/>
      </w:r>
      <w:r w:rsidRPr="00051083">
        <w:rPr>
          <w:lang w:val="fr-FR"/>
        </w:rPr>
        <w:instrText xml:space="preserve"> PAGEREF _Toc363999041 \h </w:instrText>
      </w:r>
      <w:r w:rsidRPr="005E36DC">
        <w:fldChar w:fldCharType="separate"/>
      </w:r>
      <w:r w:rsidR="00DC4771">
        <w:rPr>
          <w:lang w:val="fr-FR"/>
        </w:rPr>
        <w:t>143</w:t>
      </w:r>
      <w:r w:rsidRPr="005E36DC">
        <w:fldChar w:fldCharType="end"/>
      </w:r>
    </w:p>
    <w:p w:rsidR="005E36DC" w:rsidRPr="005E36DC" w:rsidRDefault="005E36DC">
      <w:pPr>
        <w:pStyle w:val="TOC2"/>
        <w:rPr>
          <w:rFonts w:eastAsiaTheme="minorEastAsia" w:cs="Tahoma"/>
          <w:sz w:val="22"/>
          <w:szCs w:val="22"/>
          <w:lang w:val="fr-FR" w:eastAsia="zh-CN"/>
        </w:rPr>
      </w:pPr>
      <w:r w:rsidRPr="005E36DC">
        <w:rPr>
          <w:rFonts w:eastAsia="Times New Roman" w:cs="Tahoma"/>
          <w:caps/>
          <w:vertAlign w:val="superscript"/>
          <w:lang w:val="fr-FR"/>
        </w:rPr>
        <w:t>45</w:t>
      </w:r>
      <w:r w:rsidRPr="005E36DC">
        <w:rPr>
          <w:rFonts w:eastAsia="Times New Roman" w:cs="Tahoma"/>
          <w:caps/>
          <w:lang w:val="fr-FR"/>
        </w:rPr>
        <w:t xml:space="preserve"> </w:t>
      </w:r>
      <w:r w:rsidRPr="005E36DC">
        <w:rPr>
          <w:rFonts w:eastAsia="Times New Roman" w:cs="Tahoma"/>
          <w:lang w:val="fr-FR"/>
        </w:rPr>
        <w:t>Duet Enterprise 2</w:t>
      </w:r>
      <w:r w:rsidR="00844B7C">
        <w:rPr>
          <w:rFonts w:eastAsia="Times New Roman" w:cs="Tahoma"/>
          <w:lang w:val="fr-FR"/>
        </w:rPr>
        <w:t>.</w:t>
      </w:r>
      <w:r w:rsidRPr="005E36DC">
        <w:rPr>
          <w:rFonts w:eastAsia="Times New Roman" w:cs="Tahoma"/>
          <w:lang w:val="fr-FR"/>
        </w:rPr>
        <w:t>0</w:t>
      </w:r>
      <w:r w:rsidRPr="005E36DC">
        <w:rPr>
          <w:rFonts w:cs="Tahoma"/>
          <w:lang w:val="fr-FR"/>
        </w:rPr>
        <w:tab/>
      </w:r>
      <w:r w:rsidRPr="005E36DC">
        <w:rPr>
          <w:rFonts w:cs="Tahoma"/>
        </w:rPr>
        <w:fldChar w:fldCharType="begin"/>
      </w:r>
      <w:r w:rsidRPr="005E36DC">
        <w:rPr>
          <w:rFonts w:cs="Tahoma"/>
          <w:lang w:val="fr-FR"/>
        </w:rPr>
        <w:instrText xml:space="preserve"> PAGEREF _Toc363999042 \h </w:instrText>
      </w:r>
      <w:r w:rsidRPr="005E36DC">
        <w:rPr>
          <w:rFonts w:cs="Tahoma"/>
        </w:rPr>
      </w:r>
      <w:r w:rsidRPr="005E36DC">
        <w:rPr>
          <w:rFonts w:cs="Tahoma"/>
        </w:rPr>
        <w:fldChar w:fldCharType="separate"/>
      </w:r>
      <w:r w:rsidR="00DC4771">
        <w:rPr>
          <w:rFonts w:cs="Tahoma"/>
          <w:lang w:val="fr-FR"/>
        </w:rPr>
        <w:t>144</w:t>
      </w:r>
      <w:r w:rsidRPr="005E36DC">
        <w:rPr>
          <w:rFonts w:cs="Tahoma"/>
        </w:rPr>
        <w:fldChar w:fldCharType="end"/>
      </w:r>
    </w:p>
    <w:p w:rsidR="005E36DC" w:rsidRPr="00051083" w:rsidRDefault="005E36DC" w:rsidP="00A56539">
      <w:pPr>
        <w:pStyle w:val="TOC3"/>
        <w:rPr>
          <w:rFonts w:eastAsiaTheme="minorEastAsia"/>
          <w:sz w:val="22"/>
          <w:szCs w:val="22"/>
          <w:lang w:val="fr-FR" w:eastAsia="zh-CN"/>
        </w:rPr>
      </w:pPr>
      <w:r w:rsidRPr="00051083">
        <w:rPr>
          <w:caps/>
          <w:vertAlign w:val="superscript"/>
          <w:lang w:val="fr-FR"/>
        </w:rPr>
        <w:t>46</w:t>
      </w:r>
      <w:r w:rsidRPr="00051083">
        <w:rPr>
          <w:lang w:val="fr-FR"/>
        </w:rPr>
        <w:t xml:space="preserve"> Microsoft Dynamics CRM Online</w:t>
      </w:r>
      <w:r w:rsidRPr="00051083">
        <w:rPr>
          <w:lang w:val="fr-FR"/>
        </w:rPr>
        <w:tab/>
      </w:r>
      <w:r w:rsidRPr="005E36DC">
        <w:fldChar w:fldCharType="begin"/>
      </w:r>
      <w:r w:rsidRPr="00051083">
        <w:rPr>
          <w:lang w:val="fr-FR"/>
        </w:rPr>
        <w:instrText xml:space="preserve"> PAGEREF _Toc363999043 \h </w:instrText>
      </w:r>
      <w:r w:rsidRPr="005E36DC">
        <w:fldChar w:fldCharType="separate"/>
      </w:r>
      <w:r w:rsidR="00DC4771">
        <w:rPr>
          <w:lang w:val="fr-FR"/>
        </w:rPr>
        <w:t>145</w:t>
      </w:r>
      <w:r w:rsidRPr="005E36DC">
        <w:fldChar w:fldCharType="end"/>
      </w:r>
    </w:p>
    <w:p w:rsidR="005E36DC" w:rsidRPr="00051083" w:rsidRDefault="005E36DC" w:rsidP="00A56539">
      <w:pPr>
        <w:pStyle w:val="TOC3"/>
        <w:ind w:left="180" w:hanging="180"/>
        <w:rPr>
          <w:rFonts w:eastAsiaTheme="minorEastAsia"/>
          <w:sz w:val="22"/>
          <w:szCs w:val="22"/>
          <w:lang w:val="fr-FR" w:eastAsia="zh-CN"/>
        </w:rPr>
      </w:pPr>
      <w:r w:rsidRPr="00051083">
        <w:rPr>
          <w:caps/>
          <w:vertAlign w:val="superscript"/>
          <w:lang w:val="fr-FR"/>
        </w:rPr>
        <w:t>47</w:t>
      </w:r>
      <w:r w:rsidRPr="00051083">
        <w:rPr>
          <w:caps/>
          <w:lang w:val="fr-FR"/>
        </w:rPr>
        <w:t xml:space="preserve"> </w:t>
      </w:r>
      <w:r w:rsidRPr="00051083">
        <w:rPr>
          <w:lang w:val="fr-FR"/>
        </w:rPr>
        <w:t>Enterprise CAL Suite Bridge für Office 365, Enterprise CAL Suite Bridge für Office 365 und Windows</w:t>
      </w:r>
      <w:r w:rsidR="0069040B" w:rsidRPr="00051083">
        <w:rPr>
          <w:vertAlign w:val="superscript"/>
          <w:lang w:val="fr-FR"/>
        </w:rPr>
        <w:t>®</w:t>
      </w:r>
      <w:r w:rsidRPr="00051083">
        <w:rPr>
          <w:lang w:val="fr-FR"/>
        </w:rPr>
        <w:t xml:space="preserve"> Intune und Enterprise CAL Suite Bridge für Windows</w:t>
      </w:r>
      <w:r w:rsidR="0069040B" w:rsidRPr="00051083">
        <w:rPr>
          <w:vertAlign w:val="superscript"/>
          <w:lang w:val="fr-FR"/>
        </w:rPr>
        <w:t>®</w:t>
      </w:r>
      <w:r w:rsidRPr="00051083">
        <w:rPr>
          <w:lang w:val="fr-FR"/>
        </w:rPr>
        <w:t xml:space="preserve"> Intune</w:t>
      </w:r>
      <w:r w:rsidRPr="00051083">
        <w:rPr>
          <w:lang w:val="fr-FR"/>
        </w:rPr>
        <w:tab/>
      </w:r>
      <w:r w:rsidRPr="005E36DC">
        <w:fldChar w:fldCharType="begin"/>
      </w:r>
      <w:r w:rsidRPr="00051083">
        <w:rPr>
          <w:lang w:val="fr-FR"/>
        </w:rPr>
        <w:instrText xml:space="preserve"> PAGEREF _Toc363999044 \h </w:instrText>
      </w:r>
      <w:r w:rsidRPr="005E36DC">
        <w:fldChar w:fldCharType="separate"/>
      </w:r>
      <w:r w:rsidR="00DC4771">
        <w:rPr>
          <w:lang w:val="fr-FR"/>
        </w:rPr>
        <w:t>146</w:t>
      </w:r>
      <w:r w:rsidRPr="005E36DC">
        <w:fldChar w:fldCharType="end"/>
      </w:r>
    </w:p>
    <w:p w:rsidR="005E36DC" w:rsidRPr="00051083" w:rsidRDefault="005E36DC" w:rsidP="00A56539">
      <w:pPr>
        <w:pStyle w:val="TOC3"/>
        <w:rPr>
          <w:rFonts w:eastAsiaTheme="minorEastAsia"/>
          <w:sz w:val="22"/>
          <w:szCs w:val="22"/>
          <w:lang w:val="fr-FR" w:eastAsia="zh-CN"/>
        </w:rPr>
      </w:pPr>
      <w:r w:rsidRPr="00051083">
        <w:rPr>
          <w:caps/>
          <w:vertAlign w:val="superscript"/>
          <w:lang w:val="fr-FR"/>
        </w:rPr>
        <w:t>48</w:t>
      </w:r>
      <w:r w:rsidRPr="00051083">
        <w:rPr>
          <w:lang w:val="fr-FR"/>
        </w:rPr>
        <w:t xml:space="preserve"> Enterprise CAL Suite</w:t>
      </w:r>
      <w:r w:rsidRPr="00051083">
        <w:rPr>
          <w:lang w:val="fr-FR"/>
        </w:rPr>
        <w:tab/>
      </w:r>
      <w:r w:rsidRPr="005E36DC">
        <w:fldChar w:fldCharType="begin"/>
      </w:r>
      <w:r w:rsidRPr="00051083">
        <w:rPr>
          <w:lang w:val="fr-FR"/>
        </w:rPr>
        <w:instrText xml:space="preserve"> PAGEREF _Toc363999045 \h </w:instrText>
      </w:r>
      <w:r w:rsidRPr="005E36DC">
        <w:fldChar w:fldCharType="separate"/>
      </w:r>
      <w:r w:rsidR="00DC4771">
        <w:rPr>
          <w:lang w:val="fr-FR"/>
        </w:rPr>
        <w:t>146</w:t>
      </w:r>
      <w:r w:rsidRPr="005E36DC">
        <w:fldChar w:fldCharType="end"/>
      </w:r>
    </w:p>
    <w:p w:rsidR="005E36DC" w:rsidRPr="00051083" w:rsidRDefault="005E36DC" w:rsidP="00A56539">
      <w:pPr>
        <w:pStyle w:val="TOC3"/>
        <w:rPr>
          <w:rFonts w:eastAsiaTheme="minorEastAsia"/>
          <w:sz w:val="22"/>
          <w:szCs w:val="22"/>
          <w:lang w:val="fr-FR" w:eastAsia="zh-CN"/>
        </w:rPr>
      </w:pPr>
      <w:r w:rsidRPr="00051083">
        <w:rPr>
          <w:caps/>
          <w:vertAlign w:val="superscript"/>
          <w:lang w:val="fr-FR"/>
        </w:rPr>
        <w:t>49</w:t>
      </w:r>
      <w:r w:rsidRPr="00051083">
        <w:rPr>
          <w:lang w:val="fr-FR"/>
        </w:rPr>
        <w:t xml:space="preserve"> Exchange Enterprise CAL mit Diensten 2013</w:t>
      </w:r>
      <w:r w:rsidRPr="00051083">
        <w:rPr>
          <w:lang w:val="fr-FR"/>
        </w:rPr>
        <w:tab/>
      </w:r>
      <w:r w:rsidRPr="005E36DC">
        <w:fldChar w:fldCharType="begin"/>
      </w:r>
      <w:r w:rsidRPr="00051083">
        <w:rPr>
          <w:lang w:val="fr-FR"/>
        </w:rPr>
        <w:instrText xml:space="preserve"> PAGEREF _Toc363999046 \h </w:instrText>
      </w:r>
      <w:r w:rsidRPr="005E36DC">
        <w:fldChar w:fldCharType="separate"/>
      </w:r>
      <w:r w:rsidR="00DC4771">
        <w:rPr>
          <w:lang w:val="fr-FR"/>
        </w:rPr>
        <w:t>148</w:t>
      </w:r>
      <w:r w:rsidRPr="005E36DC">
        <w:fldChar w:fldCharType="end"/>
      </w:r>
    </w:p>
    <w:p w:rsidR="005E36DC" w:rsidRPr="005E36DC" w:rsidRDefault="005E36DC">
      <w:pPr>
        <w:pStyle w:val="TOC2"/>
        <w:rPr>
          <w:rFonts w:eastAsiaTheme="minorEastAsia" w:cs="Tahoma"/>
          <w:sz w:val="22"/>
          <w:szCs w:val="22"/>
          <w:lang w:val="de-DE" w:eastAsia="zh-CN"/>
        </w:rPr>
      </w:pPr>
      <w:r w:rsidRPr="005E36DC">
        <w:rPr>
          <w:rFonts w:cs="Tahoma"/>
          <w:vertAlign w:val="superscript"/>
          <w:lang w:val="de-DE"/>
        </w:rPr>
        <w:t>50</w:t>
      </w:r>
      <w:r w:rsidRPr="005E36DC">
        <w:rPr>
          <w:rFonts w:cs="Tahoma"/>
          <w:lang w:val="de-DE"/>
        </w:rPr>
        <w:t xml:space="preserve"> Exchange Online-Archivierung für Exchange Server (Nutzer-AL)</w:t>
      </w:r>
      <w:r w:rsidRPr="005E36DC">
        <w:rPr>
          <w:rFonts w:cs="Tahoma"/>
          <w:lang w:val="de-DE"/>
        </w:rPr>
        <w:tab/>
      </w:r>
      <w:r w:rsidRPr="005E36DC">
        <w:rPr>
          <w:rFonts w:cs="Tahoma"/>
        </w:rPr>
        <w:fldChar w:fldCharType="begin"/>
      </w:r>
      <w:r w:rsidRPr="005E36DC">
        <w:rPr>
          <w:rFonts w:cs="Tahoma"/>
          <w:lang w:val="de-DE"/>
        </w:rPr>
        <w:instrText xml:space="preserve"> PAGEREF _Toc363999047 \h </w:instrText>
      </w:r>
      <w:r w:rsidRPr="005E36DC">
        <w:rPr>
          <w:rFonts w:cs="Tahoma"/>
        </w:rPr>
      </w:r>
      <w:r w:rsidRPr="005E36DC">
        <w:rPr>
          <w:rFonts w:cs="Tahoma"/>
        </w:rPr>
        <w:fldChar w:fldCharType="separate"/>
      </w:r>
      <w:r w:rsidR="00DC4771">
        <w:rPr>
          <w:rFonts w:cs="Tahoma"/>
          <w:lang w:val="de-DE"/>
        </w:rPr>
        <w:t>148</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vertAlign w:val="superscript"/>
          <w:lang w:val="de-DE"/>
        </w:rPr>
        <w:t>51</w:t>
      </w:r>
      <w:r w:rsidRPr="005E36DC">
        <w:rPr>
          <w:rFonts w:cs="Tahoma"/>
          <w:lang w:val="de-DE"/>
        </w:rPr>
        <w:t xml:space="preserve"> Exchange Online-Archivierung für Exchange Server A (Nutzer-AL)</w:t>
      </w:r>
      <w:r w:rsidRPr="005E36DC">
        <w:rPr>
          <w:rFonts w:cs="Tahoma"/>
          <w:lang w:val="de-DE"/>
        </w:rPr>
        <w:tab/>
      </w:r>
      <w:r w:rsidRPr="005E36DC">
        <w:rPr>
          <w:rFonts w:cs="Tahoma"/>
        </w:rPr>
        <w:fldChar w:fldCharType="begin"/>
      </w:r>
      <w:r w:rsidRPr="005E36DC">
        <w:rPr>
          <w:rFonts w:cs="Tahoma"/>
          <w:lang w:val="de-DE"/>
        </w:rPr>
        <w:instrText xml:space="preserve"> PAGEREF _Toc363999048 \h </w:instrText>
      </w:r>
      <w:r w:rsidRPr="005E36DC">
        <w:rPr>
          <w:rFonts w:cs="Tahoma"/>
        </w:rPr>
      </w:r>
      <w:r w:rsidRPr="005E36DC">
        <w:rPr>
          <w:rFonts w:cs="Tahoma"/>
        </w:rPr>
        <w:fldChar w:fldCharType="separate"/>
      </w:r>
      <w:r w:rsidR="00DC4771">
        <w:rPr>
          <w:rFonts w:cs="Tahoma"/>
          <w:lang w:val="de-DE"/>
        </w:rPr>
        <w:t>149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vertAlign w:val="superscript"/>
        </w:rPr>
        <w:t>52</w:t>
      </w:r>
      <w:r w:rsidRPr="005E36DC">
        <w:rPr>
          <w:rFonts w:cs="Tahoma"/>
        </w:rPr>
        <w:t xml:space="preserve"> Exchange Hosted Archive (Nutzer-AL), Exchange Hosted Archive Extra Storage (Add-on-AL)</w:t>
      </w:r>
      <w:r w:rsidRPr="005E36DC">
        <w:rPr>
          <w:rFonts w:cs="Tahoma"/>
        </w:rPr>
        <w:tab/>
      </w:r>
      <w:r w:rsidRPr="005E36DC">
        <w:rPr>
          <w:rFonts w:cs="Tahoma"/>
        </w:rPr>
        <w:fldChar w:fldCharType="begin"/>
      </w:r>
      <w:r w:rsidRPr="005E36DC">
        <w:rPr>
          <w:rFonts w:cs="Tahoma"/>
        </w:rPr>
        <w:instrText xml:space="preserve"> PAGEREF _Toc363999049 \h </w:instrText>
      </w:r>
      <w:r w:rsidRPr="005E36DC">
        <w:rPr>
          <w:rFonts w:cs="Tahoma"/>
        </w:rPr>
      </w:r>
      <w:r w:rsidRPr="005E36DC">
        <w:rPr>
          <w:rFonts w:cs="Tahoma"/>
        </w:rPr>
        <w:fldChar w:fldCharType="separate"/>
      </w:r>
      <w:r w:rsidR="00DC4771">
        <w:rPr>
          <w:rFonts w:cs="Tahoma"/>
        </w:rPr>
        <w:t>149</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vertAlign w:val="superscript"/>
          <w:lang w:val="de-DE"/>
        </w:rPr>
        <w:t>53</w:t>
      </w:r>
      <w:r w:rsidRPr="005E36DC">
        <w:rPr>
          <w:rFonts w:cs="Tahoma"/>
          <w:lang w:val="de-DE"/>
        </w:rPr>
        <w:t xml:space="preserve"> Exchange Hosted Encryption (Nutzer-AL)</w:t>
      </w:r>
      <w:r w:rsidRPr="005E36DC">
        <w:rPr>
          <w:rFonts w:cs="Tahoma"/>
          <w:lang w:val="de-DE"/>
        </w:rPr>
        <w:tab/>
      </w:r>
      <w:r w:rsidRPr="005E36DC">
        <w:rPr>
          <w:rFonts w:cs="Tahoma"/>
        </w:rPr>
        <w:fldChar w:fldCharType="begin"/>
      </w:r>
      <w:r w:rsidRPr="005E36DC">
        <w:rPr>
          <w:rFonts w:cs="Tahoma"/>
          <w:lang w:val="de-DE"/>
        </w:rPr>
        <w:instrText xml:space="preserve"> PAGEREF _Toc363999050 \h </w:instrText>
      </w:r>
      <w:r w:rsidRPr="005E36DC">
        <w:rPr>
          <w:rFonts w:cs="Tahoma"/>
        </w:rPr>
      </w:r>
      <w:r w:rsidRPr="005E36DC">
        <w:rPr>
          <w:rFonts w:cs="Tahoma"/>
        </w:rPr>
        <w:fldChar w:fldCharType="separate"/>
      </w:r>
      <w:r w:rsidR="00DC4771">
        <w:rPr>
          <w:rFonts w:cs="Tahoma"/>
          <w:lang w:val="de-DE"/>
        </w:rPr>
        <w:t>150</w:t>
      </w:r>
      <w:r w:rsidRPr="005E36DC">
        <w:rPr>
          <w:rFonts w:cs="Tahoma"/>
        </w:rPr>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54</w:t>
      </w:r>
      <w:r w:rsidRPr="00AC6E9B">
        <w:rPr>
          <w:lang w:val="de-DE"/>
        </w:rPr>
        <w:t xml:space="preserve"> Exchange Online Kiosk (Nutzer-AL)</w:t>
      </w:r>
      <w:r w:rsidRPr="00AC6E9B">
        <w:rPr>
          <w:lang w:val="de-DE"/>
        </w:rPr>
        <w:tab/>
      </w:r>
      <w:r w:rsidRPr="005E36DC">
        <w:fldChar w:fldCharType="begin"/>
      </w:r>
      <w:r w:rsidRPr="00AC6E9B">
        <w:rPr>
          <w:lang w:val="de-DE"/>
        </w:rPr>
        <w:instrText xml:space="preserve"> PAGEREF _Toc363999051 \h </w:instrText>
      </w:r>
      <w:r w:rsidRPr="005E36DC">
        <w:fldChar w:fldCharType="separate"/>
      </w:r>
      <w:r w:rsidR="00DC4771">
        <w:rPr>
          <w:lang w:val="de-DE"/>
        </w:rPr>
        <w:t>150</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55</w:t>
      </w:r>
      <w:r w:rsidRPr="00AC6E9B">
        <w:rPr>
          <w:caps/>
          <w:lang w:val="de-DE"/>
        </w:rPr>
        <w:t xml:space="preserve"> </w:t>
      </w:r>
      <w:r w:rsidRPr="00AC6E9B">
        <w:rPr>
          <w:lang w:val="de-DE"/>
        </w:rPr>
        <w:t>Exchange Online Plan 1</w:t>
      </w:r>
      <w:r w:rsidRPr="00AC6E9B">
        <w:rPr>
          <w:lang w:val="de-DE"/>
        </w:rPr>
        <w:tab/>
      </w:r>
      <w:r w:rsidRPr="005E36DC">
        <w:fldChar w:fldCharType="begin"/>
      </w:r>
      <w:r w:rsidRPr="00AC6E9B">
        <w:rPr>
          <w:lang w:val="de-DE"/>
        </w:rPr>
        <w:instrText xml:space="preserve"> PAGEREF _Toc363999052 \h </w:instrText>
      </w:r>
      <w:r w:rsidRPr="005E36DC">
        <w:fldChar w:fldCharType="separate"/>
      </w:r>
      <w:r w:rsidR="00DC4771">
        <w:rPr>
          <w:lang w:val="de-DE"/>
        </w:rPr>
        <w:t>150</w:t>
      </w:r>
      <w:r w:rsidRPr="005E36DC">
        <w:fldChar w:fldCharType="end"/>
      </w:r>
    </w:p>
    <w:p w:rsidR="005E36DC" w:rsidRPr="005E36DC" w:rsidRDefault="005E36DC">
      <w:pPr>
        <w:pStyle w:val="TOC2"/>
        <w:rPr>
          <w:rFonts w:eastAsiaTheme="minorEastAsia" w:cs="Tahoma"/>
          <w:sz w:val="22"/>
          <w:szCs w:val="22"/>
          <w:lang w:val="de-DE" w:eastAsia="zh-CN"/>
        </w:rPr>
      </w:pPr>
      <w:r w:rsidRPr="005E36DC">
        <w:rPr>
          <w:rFonts w:cs="Tahoma"/>
          <w:caps/>
          <w:vertAlign w:val="superscript"/>
          <w:lang w:val="de-DE"/>
        </w:rPr>
        <w:t>56</w:t>
      </w:r>
      <w:r w:rsidRPr="005E36DC">
        <w:rPr>
          <w:rFonts w:cs="Tahoma"/>
          <w:lang w:val="de-DE"/>
        </w:rPr>
        <w:t xml:space="preserve"> Exchange Online Plan 2</w:t>
      </w:r>
      <w:r w:rsidRPr="005E36DC">
        <w:rPr>
          <w:rFonts w:cs="Tahoma"/>
          <w:lang w:val="de-DE"/>
        </w:rPr>
        <w:tab/>
      </w:r>
      <w:r w:rsidRPr="005E36DC">
        <w:rPr>
          <w:rFonts w:cs="Tahoma"/>
        </w:rPr>
        <w:fldChar w:fldCharType="begin"/>
      </w:r>
      <w:r w:rsidRPr="005E36DC">
        <w:rPr>
          <w:rFonts w:cs="Tahoma"/>
          <w:lang w:val="de-DE"/>
        </w:rPr>
        <w:instrText xml:space="preserve"> PAGEREF _Toc363999053 \h </w:instrText>
      </w:r>
      <w:r w:rsidRPr="005E36DC">
        <w:rPr>
          <w:rFonts w:cs="Tahoma"/>
        </w:rPr>
      </w:r>
      <w:r w:rsidRPr="005E36DC">
        <w:rPr>
          <w:rFonts w:cs="Tahoma"/>
        </w:rPr>
        <w:fldChar w:fldCharType="separate"/>
      </w:r>
      <w:r w:rsidR="00DC4771">
        <w:rPr>
          <w:rFonts w:cs="Tahoma"/>
          <w:lang w:val="de-DE"/>
        </w:rPr>
        <w:t>151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caps/>
          <w:vertAlign w:val="superscript"/>
          <w:lang w:val="de-DE"/>
        </w:rPr>
        <w:t>57</w:t>
      </w:r>
      <w:r w:rsidRPr="005E36DC">
        <w:rPr>
          <w:rFonts w:cs="Tahoma"/>
          <w:caps/>
          <w:lang w:val="de-DE"/>
        </w:rPr>
        <w:t xml:space="preserve"> </w:t>
      </w:r>
      <w:r w:rsidRPr="005E36DC">
        <w:rPr>
          <w:rFonts w:cs="Tahoma"/>
          <w:lang w:val="de-DE"/>
        </w:rPr>
        <w:t>Exchange Online Protection (Nutzer-AL)</w:t>
      </w:r>
      <w:r w:rsidRPr="005E36DC">
        <w:rPr>
          <w:rFonts w:cs="Tahoma"/>
          <w:lang w:val="de-DE"/>
        </w:rPr>
        <w:tab/>
      </w:r>
      <w:r w:rsidRPr="005E36DC">
        <w:rPr>
          <w:rFonts w:cs="Tahoma"/>
        </w:rPr>
        <w:fldChar w:fldCharType="begin"/>
      </w:r>
      <w:r w:rsidRPr="005E36DC">
        <w:rPr>
          <w:rFonts w:cs="Tahoma"/>
          <w:lang w:val="de-DE"/>
        </w:rPr>
        <w:instrText xml:space="preserve"> PAGEREF _Toc363999054 \h </w:instrText>
      </w:r>
      <w:r w:rsidRPr="005E36DC">
        <w:rPr>
          <w:rFonts w:cs="Tahoma"/>
        </w:rPr>
      </w:r>
      <w:r w:rsidRPr="005E36DC">
        <w:rPr>
          <w:rFonts w:cs="Tahoma"/>
        </w:rPr>
        <w:fldChar w:fldCharType="separate"/>
      </w:r>
      <w:r w:rsidR="00DC4771">
        <w:rPr>
          <w:rFonts w:cs="Tahoma"/>
          <w:lang w:val="de-DE"/>
        </w:rPr>
        <w:t>151</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caps/>
          <w:vertAlign w:val="superscript"/>
          <w:lang w:val="de-DE"/>
        </w:rPr>
        <w:t>58</w:t>
      </w:r>
      <w:r w:rsidRPr="005E36DC">
        <w:rPr>
          <w:rFonts w:cs="Tahoma"/>
          <w:caps/>
          <w:lang w:val="de-DE"/>
        </w:rPr>
        <w:t xml:space="preserve"> </w:t>
      </w:r>
      <w:r w:rsidRPr="005E36DC">
        <w:rPr>
          <w:rFonts w:cs="Tahoma"/>
          <w:lang w:val="de-DE"/>
        </w:rPr>
        <w:t>Exchange Server 2013 Enterprise und Standard Editions</w:t>
      </w:r>
      <w:r w:rsidRPr="005E36DC">
        <w:rPr>
          <w:rFonts w:cs="Tahoma"/>
          <w:lang w:val="de-DE"/>
        </w:rPr>
        <w:tab/>
      </w:r>
      <w:r w:rsidRPr="005E36DC">
        <w:rPr>
          <w:rFonts w:cs="Tahoma"/>
        </w:rPr>
        <w:fldChar w:fldCharType="begin"/>
      </w:r>
      <w:r w:rsidRPr="005E36DC">
        <w:rPr>
          <w:rFonts w:cs="Tahoma"/>
          <w:lang w:val="de-DE"/>
        </w:rPr>
        <w:instrText xml:space="preserve"> PAGEREF _Toc363999055 \h </w:instrText>
      </w:r>
      <w:r w:rsidRPr="005E36DC">
        <w:rPr>
          <w:rFonts w:cs="Tahoma"/>
        </w:rPr>
      </w:r>
      <w:r w:rsidRPr="005E36DC">
        <w:rPr>
          <w:rFonts w:cs="Tahoma"/>
        </w:rPr>
        <w:fldChar w:fldCharType="separate"/>
      </w:r>
      <w:r w:rsidR="00DC4771">
        <w:rPr>
          <w:rFonts w:cs="Tahoma"/>
          <w:lang w:val="de-DE"/>
        </w:rPr>
        <w:t>152</w:t>
      </w:r>
      <w:r w:rsidRPr="005E36DC">
        <w:rPr>
          <w:rFonts w:cs="Tahoma"/>
        </w:rPr>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59</w:t>
      </w:r>
      <w:r w:rsidRPr="00AC6E9B">
        <w:rPr>
          <w:lang w:val="de-DE"/>
        </w:rPr>
        <w:t xml:space="preserve"> Exchange Server 2010 Standard-CAL</w:t>
      </w:r>
      <w:r w:rsidRPr="00AC6E9B">
        <w:rPr>
          <w:lang w:val="de-DE"/>
        </w:rPr>
        <w:tab/>
      </w:r>
      <w:r w:rsidRPr="005E36DC">
        <w:fldChar w:fldCharType="begin"/>
      </w:r>
      <w:r w:rsidRPr="00AC6E9B">
        <w:rPr>
          <w:lang w:val="de-DE"/>
        </w:rPr>
        <w:instrText xml:space="preserve"> PAGEREF _Toc363999056 \h </w:instrText>
      </w:r>
      <w:r w:rsidRPr="005E36DC">
        <w:fldChar w:fldCharType="separate"/>
      </w:r>
      <w:r w:rsidR="00DC4771">
        <w:rPr>
          <w:lang w:val="de-DE"/>
        </w:rPr>
        <w:t>153</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60</w:t>
      </w:r>
      <w:r w:rsidRPr="00051083">
        <w:t xml:space="preserve"> Forefront Endpoint Protection</w:t>
      </w:r>
      <w:r w:rsidRPr="00051083">
        <w:tab/>
      </w:r>
      <w:r w:rsidRPr="005E36DC">
        <w:fldChar w:fldCharType="begin"/>
      </w:r>
      <w:r w:rsidRPr="00051083">
        <w:instrText xml:space="preserve"> PAGEREF _Toc363999057 \h </w:instrText>
      </w:r>
      <w:r w:rsidRPr="005E36DC">
        <w:fldChar w:fldCharType="separate"/>
      </w:r>
      <w:r w:rsidR="00DC4771">
        <w:t>153</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61</w:t>
      </w:r>
      <w:r w:rsidRPr="00051083">
        <w:rPr>
          <w:caps/>
        </w:rPr>
        <w:t xml:space="preserve"> </w:t>
      </w:r>
      <w:r w:rsidRPr="00051083">
        <w:t>Forefront Identity Manager 2010 R2</w:t>
      </w:r>
      <w:r w:rsidRPr="00051083">
        <w:tab/>
      </w:r>
      <w:r w:rsidRPr="005E36DC">
        <w:fldChar w:fldCharType="begin"/>
      </w:r>
      <w:r w:rsidRPr="00051083">
        <w:instrText xml:space="preserve"> PAGEREF _Toc363999058 \h </w:instrText>
      </w:r>
      <w:r w:rsidRPr="005E36DC">
        <w:fldChar w:fldCharType="separate"/>
      </w:r>
      <w:r w:rsidR="00DC4771">
        <w:t>153</w:t>
      </w:r>
      <w:r w:rsidRPr="005E36DC">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62</w:t>
      </w:r>
      <w:r w:rsidRPr="005E36DC">
        <w:rPr>
          <w:rFonts w:cs="Tahoma"/>
        </w:rPr>
        <w:t xml:space="preserve"> Forefront Identity Manager 2010 – Windows Live Edition</w:t>
      </w:r>
      <w:r w:rsidRPr="005E36DC">
        <w:rPr>
          <w:rFonts w:cs="Tahoma"/>
        </w:rPr>
        <w:tab/>
      </w:r>
      <w:r w:rsidRPr="005E36DC">
        <w:rPr>
          <w:rFonts w:cs="Tahoma"/>
        </w:rPr>
        <w:fldChar w:fldCharType="begin"/>
      </w:r>
      <w:r w:rsidRPr="005E36DC">
        <w:rPr>
          <w:rFonts w:cs="Tahoma"/>
        </w:rPr>
        <w:instrText xml:space="preserve"> PAGEREF _Toc363999059 \h </w:instrText>
      </w:r>
      <w:r w:rsidRPr="005E36DC">
        <w:rPr>
          <w:rFonts w:cs="Tahoma"/>
        </w:rPr>
      </w:r>
      <w:r w:rsidRPr="005E36DC">
        <w:rPr>
          <w:rFonts w:cs="Tahoma"/>
        </w:rPr>
        <w:fldChar w:fldCharType="separate"/>
      </w:r>
      <w:r w:rsidR="00DC4771">
        <w:rPr>
          <w:rFonts w:cs="Tahoma"/>
        </w:rPr>
        <w:t>153</w:t>
      </w:r>
      <w:r w:rsidRPr="005E36DC">
        <w:rPr>
          <w:rFonts w:cs="Tahoma"/>
        </w:rPr>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63</w:t>
      </w:r>
      <w:r w:rsidRPr="00AC6E9B">
        <w:rPr>
          <w:lang w:val="de-DE"/>
        </w:rPr>
        <w:t xml:space="preserve"> Forefront Online Protection für Exchange (Geräte- und Nutzer-AL)</w:t>
      </w:r>
      <w:r w:rsidRPr="00AC6E9B">
        <w:rPr>
          <w:lang w:val="de-DE"/>
        </w:rPr>
        <w:tab/>
      </w:r>
      <w:r w:rsidRPr="005E36DC">
        <w:fldChar w:fldCharType="begin"/>
      </w:r>
      <w:r w:rsidRPr="00AC6E9B">
        <w:rPr>
          <w:lang w:val="de-DE"/>
        </w:rPr>
        <w:instrText xml:space="preserve"> PAGEREF _Toc363999060 \h </w:instrText>
      </w:r>
      <w:r w:rsidRPr="005E36DC">
        <w:fldChar w:fldCharType="separate"/>
      </w:r>
      <w:r w:rsidR="00DC4771">
        <w:rPr>
          <w:lang w:val="de-DE"/>
        </w:rPr>
        <w:t>154</w:t>
      </w:r>
      <w:r w:rsidRPr="005E36DC">
        <w:fldChar w:fldCharType="end"/>
      </w:r>
    </w:p>
    <w:p w:rsidR="005E36DC" w:rsidRPr="00AC6E9B" w:rsidRDefault="005E36DC" w:rsidP="00A56539">
      <w:pPr>
        <w:pStyle w:val="TOC3"/>
        <w:ind w:left="180" w:hanging="180"/>
        <w:rPr>
          <w:rFonts w:eastAsiaTheme="minorEastAsia"/>
          <w:sz w:val="22"/>
          <w:szCs w:val="22"/>
          <w:lang w:val="de-DE" w:eastAsia="zh-CN"/>
        </w:rPr>
      </w:pPr>
      <w:r w:rsidRPr="00AC6E9B">
        <w:rPr>
          <w:caps/>
          <w:vertAlign w:val="superscript"/>
          <w:lang w:val="de-DE"/>
        </w:rPr>
        <w:t>64</w:t>
      </w:r>
      <w:r w:rsidRPr="00AC6E9B">
        <w:rPr>
          <w:lang w:val="de-DE"/>
        </w:rPr>
        <w:t xml:space="preserve"> Forefront Protection 2010 für Exchange Server (Geräte- und Nutzer-AL), Forefront Protection 2010 for SharePoint (Geräte- und Nutzer-AL) und Forefront Protection 2010 for Internet Sites (Add-On-AL)</w:t>
      </w:r>
      <w:r w:rsidRPr="00AC6E9B">
        <w:rPr>
          <w:lang w:val="de-DE"/>
        </w:rPr>
        <w:tab/>
      </w:r>
      <w:r w:rsidRPr="005E36DC">
        <w:fldChar w:fldCharType="begin"/>
      </w:r>
      <w:r w:rsidRPr="00AC6E9B">
        <w:rPr>
          <w:lang w:val="de-DE"/>
        </w:rPr>
        <w:instrText xml:space="preserve"> PAGEREF _Toc363999061 \h </w:instrText>
      </w:r>
      <w:r w:rsidRPr="005E36DC">
        <w:fldChar w:fldCharType="separate"/>
      </w:r>
      <w:r w:rsidR="00DC4771">
        <w:rPr>
          <w:lang w:val="de-DE"/>
        </w:rPr>
        <w:t>154</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65</w:t>
      </w:r>
      <w:r w:rsidRPr="00AC6E9B">
        <w:rPr>
          <w:lang w:val="de-DE"/>
        </w:rPr>
        <w:t xml:space="preserve"> Forefront Protection Suite (Gerät und Nutzer)</w:t>
      </w:r>
      <w:r w:rsidRPr="00AC6E9B">
        <w:rPr>
          <w:lang w:val="de-DE"/>
        </w:rPr>
        <w:tab/>
      </w:r>
      <w:r w:rsidRPr="005E36DC">
        <w:fldChar w:fldCharType="begin"/>
      </w:r>
      <w:r w:rsidRPr="00AC6E9B">
        <w:rPr>
          <w:lang w:val="de-DE"/>
        </w:rPr>
        <w:instrText xml:space="preserve"> PAGEREF _Toc363999062 \h </w:instrText>
      </w:r>
      <w:r w:rsidRPr="005E36DC">
        <w:fldChar w:fldCharType="separate"/>
      </w:r>
      <w:r w:rsidR="00DC4771">
        <w:rPr>
          <w:lang w:val="de-DE"/>
        </w:rPr>
        <w:t>155</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66</w:t>
      </w:r>
      <w:r w:rsidRPr="00051083">
        <w:rPr>
          <w:caps/>
        </w:rPr>
        <w:t xml:space="preserve"> </w:t>
      </w:r>
      <w:r w:rsidRPr="00051083">
        <w:t>Forefront Security for Office Communications Server (Nutzer- und Geräte-AL)</w:t>
      </w:r>
      <w:r w:rsidRPr="00051083">
        <w:tab/>
      </w:r>
      <w:r w:rsidRPr="005E36DC">
        <w:fldChar w:fldCharType="begin"/>
      </w:r>
      <w:r w:rsidRPr="00051083">
        <w:instrText xml:space="preserve"> PAGEREF _Toc363999063 \h </w:instrText>
      </w:r>
      <w:r w:rsidRPr="005E36DC">
        <w:fldChar w:fldCharType="separate"/>
      </w:r>
      <w:r w:rsidR="00DC4771">
        <w:t>155</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67</w:t>
      </w:r>
      <w:r w:rsidRPr="00051083">
        <w:rPr>
          <w:caps/>
        </w:rPr>
        <w:t xml:space="preserve"> </w:t>
      </w:r>
      <w:r w:rsidRPr="00051083">
        <w:t>Forefront Threat Management Gateway Web Protection Service</w:t>
      </w:r>
      <w:r w:rsidRPr="00051083">
        <w:tab/>
      </w:r>
      <w:r w:rsidRPr="005E36DC">
        <w:fldChar w:fldCharType="begin"/>
      </w:r>
      <w:r w:rsidRPr="00051083">
        <w:instrText xml:space="preserve"> PAGEREF _Toc363999064 \h </w:instrText>
      </w:r>
      <w:r w:rsidRPr="005E36DC">
        <w:fldChar w:fldCharType="separate"/>
      </w:r>
      <w:r w:rsidR="00DC4771">
        <w:t>155</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68</w:t>
      </w:r>
      <w:r w:rsidRPr="00051083">
        <w:rPr>
          <w:caps/>
        </w:rPr>
        <w:t xml:space="preserve"> </w:t>
      </w:r>
      <w:r w:rsidRPr="00051083">
        <w:t>Forefront Unified Access Gateway 2010</w:t>
      </w:r>
      <w:r w:rsidRPr="00051083">
        <w:tab/>
      </w:r>
      <w:r w:rsidRPr="005E36DC">
        <w:fldChar w:fldCharType="begin"/>
      </w:r>
      <w:r w:rsidRPr="00051083">
        <w:instrText xml:space="preserve"> PAGEREF _Toc363999065 \h </w:instrText>
      </w:r>
      <w:r w:rsidRPr="005E36DC">
        <w:fldChar w:fldCharType="separate"/>
      </w:r>
      <w:r w:rsidR="00DC4771">
        <w:t>155</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69</w:t>
      </w:r>
      <w:r w:rsidRPr="00051083">
        <w:rPr>
          <w:caps/>
        </w:rPr>
        <w:t xml:space="preserve"> </w:t>
      </w:r>
      <w:r w:rsidRPr="00051083">
        <w:t>HPC Pack 2008 R2 Enterprise</w:t>
      </w:r>
      <w:r w:rsidRPr="00051083">
        <w:tab/>
      </w:r>
      <w:r w:rsidRPr="005E36DC">
        <w:fldChar w:fldCharType="begin"/>
      </w:r>
      <w:r w:rsidRPr="00051083">
        <w:instrText xml:space="preserve"> PAGEREF _Toc363999066 \h </w:instrText>
      </w:r>
      <w:r w:rsidRPr="005E36DC">
        <w:fldChar w:fldCharType="separate"/>
      </w:r>
      <w:r w:rsidR="00DC4771">
        <w:t>156</w:t>
      </w:r>
      <w:r w:rsidRPr="005E36DC">
        <w:fldChar w:fldCharType="end"/>
      </w:r>
    </w:p>
    <w:p w:rsidR="005E36DC" w:rsidRPr="005E36DC" w:rsidRDefault="005E36DC">
      <w:pPr>
        <w:pStyle w:val="TOC2"/>
        <w:rPr>
          <w:rFonts w:eastAsiaTheme="minorEastAsia" w:cs="Tahoma"/>
          <w:sz w:val="22"/>
          <w:szCs w:val="22"/>
          <w:lang w:val="de-DE" w:eastAsia="zh-CN"/>
        </w:rPr>
      </w:pPr>
      <w:r w:rsidRPr="005E36DC">
        <w:rPr>
          <w:rFonts w:cs="Tahoma"/>
          <w:caps/>
          <w:vertAlign w:val="superscript"/>
          <w:lang w:val="de-DE"/>
        </w:rPr>
        <w:t>70</w:t>
      </w:r>
      <w:r w:rsidRPr="005E36DC">
        <w:rPr>
          <w:rFonts w:cs="Tahoma"/>
          <w:lang w:val="de-DE"/>
        </w:rPr>
        <w:t xml:space="preserve"> Lync Online Plan 1, 2, und 3</w:t>
      </w:r>
      <w:r w:rsidRPr="005E36DC">
        <w:rPr>
          <w:rFonts w:cs="Tahoma"/>
          <w:lang w:val="de-DE"/>
        </w:rPr>
        <w:tab/>
      </w:r>
      <w:r w:rsidRPr="005E36DC">
        <w:rPr>
          <w:rFonts w:cs="Tahoma"/>
        </w:rPr>
        <w:fldChar w:fldCharType="begin"/>
      </w:r>
      <w:r w:rsidRPr="005E36DC">
        <w:rPr>
          <w:rFonts w:cs="Tahoma"/>
          <w:lang w:val="de-DE"/>
        </w:rPr>
        <w:instrText xml:space="preserve"> PAGEREF _Toc363999067 \h </w:instrText>
      </w:r>
      <w:r w:rsidRPr="005E36DC">
        <w:rPr>
          <w:rFonts w:cs="Tahoma"/>
        </w:rPr>
      </w:r>
      <w:r w:rsidRPr="005E36DC">
        <w:rPr>
          <w:rFonts w:cs="Tahoma"/>
        </w:rPr>
        <w:fldChar w:fldCharType="separate"/>
      </w:r>
      <w:r w:rsidR="00DC4771">
        <w:rPr>
          <w:rFonts w:cs="Tahoma"/>
          <w:lang w:val="de-DE"/>
        </w:rPr>
        <w:t>156</w:t>
      </w:r>
      <w:r w:rsidRPr="005E36DC">
        <w:rPr>
          <w:rFonts w:cs="Tahoma"/>
        </w:rPr>
        <w:fldChar w:fldCharType="end"/>
      </w:r>
    </w:p>
    <w:p w:rsidR="005E36DC" w:rsidRPr="005E36DC" w:rsidRDefault="005E36DC">
      <w:pPr>
        <w:pStyle w:val="TOC2"/>
        <w:rPr>
          <w:rFonts w:eastAsiaTheme="minorEastAsia" w:cs="Tahoma"/>
          <w:sz w:val="22"/>
          <w:szCs w:val="22"/>
          <w:lang w:val="de-DE" w:eastAsia="zh-CN"/>
        </w:rPr>
      </w:pPr>
      <w:r w:rsidRPr="005E36DC">
        <w:rPr>
          <w:rFonts w:cs="Tahoma"/>
          <w:caps/>
          <w:vertAlign w:val="superscript"/>
          <w:lang w:val="de-DE"/>
        </w:rPr>
        <w:t>71</w:t>
      </w:r>
      <w:r w:rsidRPr="005E36DC">
        <w:rPr>
          <w:rFonts w:cs="Tahoma"/>
          <w:caps/>
          <w:lang w:val="de-DE"/>
        </w:rPr>
        <w:t xml:space="preserve"> </w:t>
      </w:r>
      <w:r w:rsidRPr="005E36DC">
        <w:rPr>
          <w:rFonts w:cs="Tahoma"/>
          <w:lang w:val="de-DE"/>
        </w:rPr>
        <w:t>Lync Server 2013</w:t>
      </w:r>
      <w:r w:rsidRPr="005E36DC">
        <w:rPr>
          <w:rFonts w:cs="Tahoma"/>
          <w:lang w:val="de-DE"/>
        </w:rPr>
        <w:tab/>
      </w:r>
      <w:r w:rsidRPr="005E36DC">
        <w:rPr>
          <w:rFonts w:cs="Tahoma"/>
        </w:rPr>
        <w:fldChar w:fldCharType="begin"/>
      </w:r>
      <w:r w:rsidRPr="005E36DC">
        <w:rPr>
          <w:rFonts w:cs="Tahoma"/>
          <w:lang w:val="de-DE"/>
        </w:rPr>
        <w:instrText xml:space="preserve"> PAGEREF _Toc363999068 \h </w:instrText>
      </w:r>
      <w:r w:rsidRPr="005E36DC">
        <w:rPr>
          <w:rFonts w:cs="Tahoma"/>
        </w:rPr>
      </w:r>
      <w:r w:rsidRPr="005E36DC">
        <w:rPr>
          <w:rFonts w:cs="Tahoma"/>
        </w:rPr>
        <w:fldChar w:fldCharType="separate"/>
      </w:r>
      <w:r w:rsidR="00DC4771">
        <w:rPr>
          <w:rFonts w:cs="Tahoma"/>
          <w:lang w:val="de-DE"/>
        </w:rPr>
        <w:t>157</w:t>
      </w:r>
      <w:r w:rsidRPr="005E36DC">
        <w:rPr>
          <w:rFonts w:cs="Tahoma"/>
        </w:rPr>
        <w:fldChar w:fldCharType="end"/>
      </w:r>
    </w:p>
    <w:p w:rsidR="005E36DC" w:rsidRPr="00AC6E9B" w:rsidRDefault="005E36DC" w:rsidP="00A56539">
      <w:pPr>
        <w:pStyle w:val="TOC3"/>
        <w:rPr>
          <w:rFonts w:eastAsiaTheme="minorEastAsia"/>
          <w:sz w:val="22"/>
          <w:szCs w:val="22"/>
          <w:lang w:val="de-DE" w:eastAsia="zh-CN"/>
        </w:rPr>
      </w:pPr>
      <w:r w:rsidRPr="00AC6E9B">
        <w:rPr>
          <w:vertAlign w:val="superscript"/>
          <w:lang w:val="de-DE"/>
        </w:rPr>
        <w:t>72</w:t>
      </w:r>
      <w:r w:rsidRPr="00AC6E9B">
        <w:rPr>
          <w:lang w:val="de-DE"/>
        </w:rPr>
        <w:t xml:space="preserve"> Microsoft Dynamics AX 2012 R2</w:t>
      </w:r>
      <w:r w:rsidRPr="00AC6E9B">
        <w:rPr>
          <w:lang w:val="de-DE"/>
        </w:rPr>
        <w:tab/>
      </w:r>
      <w:r w:rsidRPr="005E36DC">
        <w:fldChar w:fldCharType="begin"/>
      </w:r>
      <w:r w:rsidRPr="00AC6E9B">
        <w:rPr>
          <w:lang w:val="de-DE"/>
        </w:rPr>
        <w:instrText xml:space="preserve"> PAGEREF _Toc363999069 \h </w:instrText>
      </w:r>
      <w:r w:rsidRPr="005E36DC">
        <w:fldChar w:fldCharType="separate"/>
      </w:r>
      <w:r w:rsidR="00DC4771">
        <w:rPr>
          <w:lang w:val="de-DE"/>
        </w:rPr>
        <w:t>158</w:t>
      </w:r>
      <w:r w:rsidRPr="005E36DC">
        <w:fldChar w:fldCharType="end"/>
      </w:r>
    </w:p>
    <w:p w:rsidR="005E36DC" w:rsidRPr="00AC6E9B" w:rsidRDefault="005E36DC" w:rsidP="00A56539">
      <w:pPr>
        <w:pStyle w:val="TOC3"/>
        <w:rPr>
          <w:rFonts w:eastAsiaTheme="minorEastAsia"/>
          <w:sz w:val="22"/>
          <w:szCs w:val="22"/>
          <w:lang w:val="de-DE" w:eastAsia="zh-CN"/>
        </w:rPr>
      </w:pPr>
      <w:r w:rsidRPr="00AC6E9B">
        <w:rPr>
          <w:vertAlign w:val="superscript"/>
          <w:lang w:val="de-DE"/>
        </w:rPr>
        <w:t>73</w:t>
      </w:r>
      <w:r w:rsidRPr="00AC6E9B">
        <w:rPr>
          <w:lang w:val="de-DE"/>
        </w:rPr>
        <w:t xml:space="preserve"> Microsoft Dynamics CRM 2011</w:t>
      </w:r>
      <w:r w:rsidRPr="00AC6E9B">
        <w:rPr>
          <w:lang w:val="de-DE"/>
        </w:rPr>
        <w:tab/>
      </w:r>
      <w:r w:rsidRPr="005E36DC">
        <w:fldChar w:fldCharType="begin"/>
      </w:r>
      <w:r w:rsidRPr="00AC6E9B">
        <w:rPr>
          <w:lang w:val="de-DE"/>
        </w:rPr>
        <w:instrText xml:space="preserve"> PAGEREF _Toc363999070 \h </w:instrText>
      </w:r>
      <w:r w:rsidRPr="005E36DC">
        <w:fldChar w:fldCharType="separate"/>
      </w:r>
      <w:r w:rsidR="00DC4771">
        <w:rPr>
          <w:lang w:val="de-DE"/>
        </w:rPr>
        <w:t>160</w:t>
      </w:r>
      <w:r w:rsidRPr="005E36DC">
        <w:fldChar w:fldCharType="end"/>
      </w:r>
    </w:p>
    <w:p w:rsidR="005E36DC" w:rsidRPr="005E36DC" w:rsidRDefault="005E36DC">
      <w:pPr>
        <w:pStyle w:val="TOC2"/>
        <w:rPr>
          <w:rFonts w:eastAsiaTheme="minorEastAsia" w:cs="Tahoma"/>
          <w:sz w:val="22"/>
          <w:szCs w:val="22"/>
          <w:lang w:val="de-DE" w:eastAsia="zh-CN"/>
        </w:rPr>
      </w:pPr>
      <w:r w:rsidRPr="005E36DC">
        <w:rPr>
          <w:rFonts w:cs="Tahoma"/>
          <w:caps/>
          <w:vertAlign w:val="superscript"/>
          <w:lang w:val="de-DE"/>
        </w:rPr>
        <w:t>74</w:t>
      </w:r>
      <w:r w:rsidRPr="005E36DC">
        <w:rPr>
          <w:rFonts w:cs="Tahoma"/>
          <w:caps/>
          <w:lang w:val="de-DE"/>
        </w:rPr>
        <w:t xml:space="preserve"> </w:t>
      </w:r>
      <w:r w:rsidRPr="005E36DC">
        <w:rPr>
          <w:rFonts w:cs="Tahoma"/>
          <w:lang w:val="de-DE"/>
        </w:rPr>
        <w:t>Microsoft Dynamics CRM 2011 Server</w:t>
      </w:r>
      <w:r w:rsidRPr="005E36DC">
        <w:rPr>
          <w:rFonts w:cs="Tahoma"/>
          <w:lang w:val="de-DE"/>
        </w:rPr>
        <w:tab/>
      </w:r>
      <w:r w:rsidRPr="005E36DC">
        <w:rPr>
          <w:rFonts w:cs="Tahoma"/>
        </w:rPr>
        <w:fldChar w:fldCharType="begin"/>
      </w:r>
      <w:r w:rsidRPr="005E36DC">
        <w:rPr>
          <w:rFonts w:cs="Tahoma"/>
          <w:lang w:val="de-DE"/>
        </w:rPr>
        <w:instrText xml:space="preserve"> PAGEREF _Toc363999071 \h </w:instrText>
      </w:r>
      <w:r w:rsidRPr="005E36DC">
        <w:rPr>
          <w:rFonts w:cs="Tahoma"/>
        </w:rPr>
      </w:r>
      <w:r w:rsidRPr="005E36DC">
        <w:rPr>
          <w:rFonts w:cs="Tahoma"/>
        </w:rPr>
        <w:fldChar w:fldCharType="separate"/>
      </w:r>
      <w:r w:rsidR="00DC4771">
        <w:rPr>
          <w:rFonts w:cs="Tahoma"/>
          <w:lang w:val="de-DE"/>
        </w:rPr>
        <w:t>168</w:t>
      </w:r>
      <w:r w:rsidRPr="005E36DC">
        <w:rPr>
          <w:rFonts w:cs="Tahoma"/>
        </w:rPr>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75</w:t>
      </w:r>
      <w:r w:rsidRPr="00AC6E9B">
        <w:rPr>
          <w:lang w:val="de-DE"/>
        </w:rPr>
        <w:t xml:space="preserve"> Microsoft Learning MCP Prüfungsgutscheine</w:t>
      </w:r>
      <w:r w:rsidRPr="00AC6E9B">
        <w:rPr>
          <w:lang w:val="de-DE"/>
        </w:rPr>
        <w:tab/>
      </w:r>
      <w:r w:rsidRPr="005E36DC">
        <w:fldChar w:fldCharType="begin"/>
      </w:r>
      <w:r w:rsidRPr="00AC6E9B">
        <w:rPr>
          <w:lang w:val="de-DE"/>
        </w:rPr>
        <w:instrText xml:space="preserve"> PAGEREF _Toc363999072 \h </w:instrText>
      </w:r>
      <w:r w:rsidRPr="005E36DC">
        <w:fldChar w:fldCharType="separate"/>
      </w:r>
      <w:r w:rsidR="00DC4771">
        <w:rPr>
          <w:lang w:val="de-DE"/>
        </w:rPr>
        <w:t>169</w:t>
      </w:r>
      <w:r w:rsidRPr="005E36DC">
        <w:fldChar w:fldCharType="end"/>
      </w:r>
    </w:p>
    <w:p w:rsidR="005E36DC" w:rsidRPr="005E36DC" w:rsidRDefault="005E36DC">
      <w:pPr>
        <w:pStyle w:val="TOC2"/>
        <w:rPr>
          <w:rFonts w:eastAsiaTheme="minorEastAsia" w:cs="Tahoma"/>
          <w:sz w:val="22"/>
          <w:szCs w:val="22"/>
          <w:lang w:val="de-DE" w:eastAsia="zh-CN"/>
        </w:rPr>
      </w:pPr>
      <w:r w:rsidRPr="005E36DC">
        <w:rPr>
          <w:rFonts w:cs="Tahoma"/>
          <w:caps/>
          <w:vertAlign w:val="superscript"/>
          <w:lang w:val="de-DE"/>
        </w:rPr>
        <w:t>76</w:t>
      </w:r>
      <w:r w:rsidRPr="005E36DC">
        <w:rPr>
          <w:rFonts w:cs="Tahoma"/>
          <w:caps/>
          <w:lang w:val="de-DE"/>
        </w:rPr>
        <w:t xml:space="preserve"> </w:t>
      </w:r>
      <w:r w:rsidRPr="005E36DC">
        <w:rPr>
          <w:rFonts w:cs="Tahoma"/>
          <w:lang w:val="de-DE"/>
        </w:rPr>
        <w:t>Office 365 Enterprise K1 (Nutzer-AL)</w:t>
      </w:r>
      <w:r w:rsidRPr="005E36DC">
        <w:rPr>
          <w:rFonts w:cs="Tahoma"/>
          <w:lang w:val="de-DE"/>
        </w:rPr>
        <w:tab/>
      </w:r>
      <w:r w:rsidRPr="005E36DC">
        <w:rPr>
          <w:rFonts w:cs="Tahoma"/>
        </w:rPr>
        <w:fldChar w:fldCharType="begin"/>
      </w:r>
      <w:r w:rsidRPr="005E36DC">
        <w:rPr>
          <w:rFonts w:cs="Tahoma"/>
          <w:lang w:val="de-DE"/>
        </w:rPr>
        <w:instrText xml:space="preserve"> PAGEREF _Toc363999073 \h </w:instrText>
      </w:r>
      <w:r w:rsidRPr="005E36DC">
        <w:rPr>
          <w:rFonts w:cs="Tahoma"/>
        </w:rPr>
      </w:r>
      <w:r w:rsidRPr="005E36DC">
        <w:rPr>
          <w:rFonts w:cs="Tahoma"/>
        </w:rPr>
        <w:fldChar w:fldCharType="separate"/>
      </w:r>
      <w:r w:rsidR="00DC4771">
        <w:rPr>
          <w:rFonts w:cs="Tahoma"/>
          <w:lang w:val="de-DE"/>
        </w:rPr>
        <w:t>169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77</w:t>
      </w:r>
      <w:r w:rsidRPr="005E36DC">
        <w:rPr>
          <w:rFonts w:cs="Tahoma"/>
        </w:rPr>
        <w:t xml:space="preserve"> Office 365 Government G1, G3, G4</w:t>
      </w:r>
      <w:r w:rsidRPr="005E36DC">
        <w:rPr>
          <w:rFonts w:cs="Tahoma"/>
        </w:rPr>
        <w:tab/>
      </w:r>
      <w:r w:rsidRPr="005E36DC">
        <w:rPr>
          <w:rFonts w:cs="Tahoma"/>
        </w:rPr>
        <w:fldChar w:fldCharType="begin"/>
      </w:r>
      <w:r w:rsidRPr="005E36DC">
        <w:rPr>
          <w:rFonts w:cs="Tahoma"/>
        </w:rPr>
        <w:instrText xml:space="preserve"> PAGEREF _Toc363999074 \h </w:instrText>
      </w:r>
      <w:r w:rsidRPr="005E36DC">
        <w:rPr>
          <w:rFonts w:cs="Tahoma"/>
        </w:rPr>
      </w:r>
      <w:r w:rsidRPr="005E36DC">
        <w:rPr>
          <w:rFonts w:cs="Tahoma"/>
        </w:rPr>
        <w:fldChar w:fldCharType="separate"/>
      </w:r>
      <w:r w:rsidR="00DC4771">
        <w:rPr>
          <w:rFonts w:cs="Tahoma"/>
        </w:rPr>
        <w:t>169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78</w:t>
      </w:r>
      <w:r w:rsidRPr="005E36DC">
        <w:rPr>
          <w:rFonts w:cs="Tahoma"/>
        </w:rPr>
        <w:t xml:space="preserve"> SharePoint Online Plan 1 und 2</w:t>
      </w:r>
      <w:r w:rsidRPr="005E36DC">
        <w:rPr>
          <w:rFonts w:cs="Tahoma"/>
        </w:rPr>
        <w:tab/>
      </w:r>
      <w:r w:rsidRPr="005E36DC">
        <w:rPr>
          <w:rFonts w:cs="Tahoma"/>
        </w:rPr>
        <w:fldChar w:fldCharType="begin"/>
      </w:r>
      <w:r w:rsidRPr="005E36DC">
        <w:rPr>
          <w:rFonts w:cs="Tahoma"/>
        </w:rPr>
        <w:instrText xml:space="preserve"> PAGEREF _Toc363999075 \h </w:instrText>
      </w:r>
      <w:r w:rsidRPr="005E36DC">
        <w:rPr>
          <w:rFonts w:cs="Tahoma"/>
        </w:rPr>
      </w:r>
      <w:r w:rsidRPr="005E36DC">
        <w:rPr>
          <w:rFonts w:cs="Tahoma"/>
        </w:rPr>
        <w:fldChar w:fldCharType="separate"/>
      </w:r>
      <w:r w:rsidR="00DC4771">
        <w:rPr>
          <w:rFonts w:cs="Tahoma"/>
        </w:rPr>
        <w:t>170</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79</w:t>
      </w:r>
      <w:r w:rsidRPr="005E36DC">
        <w:rPr>
          <w:rFonts w:cs="Tahoma"/>
          <w:caps/>
        </w:rPr>
        <w:t xml:space="preserve"> </w:t>
      </w:r>
      <w:r w:rsidRPr="005E36DC">
        <w:rPr>
          <w:rFonts w:cs="Tahoma"/>
        </w:rPr>
        <w:t>SharePoint Server 2013</w:t>
      </w:r>
      <w:r w:rsidRPr="005E36DC">
        <w:rPr>
          <w:rFonts w:cs="Tahoma"/>
        </w:rPr>
        <w:tab/>
      </w:r>
      <w:r w:rsidRPr="005E36DC">
        <w:rPr>
          <w:rFonts w:cs="Tahoma"/>
        </w:rPr>
        <w:fldChar w:fldCharType="begin"/>
      </w:r>
      <w:r w:rsidRPr="005E36DC">
        <w:rPr>
          <w:rFonts w:cs="Tahoma"/>
        </w:rPr>
        <w:instrText xml:space="preserve"> PAGEREF _Toc363999076 \h </w:instrText>
      </w:r>
      <w:r w:rsidRPr="005E36DC">
        <w:rPr>
          <w:rFonts w:cs="Tahoma"/>
        </w:rPr>
      </w:r>
      <w:r w:rsidRPr="005E36DC">
        <w:rPr>
          <w:rFonts w:cs="Tahoma"/>
        </w:rPr>
        <w:fldChar w:fldCharType="separate"/>
      </w:r>
      <w:r w:rsidR="00DC4771">
        <w:rPr>
          <w:rFonts w:cs="Tahoma"/>
        </w:rPr>
        <w:t>171</w:t>
      </w:r>
      <w:r w:rsidRPr="005E36DC">
        <w:rPr>
          <w:rFonts w:cs="Tahoma"/>
        </w:rPr>
        <w:fldChar w:fldCharType="end"/>
      </w:r>
    </w:p>
    <w:p w:rsidR="005E36DC" w:rsidRPr="00051083" w:rsidRDefault="005E36DC" w:rsidP="00A56539">
      <w:pPr>
        <w:pStyle w:val="TOC3"/>
        <w:rPr>
          <w:rFonts w:eastAsiaTheme="minorEastAsia"/>
          <w:sz w:val="22"/>
          <w:szCs w:val="22"/>
          <w:lang w:val="pt-BR" w:eastAsia="zh-CN"/>
        </w:rPr>
      </w:pPr>
      <w:r w:rsidRPr="00051083">
        <w:rPr>
          <w:caps/>
          <w:vertAlign w:val="superscript"/>
          <w:lang w:val="pt-BR"/>
        </w:rPr>
        <w:t>80</w:t>
      </w:r>
      <w:r w:rsidRPr="00051083">
        <w:rPr>
          <w:lang w:val="pt-BR"/>
        </w:rPr>
        <w:t xml:space="preserve"> SQL Server</w:t>
      </w:r>
      <w:r w:rsidR="0069040B" w:rsidRPr="00051083">
        <w:rPr>
          <w:vertAlign w:val="superscript"/>
          <w:lang w:val="pt-BR"/>
        </w:rPr>
        <w:t>®</w:t>
      </w:r>
      <w:r w:rsidRPr="00051083">
        <w:rPr>
          <w:lang w:val="pt-BR"/>
        </w:rPr>
        <w:t xml:space="preserve"> 2008 R2 Datacenter</w:t>
      </w:r>
      <w:r w:rsidRPr="00051083">
        <w:rPr>
          <w:lang w:val="pt-BR"/>
        </w:rPr>
        <w:tab/>
      </w:r>
      <w:r w:rsidRPr="005E36DC">
        <w:fldChar w:fldCharType="begin"/>
      </w:r>
      <w:r w:rsidRPr="00051083">
        <w:rPr>
          <w:lang w:val="pt-BR"/>
        </w:rPr>
        <w:instrText xml:space="preserve"> PAGEREF _Toc363999077 \h </w:instrText>
      </w:r>
      <w:r w:rsidRPr="005E36DC">
        <w:fldChar w:fldCharType="separate"/>
      </w:r>
      <w:r w:rsidR="00DC4771">
        <w:rPr>
          <w:lang w:val="pt-BR"/>
        </w:rPr>
        <w:t>172</w:t>
      </w:r>
      <w:r w:rsidRPr="005E36DC">
        <w:fldChar w:fldCharType="end"/>
      </w:r>
    </w:p>
    <w:p w:rsidR="005E36DC" w:rsidRPr="00051083" w:rsidRDefault="005E36DC" w:rsidP="00A56539">
      <w:pPr>
        <w:pStyle w:val="TOC3"/>
        <w:rPr>
          <w:rFonts w:eastAsiaTheme="minorEastAsia"/>
          <w:sz w:val="22"/>
          <w:szCs w:val="22"/>
          <w:lang w:val="pt-BR" w:eastAsia="zh-CN"/>
        </w:rPr>
      </w:pPr>
      <w:r w:rsidRPr="00051083">
        <w:rPr>
          <w:caps/>
          <w:vertAlign w:val="superscript"/>
          <w:lang w:val="pt-BR"/>
        </w:rPr>
        <w:t>81</w:t>
      </w:r>
      <w:r w:rsidRPr="00051083">
        <w:rPr>
          <w:caps/>
          <w:lang w:val="pt-BR"/>
        </w:rPr>
        <w:t xml:space="preserve"> </w:t>
      </w:r>
      <w:r w:rsidRPr="00051083">
        <w:rPr>
          <w:lang w:val="pt-BR"/>
        </w:rPr>
        <w:t>SQL Server</w:t>
      </w:r>
      <w:r w:rsidR="0069040B" w:rsidRPr="00051083">
        <w:rPr>
          <w:vertAlign w:val="superscript"/>
          <w:lang w:val="pt-BR"/>
        </w:rPr>
        <w:t>®</w:t>
      </w:r>
      <w:r w:rsidRPr="00051083">
        <w:rPr>
          <w:lang w:val="pt-BR"/>
        </w:rPr>
        <w:t xml:space="preserve"> 2008 R2 Small Business</w:t>
      </w:r>
      <w:r w:rsidRPr="00051083">
        <w:rPr>
          <w:lang w:val="pt-BR"/>
        </w:rPr>
        <w:tab/>
      </w:r>
      <w:r w:rsidRPr="005E36DC">
        <w:fldChar w:fldCharType="begin"/>
      </w:r>
      <w:r w:rsidRPr="00051083">
        <w:rPr>
          <w:lang w:val="pt-BR"/>
        </w:rPr>
        <w:instrText xml:space="preserve"> PAGEREF _Toc363999078 \h </w:instrText>
      </w:r>
      <w:r w:rsidRPr="005E36DC">
        <w:fldChar w:fldCharType="separate"/>
      </w:r>
      <w:r w:rsidR="00DC4771">
        <w:rPr>
          <w:lang w:val="pt-BR"/>
        </w:rPr>
        <w:t>175</w:t>
      </w:r>
      <w:r w:rsidRPr="005E36DC">
        <w:fldChar w:fldCharType="end"/>
      </w:r>
    </w:p>
    <w:p w:rsidR="005E36DC" w:rsidRPr="00051083" w:rsidRDefault="005E36DC" w:rsidP="00A56539">
      <w:pPr>
        <w:pStyle w:val="TOC3"/>
        <w:rPr>
          <w:rFonts w:eastAsiaTheme="minorEastAsia"/>
          <w:sz w:val="22"/>
          <w:szCs w:val="22"/>
          <w:lang w:val="pt-BR" w:eastAsia="zh-CN"/>
        </w:rPr>
      </w:pPr>
      <w:r w:rsidRPr="00051083">
        <w:rPr>
          <w:caps/>
          <w:vertAlign w:val="superscript"/>
          <w:lang w:val="pt-BR"/>
        </w:rPr>
        <w:t>82</w:t>
      </w:r>
      <w:r w:rsidRPr="00051083">
        <w:rPr>
          <w:lang w:val="pt-BR"/>
        </w:rPr>
        <w:t xml:space="preserve"> SQL Server</w:t>
      </w:r>
      <w:r w:rsidR="0069040B" w:rsidRPr="00051083">
        <w:rPr>
          <w:vertAlign w:val="superscript"/>
          <w:lang w:val="pt-BR"/>
        </w:rPr>
        <w:t>®</w:t>
      </w:r>
      <w:r w:rsidRPr="00051083">
        <w:rPr>
          <w:lang w:val="pt-BR"/>
        </w:rPr>
        <w:t xml:space="preserve"> 2008 R2 Web-Prozessor</w:t>
      </w:r>
      <w:r w:rsidRPr="00051083">
        <w:rPr>
          <w:lang w:val="pt-BR"/>
        </w:rPr>
        <w:tab/>
      </w:r>
      <w:r w:rsidRPr="005E36DC">
        <w:fldChar w:fldCharType="begin"/>
      </w:r>
      <w:r w:rsidRPr="00051083">
        <w:rPr>
          <w:lang w:val="pt-BR"/>
        </w:rPr>
        <w:instrText xml:space="preserve"> PAGEREF _Toc363999079 \h </w:instrText>
      </w:r>
      <w:r w:rsidRPr="005E36DC">
        <w:fldChar w:fldCharType="separate"/>
      </w:r>
      <w:r w:rsidR="00DC4771">
        <w:rPr>
          <w:lang w:val="pt-BR"/>
        </w:rPr>
        <w:t>175</w:t>
      </w:r>
      <w:r w:rsidRPr="005E36DC">
        <w:fldChar w:fldCharType="end"/>
      </w:r>
    </w:p>
    <w:p w:rsidR="005E36DC" w:rsidRPr="00051083" w:rsidRDefault="005E36DC" w:rsidP="00A56539">
      <w:pPr>
        <w:pStyle w:val="TOC3"/>
        <w:rPr>
          <w:rFonts w:eastAsiaTheme="minorEastAsia"/>
          <w:sz w:val="22"/>
          <w:szCs w:val="22"/>
          <w:lang w:eastAsia="zh-CN"/>
        </w:rPr>
      </w:pPr>
      <w:r w:rsidRPr="00051083">
        <w:rPr>
          <w:vertAlign w:val="superscript"/>
        </w:rPr>
        <w:t>83</w:t>
      </w:r>
      <w:r w:rsidRPr="00051083">
        <w:t xml:space="preserve"> SQL Server</w:t>
      </w:r>
      <w:r w:rsidR="0069040B" w:rsidRPr="00051083">
        <w:rPr>
          <w:vertAlign w:val="superscript"/>
        </w:rPr>
        <w:t>®</w:t>
      </w:r>
      <w:r w:rsidRPr="00051083">
        <w:t xml:space="preserve"> 2008 R2 Workgroup (Add-On für 5 Clients)</w:t>
      </w:r>
      <w:r w:rsidRPr="00051083">
        <w:tab/>
      </w:r>
      <w:r w:rsidRPr="005E36DC">
        <w:fldChar w:fldCharType="begin"/>
      </w:r>
      <w:r w:rsidRPr="00051083">
        <w:instrText xml:space="preserve"> PAGEREF _Toc363999080 \h </w:instrText>
      </w:r>
      <w:r w:rsidRPr="005E36DC">
        <w:fldChar w:fldCharType="separate"/>
      </w:r>
      <w:r w:rsidR="00DC4771">
        <w:t>178</w:t>
      </w:r>
      <w:r w:rsidRPr="005E36DC">
        <w:fldChar w:fldCharType="end"/>
      </w:r>
    </w:p>
    <w:p w:rsidR="005E36DC" w:rsidRPr="00051083" w:rsidRDefault="005E36DC" w:rsidP="00A56539">
      <w:pPr>
        <w:pStyle w:val="TOC3"/>
        <w:rPr>
          <w:rFonts w:eastAsiaTheme="minorEastAsia"/>
          <w:sz w:val="22"/>
          <w:szCs w:val="22"/>
          <w:lang w:eastAsia="zh-CN"/>
        </w:rPr>
      </w:pPr>
      <w:r w:rsidRPr="00051083">
        <w:rPr>
          <w:vertAlign w:val="superscript"/>
        </w:rPr>
        <w:t>84</w:t>
      </w:r>
      <w:r w:rsidRPr="00051083">
        <w:t xml:space="preserve"> SQL Server</w:t>
      </w:r>
      <w:r w:rsidR="0069040B" w:rsidRPr="00051083">
        <w:rPr>
          <w:vertAlign w:val="superscript"/>
        </w:rPr>
        <w:t>®</w:t>
      </w:r>
      <w:r w:rsidRPr="00051083">
        <w:t xml:space="preserve"> 2008 R2 Workgroup Prozessor</w:t>
      </w:r>
      <w:r w:rsidRPr="00051083">
        <w:tab/>
      </w:r>
      <w:r w:rsidRPr="005E36DC">
        <w:fldChar w:fldCharType="begin"/>
      </w:r>
      <w:r w:rsidRPr="00051083">
        <w:instrText xml:space="preserve"> PAGEREF _Toc363999081 \h </w:instrText>
      </w:r>
      <w:r w:rsidRPr="005E36DC">
        <w:fldChar w:fldCharType="separate"/>
      </w:r>
      <w:r w:rsidR="00DC4771">
        <w:t>178</w:t>
      </w:r>
      <w:r w:rsidRPr="005E36DC">
        <w:fldChar w:fldCharType="end"/>
      </w:r>
    </w:p>
    <w:p w:rsidR="005E36DC" w:rsidRPr="00051083" w:rsidRDefault="005E36DC" w:rsidP="00A56539">
      <w:pPr>
        <w:pStyle w:val="TOC3"/>
        <w:rPr>
          <w:rFonts w:eastAsiaTheme="minorEastAsia"/>
          <w:sz w:val="22"/>
          <w:szCs w:val="22"/>
          <w:lang w:eastAsia="zh-CN"/>
        </w:rPr>
      </w:pPr>
      <w:r w:rsidRPr="00051083">
        <w:rPr>
          <w:vertAlign w:val="superscript"/>
        </w:rPr>
        <w:t>85</w:t>
      </w:r>
      <w:r w:rsidRPr="00051083">
        <w:t xml:space="preserve"> SQL Server</w:t>
      </w:r>
      <w:r w:rsidR="0069040B" w:rsidRPr="00051083">
        <w:rPr>
          <w:vertAlign w:val="superscript"/>
        </w:rPr>
        <w:t>®</w:t>
      </w:r>
      <w:r w:rsidRPr="00051083">
        <w:t xml:space="preserve"> 2012 Developer</w:t>
      </w:r>
      <w:r w:rsidRPr="00051083">
        <w:tab/>
      </w:r>
      <w:r w:rsidRPr="005E36DC">
        <w:fldChar w:fldCharType="begin"/>
      </w:r>
      <w:r w:rsidRPr="00051083">
        <w:instrText xml:space="preserve"> PAGEREF _Toc363999082 \h </w:instrText>
      </w:r>
      <w:r w:rsidRPr="005E36DC">
        <w:fldChar w:fldCharType="separate"/>
      </w:r>
      <w:r w:rsidR="00DC4771">
        <w:t>181</w:t>
      </w:r>
      <w:r w:rsidRPr="005E36DC">
        <w:fldChar w:fldCharType="end"/>
      </w:r>
    </w:p>
    <w:p w:rsidR="005E36DC" w:rsidRPr="00051083" w:rsidRDefault="005E36DC" w:rsidP="00A56539">
      <w:pPr>
        <w:pStyle w:val="TOC3"/>
        <w:rPr>
          <w:rFonts w:eastAsiaTheme="minorEastAsia"/>
          <w:sz w:val="22"/>
          <w:szCs w:val="22"/>
          <w:lang w:eastAsia="zh-CN"/>
        </w:rPr>
      </w:pPr>
      <w:r w:rsidRPr="00051083">
        <w:rPr>
          <w:vertAlign w:val="superscript"/>
        </w:rPr>
        <w:t>86</w:t>
      </w:r>
      <w:r w:rsidRPr="00051083">
        <w:t xml:space="preserve"> SQL Server</w:t>
      </w:r>
      <w:r w:rsidR="0069040B" w:rsidRPr="00051083">
        <w:rPr>
          <w:vertAlign w:val="superscript"/>
        </w:rPr>
        <w:t>®</w:t>
      </w:r>
      <w:r w:rsidRPr="00051083">
        <w:t xml:space="preserve"> 2012 Enterprise</w:t>
      </w:r>
      <w:r w:rsidRPr="00051083">
        <w:tab/>
      </w:r>
      <w:r w:rsidRPr="005E36DC">
        <w:fldChar w:fldCharType="begin"/>
      </w:r>
      <w:r w:rsidRPr="00051083">
        <w:instrText xml:space="preserve"> PAGEREF _Toc363999083 \h </w:instrText>
      </w:r>
      <w:r w:rsidRPr="005E36DC">
        <w:fldChar w:fldCharType="separate"/>
      </w:r>
      <w:r w:rsidR="00DC4771">
        <w:t>181</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87</w:t>
      </w:r>
      <w:r w:rsidRPr="00051083">
        <w:rPr>
          <w:caps/>
        </w:rPr>
        <w:t xml:space="preserve"> </w:t>
      </w:r>
      <w:r w:rsidRPr="00051083">
        <w:t>SQL Server</w:t>
      </w:r>
      <w:r w:rsidR="0069040B" w:rsidRPr="00051083">
        <w:rPr>
          <w:vertAlign w:val="superscript"/>
        </w:rPr>
        <w:t>®</w:t>
      </w:r>
      <w:r w:rsidRPr="00051083">
        <w:t xml:space="preserve"> 2012 Enterprise Core</w:t>
      </w:r>
      <w:r w:rsidRPr="00051083">
        <w:tab/>
      </w:r>
      <w:r w:rsidRPr="005E36DC">
        <w:fldChar w:fldCharType="begin"/>
      </w:r>
      <w:r w:rsidRPr="00051083">
        <w:instrText xml:space="preserve"> PAGEREF _Toc363999084 \h </w:instrText>
      </w:r>
      <w:r w:rsidRPr="005E36DC">
        <w:fldChar w:fldCharType="separate"/>
      </w:r>
      <w:r w:rsidR="00DC4771">
        <w:t>182</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88</w:t>
      </w:r>
      <w:r w:rsidRPr="00051083">
        <w:t xml:space="preserve"> SQL Server </w:t>
      </w:r>
      <w:r w:rsidR="0069040B" w:rsidRPr="00051083">
        <w:rPr>
          <w:vertAlign w:val="superscript"/>
        </w:rPr>
        <w:t>®</w:t>
      </w:r>
      <w:r w:rsidRPr="00051083">
        <w:t xml:space="preserve"> 2012 Parallel Data Warehouse</w:t>
      </w:r>
      <w:r w:rsidRPr="00051083">
        <w:tab/>
      </w:r>
      <w:r w:rsidRPr="005E36DC">
        <w:fldChar w:fldCharType="begin"/>
      </w:r>
      <w:r w:rsidRPr="00051083">
        <w:instrText xml:space="preserve"> PAGEREF _Toc363999085 \h </w:instrText>
      </w:r>
      <w:r w:rsidRPr="005E36DC">
        <w:fldChar w:fldCharType="separate"/>
      </w:r>
      <w:r w:rsidR="00DC4771">
        <w:t>184</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89</w:t>
      </w:r>
      <w:r w:rsidRPr="00051083">
        <w:t xml:space="preserve"> SQL Server</w:t>
      </w:r>
      <w:r w:rsidR="0069040B" w:rsidRPr="00051083">
        <w:rPr>
          <w:vertAlign w:val="superscript"/>
        </w:rPr>
        <w:t>®</w:t>
      </w:r>
      <w:r w:rsidRPr="00051083">
        <w:t xml:space="preserve"> 2012 Standard</w:t>
      </w:r>
      <w:r w:rsidRPr="00051083">
        <w:tab/>
      </w:r>
      <w:r w:rsidRPr="005E36DC">
        <w:fldChar w:fldCharType="begin"/>
      </w:r>
      <w:r w:rsidRPr="00051083">
        <w:instrText xml:space="preserve"> PAGEREF _Toc363999086 \h </w:instrText>
      </w:r>
      <w:r w:rsidRPr="005E36DC">
        <w:fldChar w:fldCharType="separate"/>
      </w:r>
      <w:r w:rsidR="00DC4771">
        <w:t>185</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90</w:t>
      </w:r>
      <w:r w:rsidRPr="00051083">
        <w:t xml:space="preserve"> SQL Server</w:t>
      </w:r>
      <w:r w:rsidR="0069040B" w:rsidRPr="00051083">
        <w:rPr>
          <w:vertAlign w:val="superscript"/>
        </w:rPr>
        <w:t>®</w:t>
      </w:r>
      <w:r w:rsidRPr="00051083">
        <w:t xml:space="preserve"> 2012 Standard</w:t>
      </w:r>
      <w:r w:rsidRPr="00051083">
        <w:rPr>
          <w:rFonts w:eastAsia="Calibri"/>
        </w:rPr>
        <w:t xml:space="preserve"> Core</w:t>
      </w:r>
      <w:r w:rsidRPr="00051083">
        <w:tab/>
      </w:r>
      <w:r w:rsidRPr="005E36DC">
        <w:fldChar w:fldCharType="begin"/>
      </w:r>
      <w:r w:rsidRPr="00051083">
        <w:instrText xml:space="preserve"> PAGEREF _Toc363999087 \h </w:instrText>
      </w:r>
      <w:r w:rsidRPr="005E36DC">
        <w:fldChar w:fldCharType="separate"/>
      </w:r>
      <w:r w:rsidR="00DC4771">
        <w:t>185</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91</w:t>
      </w:r>
      <w:r w:rsidRPr="00051083">
        <w:t xml:space="preserve"> System Center Essentials 2010</w:t>
      </w:r>
      <w:r w:rsidRPr="00051083">
        <w:tab/>
      </w:r>
      <w:r w:rsidRPr="005E36DC">
        <w:fldChar w:fldCharType="begin"/>
      </w:r>
      <w:r w:rsidRPr="00051083">
        <w:instrText xml:space="preserve"> PAGEREF _Toc363999088 \h </w:instrText>
      </w:r>
      <w:r w:rsidRPr="005E36DC">
        <w:fldChar w:fldCharType="separate"/>
      </w:r>
      <w:r w:rsidR="00DC4771">
        <w:t>188</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92</w:t>
      </w:r>
      <w:r w:rsidRPr="00051083">
        <w:t xml:space="preserve"> System Center Reporting Manager 2006</w:t>
      </w:r>
      <w:r w:rsidRPr="00051083">
        <w:tab/>
      </w:r>
      <w:r w:rsidRPr="005E36DC">
        <w:fldChar w:fldCharType="begin"/>
      </w:r>
      <w:r w:rsidRPr="00051083">
        <w:instrText xml:space="preserve"> PAGEREF _Toc363999089 \h </w:instrText>
      </w:r>
      <w:r w:rsidRPr="005E36DC">
        <w:fldChar w:fldCharType="separate"/>
      </w:r>
      <w:r w:rsidR="00DC4771">
        <w:t>189</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93</w:t>
      </w:r>
      <w:r w:rsidRPr="00051083">
        <w:rPr>
          <w:caps/>
        </w:rPr>
        <w:t xml:space="preserve"> </w:t>
      </w:r>
      <w:r w:rsidRPr="00051083">
        <w:t>System Center Server Management Suite Enterprise</w:t>
      </w:r>
      <w:r w:rsidRPr="00051083">
        <w:tab/>
      </w:r>
      <w:r w:rsidRPr="005E36DC">
        <w:fldChar w:fldCharType="begin"/>
      </w:r>
      <w:r w:rsidRPr="00051083">
        <w:instrText xml:space="preserve"> PAGEREF _Toc363999090 \h </w:instrText>
      </w:r>
      <w:r w:rsidRPr="005E36DC">
        <w:fldChar w:fldCharType="separate"/>
      </w:r>
      <w:r w:rsidR="00DC4771">
        <w:t>190</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94</w:t>
      </w:r>
      <w:r w:rsidRPr="00051083">
        <w:rPr>
          <w:caps/>
        </w:rPr>
        <w:t xml:space="preserve"> </w:t>
      </w:r>
      <w:r w:rsidRPr="00051083">
        <w:t>System Center Server Management Suite Datacenter</w:t>
      </w:r>
      <w:r w:rsidRPr="00051083">
        <w:tab/>
      </w:r>
      <w:r w:rsidRPr="005E36DC">
        <w:fldChar w:fldCharType="begin"/>
      </w:r>
      <w:r w:rsidRPr="00051083">
        <w:instrText xml:space="preserve"> PAGEREF _Toc363999091 \h </w:instrText>
      </w:r>
      <w:r w:rsidRPr="005E36DC">
        <w:fldChar w:fldCharType="separate"/>
      </w:r>
      <w:r w:rsidR="00DC4771">
        <w:t>192</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95</w:t>
      </w:r>
      <w:r w:rsidRPr="00051083">
        <w:t xml:space="preserve"> System Center Virtual Machine Manager 2008 R2 – Client- und Server-Management-Lizenzen</w:t>
      </w:r>
      <w:r w:rsidRPr="00051083">
        <w:tab/>
      </w:r>
      <w:r w:rsidRPr="005E36DC">
        <w:fldChar w:fldCharType="begin"/>
      </w:r>
      <w:r w:rsidRPr="00051083">
        <w:instrText xml:space="preserve"> PAGEREF _Toc363999092 \h </w:instrText>
      </w:r>
      <w:r w:rsidRPr="005E36DC">
        <w:fldChar w:fldCharType="separate"/>
      </w:r>
      <w:r w:rsidR="00DC4771">
        <w:t>192</w:t>
      </w:r>
      <w:r w:rsidRPr="005E36DC">
        <w:fldChar w:fldCharType="end"/>
      </w:r>
    </w:p>
    <w:p w:rsidR="005E36DC" w:rsidRPr="00051083" w:rsidRDefault="005E36DC" w:rsidP="00A56539">
      <w:pPr>
        <w:pStyle w:val="TOC3"/>
        <w:rPr>
          <w:rFonts w:eastAsiaTheme="minorEastAsia"/>
          <w:sz w:val="22"/>
          <w:szCs w:val="22"/>
          <w:lang w:val="da-DK" w:eastAsia="zh-CN"/>
        </w:rPr>
      </w:pPr>
      <w:r w:rsidRPr="00051083">
        <w:rPr>
          <w:caps/>
          <w:vertAlign w:val="superscript"/>
          <w:lang w:val="da-DK"/>
        </w:rPr>
        <w:t>96</w:t>
      </w:r>
      <w:r w:rsidRPr="00051083">
        <w:rPr>
          <w:lang w:val="da-DK"/>
        </w:rPr>
        <w:t xml:space="preserve"> System Center 2012</w:t>
      </w:r>
      <w:r w:rsidRPr="00051083">
        <w:rPr>
          <w:lang w:val="da-DK"/>
        </w:rPr>
        <w:tab/>
      </w:r>
      <w:r w:rsidRPr="005E36DC">
        <w:fldChar w:fldCharType="begin"/>
      </w:r>
      <w:r w:rsidRPr="00051083">
        <w:rPr>
          <w:lang w:val="da-DK"/>
        </w:rPr>
        <w:instrText xml:space="preserve"> PAGEREF _Toc363999093 \h </w:instrText>
      </w:r>
      <w:r w:rsidRPr="005E36DC">
        <w:fldChar w:fldCharType="separate"/>
      </w:r>
      <w:r w:rsidR="00DC4771">
        <w:rPr>
          <w:lang w:val="da-DK"/>
        </w:rPr>
        <w:t>192</w:t>
      </w:r>
      <w:r w:rsidRPr="005E36DC">
        <w:fldChar w:fldCharType="end"/>
      </w:r>
    </w:p>
    <w:p w:rsidR="005E36DC" w:rsidRPr="00051083" w:rsidRDefault="005E36DC" w:rsidP="00A56539">
      <w:pPr>
        <w:pStyle w:val="TOC3"/>
        <w:rPr>
          <w:rFonts w:eastAsiaTheme="minorEastAsia"/>
          <w:sz w:val="22"/>
          <w:szCs w:val="22"/>
          <w:lang w:val="da-DK" w:eastAsia="zh-CN"/>
        </w:rPr>
      </w:pPr>
      <w:r w:rsidRPr="00051083">
        <w:rPr>
          <w:caps/>
          <w:vertAlign w:val="superscript"/>
          <w:lang w:val="da-DK"/>
        </w:rPr>
        <w:t>97</w:t>
      </w:r>
      <w:r w:rsidRPr="00051083">
        <w:rPr>
          <w:lang w:val="da-DK"/>
        </w:rPr>
        <w:t xml:space="preserve"> System Center 2012 Endpoint Protection</w:t>
      </w:r>
      <w:r w:rsidRPr="00051083">
        <w:rPr>
          <w:lang w:val="da-DK"/>
        </w:rPr>
        <w:tab/>
      </w:r>
      <w:r w:rsidRPr="005E36DC">
        <w:fldChar w:fldCharType="begin"/>
      </w:r>
      <w:r w:rsidRPr="00051083">
        <w:rPr>
          <w:lang w:val="da-DK"/>
        </w:rPr>
        <w:instrText xml:space="preserve"> PAGEREF _Toc363999094 \h </w:instrText>
      </w:r>
      <w:r w:rsidRPr="005E36DC">
        <w:fldChar w:fldCharType="separate"/>
      </w:r>
      <w:r w:rsidR="00DC4771">
        <w:rPr>
          <w:lang w:val="da-DK"/>
        </w:rPr>
        <w:t>195</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98</w:t>
      </w:r>
      <w:r w:rsidRPr="00051083">
        <w:rPr>
          <w:caps/>
        </w:rPr>
        <w:t xml:space="preserve"> </w:t>
      </w:r>
      <w:r w:rsidRPr="00051083">
        <w:t>VDI Standard and Premium Suites</w:t>
      </w:r>
      <w:r w:rsidRPr="00051083">
        <w:tab/>
      </w:r>
      <w:r w:rsidRPr="005E36DC">
        <w:fldChar w:fldCharType="begin"/>
      </w:r>
      <w:r w:rsidRPr="00051083">
        <w:instrText xml:space="preserve"> PAGEREF _Toc363999095 \h </w:instrText>
      </w:r>
      <w:r w:rsidRPr="005E36DC">
        <w:fldChar w:fldCharType="separate"/>
      </w:r>
      <w:r w:rsidR="00DC4771">
        <w:t>196</w:t>
      </w:r>
      <w:r w:rsidRPr="005E36DC">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99</w:t>
      </w:r>
      <w:r w:rsidRPr="005E36DC">
        <w:rPr>
          <w:rFonts w:cs="Tahoma"/>
          <w:caps/>
        </w:rPr>
        <w:t xml:space="preserve"> </w:t>
      </w:r>
      <w:r w:rsidRPr="005E36DC">
        <w:rPr>
          <w:rFonts w:cs="Tahoma"/>
        </w:rPr>
        <w:t>Windows Azure-Dienste</w:t>
      </w:r>
      <w:r w:rsidRPr="005E36DC">
        <w:rPr>
          <w:rFonts w:cs="Tahoma"/>
        </w:rPr>
        <w:tab/>
      </w:r>
      <w:r w:rsidRPr="005E36DC">
        <w:rPr>
          <w:rFonts w:cs="Tahoma"/>
        </w:rPr>
        <w:fldChar w:fldCharType="begin"/>
      </w:r>
      <w:r w:rsidRPr="005E36DC">
        <w:rPr>
          <w:rFonts w:cs="Tahoma"/>
        </w:rPr>
        <w:instrText xml:space="preserve"> PAGEREF _Toc363999096 \h </w:instrText>
      </w:r>
      <w:r w:rsidRPr="005E36DC">
        <w:rPr>
          <w:rFonts w:cs="Tahoma"/>
        </w:rPr>
      </w:r>
      <w:r w:rsidRPr="005E36DC">
        <w:rPr>
          <w:rFonts w:cs="Tahoma"/>
        </w:rPr>
        <w:fldChar w:fldCharType="separate"/>
      </w:r>
      <w:r w:rsidR="00DC4771">
        <w:rPr>
          <w:rFonts w:cs="Tahoma"/>
        </w:rPr>
        <w:t>196</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100</w:t>
      </w:r>
      <w:r w:rsidRPr="005E36DC">
        <w:rPr>
          <w:rFonts w:cs="Tahoma"/>
        </w:rPr>
        <w:t xml:space="preserve"> Windows Embedded Device Manager 2011 – Management Server-Lizenz</w:t>
      </w:r>
      <w:r w:rsidRPr="005E36DC">
        <w:rPr>
          <w:rFonts w:cs="Tahoma"/>
        </w:rPr>
        <w:tab/>
      </w:r>
      <w:r w:rsidRPr="005E36DC">
        <w:rPr>
          <w:rFonts w:cs="Tahoma"/>
        </w:rPr>
        <w:fldChar w:fldCharType="begin"/>
      </w:r>
      <w:r w:rsidRPr="005E36DC">
        <w:rPr>
          <w:rFonts w:cs="Tahoma"/>
        </w:rPr>
        <w:instrText xml:space="preserve"> PAGEREF _Toc363999097 \h </w:instrText>
      </w:r>
      <w:r w:rsidRPr="005E36DC">
        <w:rPr>
          <w:rFonts w:cs="Tahoma"/>
        </w:rPr>
      </w:r>
      <w:r w:rsidRPr="005E36DC">
        <w:rPr>
          <w:rFonts w:cs="Tahoma"/>
        </w:rPr>
        <w:fldChar w:fldCharType="separate"/>
      </w:r>
      <w:r w:rsidR="00DC4771">
        <w:rPr>
          <w:rFonts w:cs="Tahoma"/>
        </w:rPr>
        <w:t>197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101</w:t>
      </w:r>
      <w:r w:rsidRPr="005E36DC">
        <w:rPr>
          <w:rFonts w:cs="Tahoma"/>
        </w:rPr>
        <w:t xml:space="preserve"> Windows Embedded Device Manager 2011 – Client Management-Lizenz</w:t>
      </w:r>
      <w:r w:rsidRPr="005E36DC">
        <w:rPr>
          <w:rFonts w:cs="Tahoma"/>
        </w:rPr>
        <w:tab/>
      </w:r>
      <w:r w:rsidRPr="005E36DC">
        <w:rPr>
          <w:rFonts w:cs="Tahoma"/>
        </w:rPr>
        <w:fldChar w:fldCharType="begin"/>
      </w:r>
      <w:r w:rsidRPr="005E36DC">
        <w:rPr>
          <w:rFonts w:cs="Tahoma"/>
        </w:rPr>
        <w:instrText xml:space="preserve"> PAGEREF _Toc363999098 \h </w:instrText>
      </w:r>
      <w:r w:rsidRPr="005E36DC">
        <w:rPr>
          <w:rFonts w:cs="Tahoma"/>
        </w:rPr>
      </w:r>
      <w:r w:rsidRPr="005E36DC">
        <w:rPr>
          <w:rFonts w:cs="Tahoma"/>
        </w:rPr>
        <w:fldChar w:fldCharType="separate"/>
      </w:r>
      <w:r w:rsidR="00DC4771">
        <w:rPr>
          <w:rFonts w:cs="Tahoma"/>
        </w:rPr>
        <w:t>197</w:t>
      </w:r>
      <w:r w:rsidRPr="005E36DC">
        <w:rPr>
          <w:rFonts w:cs="Tahoma"/>
        </w:rPr>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102</w:t>
      </w:r>
      <w:r w:rsidRPr="00AC6E9B">
        <w:rPr>
          <w:caps/>
          <w:lang w:val="de-DE"/>
        </w:rPr>
        <w:t xml:space="preserve"> </w:t>
      </w:r>
      <w:r w:rsidRPr="00AC6E9B">
        <w:rPr>
          <w:lang w:val="de-DE"/>
        </w:rPr>
        <w:t>Windows EBS 2008 Standard und EBS 2008 Premium</w:t>
      </w:r>
      <w:r w:rsidRPr="00AC6E9B">
        <w:rPr>
          <w:lang w:val="de-DE"/>
        </w:rPr>
        <w:tab/>
      </w:r>
      <w:r w:rsidRPr="005E36DC">
        <w:fldChar w:fldCharType="begin"/>
      </w:r>
      <w:r w:rsidRPr="00AC6E9B">
        <w:rPr>
          <w:lang w:val="de-DE"/>
        </w:rPr>
        <w:instrText xml:space="preserve"> PAGEREF _Toc363999099 \h </w:instrText>
      </w:r>
      <w:r w:rsidRPr="005E36DC">
        <w:fldChar w:fldCharType="separate"/>
      </w:r>
      <w:r w:rsidR="00DC4771">
        <w:rPr>
          <w:lang w:val="de-DE"/>
        </w:rPr>
        <w:t>198</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103</w:t>
      </w:r>
      <w:r w:rsidRPr="00051083">
        <w:rPr>
          <w:caps/>
        </w:rPr>
        <w:t xml:space="preserve"> </w:t>
      </w:r>
      <w:r w:rsidRPr="00051083">
        <w:t>Windows HPC Server 2008 R2 Suite</w:t>
      </w:r>
      <w:r w:rsidRPr="00051083">
        <w:tab/>
      </w:r>
      <w:r w:rsidRPr="005E36DC">
        <w:fldChar w:fldCharType="begin"/>
      </w:r>
      <w:r w:rsidRPr="00051083">
        <w:instrText xml:space="preserve"> PAGEREF _Toc363999100 \h </w:instrText>
      </w:r>
      <w:r w:rsidRPr="005E36DC">
        <w:fldChar w:fldCharType="separate"/>
      </w:r>
      <w:r w:rsidR="00DC4771">
        <w:t>200</w:t>
      </w:r>
      <w:r w:rsidRPr="005E36DC">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104</w:t>
      </w:r>
      <w:r w:rsidRPr="005E36DC">
        <w:rPr>
          <w:rFonts w:cs="Tahoma"/>
          <w:caps/>
        </w:rPr>
        <w:t xml:space="preserve"> </w:t>
      </w:r>
      <w:r w:rsidRPr="005E36DC">
        <w:rPr>
          <w:rFonts w:cs="Tahoma"/>
        </w:rPr>
        <w:t>Windows Multipoint Server 2012 Standard</w:t>
      </w:r>
      <w:r w:rsidRPr="005E36DC">
        <w:rPr>
          <w:rFonts w:cs="Tahoma"/>
        </w:rPr>
        <w:tab/>
      </w:r>
      <w:r w:rsidRPr="005E36DC">
        <w:rPr>
          <w:rFonts w:cs="Tahoma"/>
        </w:rPr>
        <w:fldChar w:fldCharType="begin"/>
      </w:r>
      <w:r w:rsidRPr="005E36DC">
        <w:rPr>
          <w:rFonts w:cs="Tahoma"/>
        </w:rPr>
        <w:instrText xml:space="preserve"> PAGEREF _Toc363999101 \h </w:instrText>
      </w:r>
      <w:r w:rsidRPr="005E36DC">
        <w:rPr>
          <w:rFonts w:cs="Tahoma"/>
        </w:rPr>
      </w:r>
      <w:r w:rsidRPr="005E36DC">
        <w:rPr>
          <w:rFonts w:cs="Tahoma"/>
        </w:rPr>
        <w:fldChar w:fldCharType="separate"/>
      </w:r>
      <w:r w:rsidR="00DC4771">
        <w:rPr>
          <w:rFonts w:cs="Tahoma"/>
        </w:rPr>
        <w:t>201</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105</w:t>
      </w:r>
      <w:r w:rsidRPr="005E36DC">
        <w:rPr>
          <w:rFonts w:cs="Tahoma"/>
          <w:caps/>
        </w:rPr>
        <w:t xml:space="preserve"> </w:t>
      </w:r>
      <w:r w:rsidRPr="005E36DC">
        <w:rPr>
          <w:rFonts w:cs="Tahoma"/>
        </w:rPr>
        <w:t>Windows Multipoint Server 2012 Premium</w:t>
      </w:r>
      <w:r w:rsidRPr="005E36DC">
        <w:rPr>
          <w:rFonts w:cs="Tahoma"/>
        </w:rPr>
        <w:tab/>
      </w:r>
      <w:r w:rsidRPr="005E36DC">
        <w:rPr>
          <w:rFonts w:cs="Tahoma"/>
        </w:rPr>
        <w:fldChar w:fldCharType="begin"/>
      </w:r>
      <w:r w:rsidRPr="005E36DC">
        <w:rPr>
          <w:rFonts w:cs="Tahoma"/>
        </w:rPr>
        <w:instrText xml:space="preserve"> PAGEREF _Toc363999102 \h </w:instrText>
      </w:r>
      <w:r w:rsidRPr="005E36DC">
        <w:rPr>
          <w:rFonts w:cs="Tahoma"/>
        </w:rPr>
      </w:r>
      <w:r w:rsidRPr="005E36DC">
        <w:rPr>
          <w:rFonts w:cs="Tahoma"/>
        </w:rPr>
        <w:fldChar w:fldCharType="separate"/>
      </w:r>
      <w:r w:rsidR="00DC4771">
        <w:rPr>
          <w:rFonts w:cs="Tahoma"/>
        </w:rPr>
        <w:t>201</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106</w:t>
      </w:r>
      <w:r w:rsidRPr="005E36DC">
        <w:rPr>
          <w:rFonts w:cs="Tahoma"/>
        </w:rPr>
        <w:t xml:space="preserve"> CAL für Windows Multipoint Server 2012</w:t>
      </w:r>
      <w:r w:rsidRPr="005E36DC">
        <w:rPr>
          <w:rFonts w:cs="Tahoma"/>
        </w:rPr>
        <w:tab/>
      </w:r>
      <w:r w:rsidRPr="005E36DC">
        <w:rPr>
          <w:rFonts w:cs="Tahoma"/>
        </w:rPr>
        <w:fldChar w:fldCharType="begin"/>
      </w:r>
      <w:r w:rsidRPr="005E36DC">
        <w:rPr>
          <w:rFonts w:cs="Tahoma"/>
        </w:rPr>
        <w:instrText xml:space="preserve"> PAGEREF _Toc363999103 \h </w:instrText>
      </w:r>
      <w:r w:rsidRPr="005E36DC">
        <w:rPr>
          <w:rFonts w:cs="Tahoma"/>
        </w:rPr>
      </w:r>
      <w:r w:rsidRPr="005E36DC">
        <w:rPr>
          <w:rFonts w:cs="Tahoma"/>
        </w:rPr>
        <w:fldChar w:fldCharType="separate"/>
      </w:r>
      <w:r w:rsidR="00DC4771">
        <w:rPr>
          <w:rFonts w:cs="Tahoma"/>
        </w:rPr>
        <w:t>201</w:t>
      </w:r>
      <w:r w:rsidRPr="005E36DC">
        <w:rPr>
          <w:rFonts w:cs="Tahoma"/>
        </w:rPr>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107</w:t>
      </w:r>
      <w:r w:rsidRPr="00051083">
        <w:t xml:space="preserve"> Windows Server 2008 R2 HPC Edition</w:t>
      </w:r>
      <w:r w:rsidRPr="00051083">
        <w:tab/>
      </w:r>
      <w:r w:rsidRPr="005E36DC">
        <w:fldChar w:fldCharType="begin"/>
      </w:r>
      <w:r w:rsidRPr="00051083">
        <w:instrText xml:space="preserve"> PAGEREF _Toc363999104 \h </w:instrText>
      </w:r>
      <w:r w:rsidRPr="005E36DC">
        <w:fldChar w:fldCharType="separate"/>
      </w:r>
      <w:r w:rsidR="00DC4771">
        <w:t>201</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108</w:t>
      </w:r>
      <w:r w:rsidRPr="00051083">
        <w:t xml:space="preserve"> Windows Server 2008 R2 Enterprise</w:t>
      </w:r>
      <w:r w:rsidRPr="00051083">
        <w:tab/>
      </w:r>
      <w:r w:rsidRPr="005E36DC">
        <w:fldChar w:fldCharType="begin"/>
      </w:r>
      <w:r w:rsidRPr="00051083">
        <w:instrText xml:space="preserve"> PAGEREF _Toc363999105 \h </w:instrText>
      </w:r>
      <w:r w:rsidRPr="005E36DC">
        <w:fldChar w:fldCharType="separate"/>
      </w:r>
      <w:r w:rsidR="00DC4771">
        <w:t>202</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109</w:t>
      </w:r>
      <w:r w:rsidRPr="00051083">
        <w:t xml:space="preserve"> Windows Server 2008 R2 für Itanium-basierte Systeme</w:t>
      </w:r>
      <w:r w:rsidRPr="00051083">
        <w:tab/>
      </w:r>
      <w:r w:rsidRPr="005E36DC">
        <w:fldChar w:fldCharType="begin"/>
      </w:r>
      <w:r w:rsidRPr="00051083">
        <w:instrText xml:space="preserve"> PAGEREF _Toc363999106 \h </w:instrText>
      </w:r>
      <w:r w:rsidRPr="005E36DC">
        <w:fldChar w:fldCharType="separate"/>
      </w:r>
      <w:r w:rsidR="00DC4771">
        <w:t>203</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110</w:t>
      </w:r>
      <w:r w:rsidRPr="00051083">
        <w:t xml:space="preserve"> CAL für Windows Server 2012</w:t>
      </w:r>
      <w:r w:rsidRPr="00051083">
        <w:tab/>
      </w:r>
      <w:r w:rsidRPr="005E36DC">
        <w:fldChar w:fldCharType="begin"/>
      </w:r>
      <w:r w:rsidRPr="00051083">
        <w:instrText xml:space="preserve"> PAGEREF _Toc363999107 \h </w:instrText>
      </w:r>
      <w:r w:rsidRPr="005E36DC">
        <w:fldChar w:fldCharType="separate"/>
      </w:r>
      <w:r w:rsidR="00DC4771">
        <w:t>203</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 xml:space="preserve">111 </w:t>
      </w:r>
      <w:r w:rsidRPr="00051083">
        <w:t>Windows Server 2008 R2 Datacenter</w:t>
      </w:r>
      <w:r w:rsidRPr="00051083">
        <w:tab/>
      </w:r>
      <w:r w:rsidRPr="005E36DC">
        <w:fldChar w:fldCharType="begin"/>
      </w:r>
      <w:r w:rsidRPr="00051083">
        <w:instrText xml:space="preserve"> PAGEREF _Toc363999108 \h </w:instrText>
      </w:r>
      <w:r w:rsidRPr="005E36DC">
        <w:fldChar w:fldCharType="separate"/>
      </w:r>
      <w:r w:rsidR="00DC4771">
        <w:t>204</w:t>
      </w:r>
      <w:r w:rsidRPr="005E36DC">
        <w:fldChar w:fldCharType="end"/>
      </w:r>
    </w:p>
    <w:p w:rsidR="005E36DC" w:rsidRPr="00051083" w:rsidRDefault="005E36DC" w:rsidP="00A56539">
      <w:pPr>
        <w:pStyle w:val="TOC3"/>
        <w:rPr>
          <w:rFonts w:eastAsiaTheme="minorEastAsia"/>
          <w:sz w:val="22"/>
          <w:szCs w:val="22"/>
          <w:lang w:eastAsia="zh-CN"/>
        </w:rPr>
      </w:pPr>
      <w:r w:rsidRPr="00051083">
        <w:rPr>
          <w:caps/>
          <w:vertAlign w:val="superscript"/>
        </w:rPr>
        <w:t>112</w:t>
      </w:r>
      <w:r w:rsidRPr="00051083">
        <w:t xml:space="preserve"> Windows Server 2008 R2 Standard</w:t>
      </w:r>
      <w:r w:rsidRPr="00051083">
        <w:tab/>
      </w:r>
      <w:r w:rsidRPr="005E36DC">
        <w:fldChar w:fldCharType="begin"/>
      </w:r>
      <w:r w:rsidRPr="00051083">
        <w:instrText xml:space="preserve"> PAGEREF _Toc363999109 \h </w:instrText>
      </w:r>
      <w:r w:rsidRPr="005E36DC">
        <w:fldChar w:fldCharType="separate"/>
      </w:r>
      <w:r w:rsidR="00DC4771">
        <w:t>205</w:t>
      </w:r>
      <w:r w:rsidRPr="005E36DC">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113</w:t>
      </w:r>
      <w:r w:rsidRPr="005E36DC">
        <w:rPr>
          <w:rFonts w:cs="Tahoma"/>
        </w:rPr>
        <w:t xml:space="preserve"> Windows Small Business Server (SBS) 2008 Premium</w:t>
      </w:r>
      <w:r w:rsidRPr="005E36DC">
        <w:rPr>
          <w:rFonts w:cs="Tahoma"/>
        </w:rPr>
        <w:tab/>
      </w:r>
      <w:r w:rsidRPr="005E36DC">
        <w:rPr>
          <w:rFonts w:cs="Tahoma"/>
        </w:rPr>
        <w:fldChar w:fldCharType="begin"/>
      </w:r>
      <w:r w:rsidRPr="005E36DC">
        <w:rPr>
          <w:rFonts w:cs="Tahoma"/>
        </w:rPr>
        <w:instrText xml:space="preserve"> PAGEREF _Toc363999110 \h </w:instrText>
      </w:r>
      <w:r w:rsidRPr="005E36DC">
        <w:rPr>
          <w:rFonts w:cs="Tahoma"/>
        </w:rPr>
      </w:r>
      <w:r w:rsidRPr="005E36DC">
        <w:rPr>
          <w:rFonts w:cs="Tahoma"/>
        </w:rPr>
        <w:fldChar w:fldCharType="separate"/>
      </w:r>
      <w:r w:rsidR="00DC4771">
        <w:rPr>
          <w:rFonts w:cs="Tahoma"/>
        </w:rPr>
        <w:t>206</w:t>
      </w:r>
      <w:r w:rsidRPr="005E36DC">
        <w:rPr>
          <w:rFonts w:cs="Tahoma"/>
        </w:rPr>
        <w:fldChar w:fldCharType="end"/>
      </w:r>
    </w:p>
    <w:p w:rsidR="005E36DC" w:rsidRPr="00051083" w:rsidRDefault="005E36DC" w:rsidP="00A56539">
      <w:pPr>
        <w:pStyle w:val="TOC3"/>
        <w:rPr>
          <w:rFonts w:eastAsiaTheme="minorEastAsia"/>
          <w:sz w:val="22"/>
          <w:szCs w:val="22"/>
          <w:lang w:eastAsia="zh-CN"/>
        </w:rPr>
      </w:pPr>
      <w:r w:rsidRPr="00051083">
        <w:rPr>
          <w:vertAlign w:val="superscript"/>
        </w:rPr>
        <w:t>114</w:t>
      </w:r>
      <w:r w:rsidRPr="00051083">
        <w:t xml:space="preserve"> Windows Small Business Server (2011) Standard</w:t>
      </w:r>
      <w:r w:rsidRPr="00051083">
        <w:tab/>
      </w:r>
      <w:r w:rsidRPr="005E36DC">
        <w:fldChar w:fldCharType="begin"/>
      </w:r>
      <w:r w:rsidRPr="00051083">
        <w:instrText xml:space="preserve"> PAGEREF _Toc363999111 \h </w:instrText>
      </w:r>
      <w:r w:rsidRPr="005E36DC">
        <w:fldChar w:fldCharType="separate"/>
      </w:r>
      <w:r w:rsidR="00DC4771">
        <w:t>206</w:t>
      </w:r>
      <w:r w:rsidRPr="005E36DC">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115</w:t>
      </w:r>
      <w:r w:rsidRPr="005E36DC">
        <w:rPr>
          <w:rFonts w:cs="Tahoma"/>
          <w:caps/>
        </w:rPr>
        <w:t xml:space="preserve"> </w:t>
      </w:r>
      <w:r w:rsidRPr="005E36DC">
        <w:rPr>
          <w:rFonts w:cs="Tahoma"/>
        </w:rPr>
        <w:t>Windows Small Business Server (SBS) 2011 CAL Suite</w:t>
      </w:r>
      <w:r w:rsidRPr="005E36DC">
        <w:rPr>
          <w:rFonts w:cs="Tahoma"/>
        </w:rPr>
        <w:tab/>
      </w:r>
      <w:r w:rsidRPr="005E36DC">
        <w:rPr>
          <w:rFonts w:cs="Tahoma"/>
        </w:rPr>
        <w:fldChar w:fldCharType="begin"/>
      </w:r>
      <w:r w:rsidRPr="005E36DC">
        <w:rPr>
          <w:rFonts w:cs="Tahoma"/>
        </w:rPr>
        <w:instrText xml:space="preserve"> PAGEREF _Toc363999112 \h </w:instrText>
      </w:r>
      <w:r w:rsidRPr="005E36DC">
        <w:rPr>
          <w:rFonts w:cs="Tahoma"/>
        </w:rPr>
      </w:r>
      <w:r w:rsidRPr="005E36DC">
        <w:rPr>
          <w:rFonts w:cs="Tahoma"/>
        </w:rPr>
        <w:fldChar w:fldCharType="separate"/>
      </w:r>
      <w:r w:rsidR="00DC4771">
        <w:rPr>
          <w:rFonts w:cs="Tahoma"/>
        </w:rPr>
        <w:t>207</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116</w:t>
      </w:r>
      <w:r w:rsidRPr="005E36DC">
        <w:rPr>
          <w:rFonts w:cs="Tahoma"/>
          <w:caps/>
          <w:vertAlign w:val="subscript"/>
        </w:rPr>
        <w:t xml:space="preserve"> </w:t>
      </w:r>
      <w:r w:rsidRPr="005E36DC">
        <w:rPr>
          <w:rFonts w:cs="Tahoma"/>
        </w:rPr>
        <w:t>Windows Small Business Server (SBS) 2011 Premium Add-on</w:t>
      </w:r>
      <w:r w:rsidRPr="005E36DC">
        <w:rPr>
          <w:rFonts w:cs="Tahoma"/>
        </w:rPr>
        <w:tab/>
      </w:r>
      <w:r w:rsidRPr="005E36DC">
        <w:rPr>
          <w:rFonts w:cs="Tahoma"/>
        </w:rPr>
        <w:fldChar w:fldCharType="begin"/>
      </w:r>
      <w:r w:rsidRPr="005E36DC">
        <w:rPr>
          <w:rFonts w:cs="Tahoma"/>
        </w:rPr>
        <w:instrText xml:space="preserve"> PAGEREF _Toc363999113 \h </w:instrText>
      </w:r>
      <w:r w:rsidRPr="005E36DC">
        <w:rPr>
          <w:rFonts w:cs="Tahoma"/>
        </w:rPr>
      </w:r>
      <w:r w:rsidRPr="005E36DC">
        <w:rPr>
          <w:rFonts w:cs="Tahoma"/>
        </w:rPr>
        <w:fldChar w:fldCharType="separate"/>
      </w:r>
      <w:r w:rsidR="00DC4771">
        <w:rPr>
          <w:rFonts w:cs="Tahoma"/>
        </w:rPr>
        <w:t>208</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caps/>
          <w:vertAlign w:val="superscript"/>
        </w:rPr>
        <w:t>117</w:t>
      </w:r>
      <w:r w:rsidRPr="005E36DC">
        <w:rPr>
          <w:rFonts w:cs="Tahoma"/>
        </w:rPr>
        <w:t xml:space="preserve"> Windows Small Business Server (SBS) 2011 Premium Add-on CAL Suite</w:t>
      </w:r>
      <w:r w:rsidRPr="005E36DC">
        <w:rPr>
          <w:rFonts w:cs="Tahoma"/>
        </w:rPr>
        <w:tab/>
      </w:r>
      <w:r w:rsidRPr="005E36DC">
        <w:rPr>
          <w:rFonts w:cs="Tahoma"/>
        </w:rPr>
        <w:fldChar w:fldCharType="begin"/>
      </w:r>
      <w:r w:rsidRPr="005E36DC">
        <w:rPr>
          <w:rFonts w:cs="Tahoma"/>
        </w:rPr>
        <w:instrText xml:space="preserve"> PAGEREF _Toc363999114 \h </w:instrText>
      </w:r>
      <w:r w:rsidRPr="005E36DC">
        <w:rPr>
          <w:rFonts w:cs="Tahoma"/>
        </w:rPr>
      </w:r>
      <w:r w:rsidRPr="005E36DC">
        <w:rPr>
          <w:rFonts w:cs="Tahoma"/>
        </w:rPr>
        <w:fldChar w:fldCharType="separate"/>
      </w:r>
      <w:r w:rsidR="00DC4771">
        <w:rPr>
          <w:rFonts w:cs="Tahoma"/>
        </w:rPr>
        <w:t>209</w:t>
      </w:r>
      <w:r w:rsidRPr="005E36DC">
        <w:rPr>
          <w:rFonts w:cs="Tahoma"/>
        </w:rPr>
        <w:fldChar w:fldCharType="end"/>
      </w:r>
    </w:p>
    <w:p w:rsidR="005E36DC" w:rsidRPr="005E36DC" w:rsidRDefault="005E36DC">
      <w:pPr>
        <w:pStyle w:val="TOC2"/>
        <w:rPr>
          <w:rFonts w:eastAsiaTheme="minorEastAsia" w:cs="Tahoma"/>
          <w:sz w:val="22"/>
          <w:szCs w:val="22"/>
          <w:lang w:eastAsia="zh-CN"/>
        </w:rPr>
      </w:pPr>
      <w:r w:rsidRPr="005E36DC">
        <w:rPr>
          <w:rFonts w:cs="Tahoma"/>
          <w:vertAlign w:val="superscript"/>
        </w:rPr>
        <w:t>118</w:t>
      </w:r>
      <w:r w:rsidRPr="005E36DC">
        <w:rPr>
          <w:rFonts w:cs="Tahoma"/>
        </w:rPr>
        <w:t xml:space="preserve"> Windows Small Business Server 2011 Essentials</w:t>
      </w:r>
      <w:r w:rsidRPr="005E36DC">
        <w:rPr>
          <w:rFonts w:cs="Tahoma"/>
        </w:rPr>
        <w:tab/>
      </w:r>
      <w:r w:rsidRPr="005E36DC">
        <w:rPr>
          <w:rFonts w:cs="Tahoma"/>
        </w:rPr>
        <w:fldChar w:fldCharType="begin"/>
      </w:r>
      <w:r w:rsidRPr="005E36DC">
        <w:rPr>
          <w:rFonts w:cs="Tahoma"/>
        </w:rPr>
        <w:instrText xml:space="preserve"> PAGEREF _Toc363999115 \h </w:instrText>
      </w:r>
      <w:r w:rsidRPr="005E36DC">
        <w:rPr>
          <w:rFonts w:cs="Tahoma"/>
        </w:rPr>
      </w:r>
      <w:r w:rsidRPr="005E36DC">
        <w:rPr>
          <w:rFonts w:cs="Tahoma"/>
        </w:rPr>
        <w:fldChar w:fldCharType="separate"/>
      </w:r>
      <w:r w:rsidR="00DC4771">
        <w:rPr>
          <w:rFonts w:cs="Tahoma"/>
        </w:rPr>
        <w:t>210</w:t>
      </w:r>
      <w:r w:rsidRPr="005E36DC">
        <w:rPr>
          <w:rFonts w:cs="Tahoma"/>
        </w:rPr>
        <w:fldChar w:fldCharType="end"/>
      </w:r>
    </w:p>
    <w:p w:rsidR="005E36DC" w:rsidRPr="00AC6E9B" w:rsidRDefault="005E36DC" w:rsidP="00A56539">
      <w:pPr>
        <w:pStyle w:val="TOC3"/>
        <w:rPr>
          <w:rFonts w:eastAsiaTheme="minorEastAsia"/>
          <w:sz w:val="22"/>
          <w:szCs w:val="22"/>
          <w:lang w:val="de-DE" w:eastAsia="zh-CN"/>
        </w:rPr>
      </w:pPr>
      <w:r w:rsidRPr="00AC6E9B">
        <w:rPr>
          <w:caps/>
          <w:vertAlign w:val="superscript"/>
          <w:lang w:val="de-DE"/>
        </w:rPr>
        <w:t>119</w:t>
      </w:r>
      <w:r w:rsidRPr="00AC6E9B">
        <w:rPr>
          <w:lang w:val="de-DE"/>
        </w:rPr>
        <w:t xml:space="preserve"> Windows Web Server</w:t>
      </w:r>
      <w:r w:rsidR="0069040B" w:rsidRPr="00AC6E9B">
        <w:rPr>
          <w:vertAlign w:val="superscript"/>
          <w:lang w:val="de-DE"/>
        </w:rPr>
        <w:t>®</w:t>
      </w:r>
      <w:r w:rsidRPr="00AC6E9B">
        <w:rPr>
          <w:lang w:val="de-DE"/>
        </w:rPr>
        <w:t xml:space="preserve"> 2008 R2</w:t>
      </w:r>
      <w:r w:rsidRPr="00AC6E9B">
        <w:rPr>
          <w:lang w:val="de-DE"/>
        </w:rPr>
        <w:tab/>
      </w:r>
      <w:r w:rsidRPr="005E36DC">
        <w:fldChar w:fldCharType="begin"/>
      </w:r>
      <w:r w:rsidRPr="00AC6E9B">
        <w:rPr>
          <w:lang w:val="de-DE"/>
        </w:rPr>
        <w:instrText xml:space="preserve"> PAGEREF _Toc363999116 \h </w:instrText>
      </w:r>
      <w:r w:rsidRPr="005E36DC">
        <w:fldChar w:fldCharType="separate"/>
      </w:r>
      <w:r w:rsidR="00DC4771">
        <w:rPr>
          <w:lang w:val="de-DE"/>
        </w:rPr>
        <w:t>210</w:t>
      </w:r>
      <w:r w:rsidRPr="005E36DC">
        <w:fldChar w:fldCharType="end"/>
      </w:r>
    </w:p>
    <w:p w:rsidR="007E0CC6" w:rsidRPr="005E36DC" w:rsidRDefault="00AB0E59" w:rsidP="00461CA9">
      <w:pPr>
        <w:pStyle w:val="TOC4"/>
        <w:tabs>
          <w:tab w:val="clear" w:pos="9360"/>
          <w:tab w:val="center" w:pos="4680"/>
        </w:tabs>
        <w:rPr>
          <w:rFonts w:cs="Tahoma"/>
          <w:lang w:val="de-DE"/>
        </w:rPr>
      </w:pPr>
      <w:r w:rsidRPr="005E36DC">
        <w:rPr>
          <w:rFonts w:cs="Tahoma"/>
          <w:szCs w:val="18"/>
        </w:rPr>
        <w:fldChar w:fldCharType="end"/>
      </w:r>
    </w:p>
    <w:p w:rsidR="00023FE7" w:rsidRPr="004D10F1" w:rsidRDefault="00ED3854" w:rsidP="007E0CC6">
      <w:pPr>
        <w:pStyle w:val="Heading2"/>
        <w:rPr>
          <w:rFonts w:ascii="Tahoma" w:hAnsi="Tahoma" w:cs="Tahoma"/>
          <w:lang w:val="de-DE"/>
        </w:rPr>
      </w:pPr>
      <w:bookmarkStart w:id="7" w:name="_Toc246850065"/>
      <w:r w:rsidRPr="004D10F1">
        <w:rPr>
          <w:rFonts w:ascii="Tahoma" w:hAnsi="Tahoma" w:cs="Tahoma"/>
          <w:sz w:val="36"/>
          <w:lang w:val="de-DE"/>
        </w:rPr>
        <w:br w:type="page"/>
      </w:r>
      <w:bookmarkStart w:id="8" w:name="_Toc336337840"/>
      <w:bookmarkStart w:id="9" w:name="_Toc363998595"/>
      <w:r w:rsidRPr="004D10F1">
        <w:rPr>
          <w:rFonts w:ascii="Tahoma" w:hAnsi="Tahoma" w:cs="Tahoma"/>
          <w:sz w:val="36"/>
          <w:lang w:val="de-DE"/>
        </w:rPr>
        <w:t>Tabellenlegende</w:t>
      </w:r>
      <w:bookmarkEnd w:id="7"/>
      <w:bookmarkEnd w:id="8"/>
      <w:bookmarkEnd w:id="9"/>
    </w:p>
    <w:p w:rsidR="00023FE7" w:rsidRPr="004D10F1" w:rsidRDefault="00023FE7">
      <w:pPr>
        <w:pStyle w:val="ChartKeyHeadings"/>
        <w:ind w:right="-180"/>
        <w:rPr>
          <w:rFonts w:ascii="Tahoma" w:hAnsi="Tahoma" w:cs="Tahoma"/>
          <w:lang w:val="de-DE"/>
        </w:rPr>
      </w:pPr>
    </w:p>
    <w:p w:rsidR="00023FE7" w:rsidRPr="004D10F1" w:rsidRDefault="00023FE7">
      <w:pPr>
        <w:pStyle w:val="ChartKeyHeadings"/>
        <w:ind w:right="-180"/>
        <w:rPr>
          <w:rFonts w:ascii="Tahoma" w:hAnsi="Tahoma" w:cs="Tahoma"/>
          <w:lang w:val="de-DE"/>
        </w:rPr>
      </w:pPr>
      <w:r w:rsidRPr="004D10F1">
        <w:rPr>
          <w:rFonts w:ascii="Tahoma" w:hAnsi="Tahoma" w:cs="Tahoma"/>
          <w:szCs w:val="24"/>
          <w:lang w:val="de-DE"/>
        </w:rPr>
        <w:t>Spaltenüberschriften</w:t>
      </w:r>
    </w:p>
    <w:p w:rsidR="00023FE7" w:rsidRPr="004D10F1" w:rsidRDefault="00023FE7">
      <w:pPr>
        <w:pStyle w:val="ChartKeyHeadings"/>
        <w:ind w:right="-180"/>
        <w:rPr>
          <w:rFonts w:ascii="Tahoma" w:hAnsi="Tahoma" w:cs="Tahoma"/>
          <w:lang w:val="de-DE"/>
        </w:rPr>
      </w:pPr>
    </w:p>
    <w:p w:rsidR="00664EE9" w:rsidRPr="004D10F1" w:rsidRDefault="00664EE9" w:rsidP="00867FEA">
      <w:pPr>
        <w:pStyle w:val="Bodywithspace"/>
        <w:spacing w:before="0" w:after="0" w:line="276" w:lineRule="auto"/>
        <w:ind w:right="-180"/>
        <w:rPr>
          <w:rFonts w:ascii="Tahoma" w:hAnsi="Tahoma" w:cs="Tahoma"/>
          <w:lang w:val="de-DE"/>
        </w:rPr>
      </w:pPr>
      <w:r w:rsidRPr="004D10F1">
        <w:rPr>
          <w:rStyle w:val="BodyChar"/>
          <w:rFonts w:ascii="Tahoma" w:hAnsi="Tahoma" w:cs="Tahoma"/>
          <w:b/>
          <w:color w:val="000000"/>
          <w:sz w:val="18"/>
          <w:szCs w:val="18"/>
          <w:lang w:val="de-DE"/>
        </w:rPr>
        <w:t>Campus- und School-Einheiten =</w:t>
      </w:r>
      <w:r w:rsidRPr="004D10F1">
        <w:rPr>
          <w:rFonts w:ascii="Tahoma" w:hAnsi="Tahoma" w:cs="Tahoma"/>
          <w:color w:val="000000"/>
          <w:sz w:val="18"/>
          <w:szCs w:val="18"/>
          <w:lang w:val="de-DE"/>
        </w:rPr>
        <w:t xml:space="preserve"> Die in dieser Spalte angegebenen Zahlen stehen für die Anzahl der vorgesehenen Einheiten, wenn Software über den School-Beitritt unter dem Campus- und School-Vertrag angeboten wird</w:t>
      </w:r>
      <w:r w:rsidR="006257A7">
        <w:rPr>
          <w:rFonts w:ascii="Tahoma" w:hAnsi="Tahoma" w:cs="Tahoma"/>
          <w:color w:val="000000"/>
          <w:sz w:val="18"/>
          <w:szCs w:val="18"/>
          <w:lang w:val="de-DE"/>
        </w:rPr>
        <w:t xml:space="preserve">. </w:t>
      </w:r>
      <w:r w:rsidRPr="004D10F1">
        <w:rPr>
          <w:rFonts w:ascii="Tahoma" w:hAnsi="Tahoma" w:cs="Tahoma"/>
          <w:color w:val="000000"/>
          <w:sz w:val="18"/>
          <w:szCs w:val="18"/>
          <w:lang w:val="de-DE"/>
        </w:rPr>
        <w:t>Wenn die CA/SA-Spalte keine Angaben enthält, werden die Produkte nicht im Rahmen dieser</w:t>
      </w:r>
      <w:r w:rsidR="00867FEA">
        <w:rPr>
          <w:rFonts w:ascii="Tahoma" w:hAnsi="Tahoma" w:cs="Tahoma"/>
          <w:color w:val="000000"/>
          <w:sz w:val="18"/>
          <w:szCs w:val="18"/>
          <w:lang w:val="de-DE"/>
        </w:rPr>
        <w:t> </w:t>
      </w:r>
      <w:r w:rsidRPr="004D10F1">
        <w:rPr>
          <w:rFonts w:ascii="Tahoma" w:hAnsi="Tahoma" w:cs="Tahoma"/>
          <w:color w:val="000000"/>
          <w:sz w:val="18"/>
          <w:szCs w:val="18"/>
          <w:lang w:val="de-DE"/>
        </w:rPr>
        <w:t>Programme angeboten</w:t>
      </w:r>
      <w:r w:rsidR="006257A7">
        <w:rPr>
          <w:rFonts w:ascii="Tahoma" w:hAnsi="Tahoma" w:cs="Tahoma"/>
          <w:color w:val="000000"/>
          <w:sz w:val="18"/>
          <w:szCs w:val="18"/>
          <w:lang w:val="de-DE"/>
        </w:rPr>
        <w:t xml:space="preserve">. </w:t>
      </w:r>
    </w:p>
    <w:p w:rsidR="00023FE7" w:rsidRPr="004D10F1" w:rsidRDefault="00023FE7">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 xml:space="preserve">Verfügbarkeitsdatum </w:t>
      </w:r>
      <w:r w:rsidRPr="00867FEA">
        <w:rPr>
          <w:rStyle w:val="BodyChar"/>
          <w:rFonts w:ascii="Tahoma" w:hAnsi="Tahoma" w:cs="Tahoma"/>
          <w:b/>
          <w:sz w:val="18"/>
          <w:szCs w:val="18"/>
          <w:lang w:val="de-DE"/>
        </w:rPr>
        <w:t>=</w:t>
      </w:r>
      <w:r w:rsidRPr="00867FEA">
        <w:rPr>
          <w:rStyle w:val="BodyChar"/>
          <w:rFonts w:ascii="Tahoma" w:hAnsi="Tahoma" w:cs="Tahoma"/>
          <w:bCs/>
          <w:sz w:val="18"/>
          <w:szCs w:val="18"/>
          <w:lang w:val="de-DE"/>
        </w:rPr>
        <w:t xml:space="preserve"> D</w:t>
      </w:r>
      <w:r w:rsidRPr="004D10F1">
        <w:rPr>
          <w:rStyle w:val="BodyChar"/>
          <w:rFonts w:ascii="Tahoma" w:hAnsi="Tahoma" w:cs="Tahoma"/>
          <w:sz w:val="18"/>
          <w:szCs w:val="18"/>
          <w:lang w:val="de-DE"/>
        </w:rPr>
        <w:t>atum, an dem ein Produkt erstmals verfügbar ist</w:t>
      </w:r>
      <w:r w:rsidRPr="004D10F1">
        <w:rPr>
          <w:rStyle w:val="BodyChar"/>
          <w:rFonts w:ascii="Tahoma" w:hAnsi="Tahoma" w:cs="Tahoma"/>
          <w:color w:val="000000"/>
          <w:sz w:val="18"/>
          <w:szCs w:val="18"/>
          <w:lang w:val="de-DE"/>
        </w:rPr>
        <w:t xml:space="preserve"> (Monat/Jahr)</w:t>
      </w:r>
      <w:r w:rsidR="006257A7">
        <w:rPr>
          <w:rStyle w:val="BodyChar"/>
          <w:rFonts w:ascii="Tahoma" w:hAnsi="Tahoma" w:cs="Tahoma"/>
          <w:color w:val="000000"/>
          <w:sz w:val="18"/>
          <w:szCs w:val="18"/>
          <w:lang w:val="de-DE"/>
        </w:rPr>
        <w:t xml:space="preserve">. </w:t>
      </w:r>
      <w:r w:rsidRPr="004D10F1">
        <w:rPr>
          <w:rStyle w:val="BodyChar"/>
          <w:rFonts w:ascii="Tahoma" w:hAnsi="Tahoma" w:cs="Tahoma"/>
          <w:sz w:val="18"/>
          <w:szCs w:val="18"/>
          <w:lang w:val="de-DE"/>
        </w:rPr>
        <w:t>Dies ist entweder das Datum, an dem Microsoft Lizenzen für das jeweilige Produkt zur Bestellung oder Software für das jeweilige Produkt zum Download aus dem Center für Volumenlizenz-Services (VLSC) verfügbar macht, wobei das frühere Datum maßgeblich ist</w:t>
      </w:r>
      <w:r w:rsidR="006257A7">
        <w:rPr>
          <w:rStyle w:val="BodyChar"/>
          <w:rFonts w:ascii="Tahoma" w:hAnsi="Tahoma" w:cs="Tahoma"/>
          <w:sz w:val="18"/>
          <w:szCs w:val="18"/>
          <w:lang w:val="de-DE"/>
        </w:rPr>
        <w:t xml:space="preserve">. </w:t>
      </w:r>
    </w:p>
    <w:p w:rsidR="00023FE7" w:rsidRPr="004D10F1" w:rsidRDefault="00023FE7">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EA (Enterprise Agreement, Konzernvertrag) =</w:t>
      </w:r>
      <w:r w:rsidRPr="004D10F1">
        <w:rPr>
          <w:rFonts w:ascii="Tahoma" w:hAnsi="Tahoma" w:cs="Tahoma"/>
          <w:sz w:val="18"/>
          <w:szCs w:val="18"/>
          <w:lang w:val="de-DE"/>
        </w:rPr>
        <w:t xml:space="preserve"> Konzernvertrag 20xx</w:t>
      </w:r>
      <w:r w:rsidR="006257A7">
        <w:rPr>
          <w:rFonts w:ascii="Tahoma" w:hAnsi="Tahoma" w:cs="Tahoma"/>
          <w:sz w:val="18"/>
          <w:szCs w:val="18"/>
          <w:lang w:val="de-DE"/>
        </w:rPr>
        <w:t xml:space="preserve">. </w:t>
      </w:r>
    </w:p>
    <w:p w:rsidR="00023FE7" w:rsidRPr="004D10F1" w:rsidRDefault="00023FE7">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EA Sub (Konzern-Abonnement-Vertrag) =</w:t>
      </w:r>
      <w:r w:rsidRPr="00867FEA">
        <w:rPr>
          <w:rStyle w:val="BodyChar"/>
          <w:rFonts w:ascii="Tahoma" w:hAnsi="Tahoma" w:cs="Tahoma"/>
          <w:bCs/>
          <w:sz w:val="18"/>
          <w:szCs w:val="18"/>
          <w:lang w:val="de-DE"/>
        </w:rPr>
        <w:t xml:space="preserve"> </w:t>
      </w:r>
      <w:r w:rsidRPr="004D10F1">
        <w:rPr>
          <w:rFonts w:ascii="Tahoma" w:hAnsi="Tahoma" w:cs="Tahoma"/>
          <w:sz w:val="18"/>
          <w:szCs w:val="18"/>
          <w:lang w:val="de-DE"/>
        </w:rPr>
        <w:t>Konzern-Abonnement-Vertrag 200x</w:t>
      </w:r>
      <w:r w:rsidR="006257A7">
        <w:rPr>
          <w:rFonts w:ascii="Tahoma" w:hAnsi="Tahoma" w:cs="Tahoma"/>
          <w:sz w:val="18"/>
          <w:szCs w:val="18"/>
          <w:lang w:val="de-DE"/>
        </w:rPr>
        <w:t xml:space="preserve">. </w:t>
      </w:r>
    </w:p>
    <w:p w:rsidR="00456002" w:rsidRPr="004D10F1" w:rsidRDefault="00456002" w:rsidP="00867FEA">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Mindestmenge bei Open-Programmen =</w:t>
      </w:r>
      <w:r w:rsidRPr="004D10F1">
        <w:rPr>
          <w:rFonts w:ascii="Tahoma" w:hAnsi="Tahoma" w:cs="Tahoma"/>
          <w:sz w:val="18"/>
          <w:szCs w:val="18"/>
          <w:lang w:val="de-DE"/>
        </w:rPr>
        <w:t xml:space="preserve"> Jede Lizenz zählt nur als 5 Lizenzen für den Zweck der Mindestmenge der Anfangsbestellung in Open-Lizenz- und/oder Open Value-Programmen</w:t>
      </w:r>
      <w:r w:rsidR="006257A7">
        <w:rPr>
          <w:rFonts w:ascii="Tahoma" w:hAnsi="Tahoma" w:cs="Tahoma"/>
          <w:sz w:val="18"/>
          <w:szCs w:val="18"/>
          <w:lang w:val="de-DE"/>
        </w:rPr>
        <w:t xml:space="preserve">. </w:t>
      </w:r>
      <w:r w:rsidRPr="004D10F1">
        <w:rPr>
          <w:rFonts w:ascii="Tahoma" w:hAnsi="Tahoma" w:cs="Tahoma"/>
          <w:sz w:val="18"/>
          <w:szCs w:val="18"/>
          <w:lang w:val="de-DE"/>
        </w:rPr>
        <w:t>Der Wert gibt an,</w:t>
      </w:r>
      <w:r w:rsidR="00867FEA">
        <w:rPr>
          <w:rFonts w:ascii="Tahoma" w:hAnsi="Tahoma" w:cs="Tahoma"/>
          <w:sz w:val="18"/>
          <w:szCs w:val="18"/>
          <w:lang w:val="de-DE"/>
        </w:rPr>
        <w:t> </w:t>
      </w:r>
      <w:r w:rsidRPr="004D10F1">
        <w:rPr>
          <w:rFonts w:ascii="Tahoma" w:hAnsi="Tahoma" w:cs="Tahoma"/>
          <w:sz w:val="18"/>
          <w:szCs w:val="18"/>
          <w:lang w:val="de-DE"/>
        </w:rPr>
        <w:t>für welches Programm dies gilt</w:t>
      </w:r>
      <w:r w:rsidR="006257A7">
        <w:rPr>
          <w:rFonts w:ascii="Tahoma" w:hAnsi="Tahoma" w:cs="Tahoma"/>
          <w:sz w:val="18"/>
          <w:szCs w:val="18"/>
          <w:lang w:val="de-DE"/>
        </w:rPr>
        <w:t xml:space="preserve">. </w:t>
      </w:r>
    </w:p>
    <w:p w:rsidR="00456002" w:rsidRPr="004D10F1" w:rsidRDefault="00456002" w:rsidP="00867FEA">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Open-Lizenz =</w:t>
      </w:r>
      <w:r w:rsidRPr="004D10F1">
        <w:rPr>
          <w:rFonts w:ascii="Tahoma" w:hAnsi="Tahoma" w:cs="Tahoma"/>
          <w:sz w:val="18"/>
          <w:szCs w:val="18"/>
          <w:lang w:val="de-DE"/>
        </w:rPr>
        <w:t xml:space="preserve"> Die auf Open-Lizenz beschränkte Komponente der Open-Programme</w:t>
      </w:r>
      <w:r w:rsidR="006257A7">
        <w:rPr>
          <w:rFonts w:ascii="Tahoma" w:hAnsi="Tahoma" w:cs="Tahoma"/>
          <w:sz w:val="18"/>
          <w:szCs w:val="18"/>
          <w:lang w:val="de-DE"/>
        </w:rPr>
        <w:t xml:space="preserve">. </w:t>
      </w:r>
      <w:r w:rsidRPr="004D10F1">
        <w:rPr>
          <w:rFonts w:ascii="Tahoma" w:hAnsi="Tahoma" w:cs="Tahoma"/>
          <w:sz w:val="18"/>
          <w:szCs w:val="18"/>
          <w:lang w:val="de-DE"/>
        </w:rPr>
        <w:t>Zu Open-Lizenz gehören, sofern verfügbar, Open-Lizenz, Open-Lizenz für Forschung &amp; Lehre, Open-Lizenz für Verwaltung und</w:t>
      </w:r>
      <w:r w:rsidR="00867FEA">
        <w:rPr>
          <w:rFonts w:ascii="Tahoma" w:hAnsi="Tahoma" w:cs="Tahoma"/>
          <w:sz w:val="18"/>
          <w:szCs w:val="18"/>
          <w:lang w:val="de-DE"/>
        </w:rPr>
        <w:t> </w:t>
      </w:r>
      <w:r w:rsidRPr="004D10F1">
        <w:rPr>
          <w:rFonts w:ascii="Tahoma" w:hAnsi="Tahoma" w:cs="Tahoma"/>
          <w:sz w:val="18"/>
          <w:szCs w:val="18"/>
          <w:lang w:val="de-DE"/>
        </w:rPr>
        <w:t>Charity Open-Lizenz</w:t>
      </w:r>
      <w:r w:rsidR="006257A7">
        <w:rPr>
          <w:rFonts w:ascii="Tahoma" w:hAnsi="Tahoma" w:cs="Tahoma"/>
          <w:sz w:val="18"/>
          <w:szCs w:val="18"/>
          <w:lang w:val="de-DE"/>
        </w:rPr>
        <w:t xml:space="preserve">. </w:t>
      </w:r>
    </w:p>
    <w:p w:rsidR="00456002" w:rsidRPr="004D10F1" w:rsidRDefault="00456002" w:rsidP="00456002">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Open Value (OV)</w:t>
      </w:r>
      <w:r w:rsidR="00867FEA">
        <w:rPr>
          <w:rStyle w:val="BodyChar"/>
          <w:rFonts w:ascii="Tahoma" w:hAnsi="Tahoma" w:cs="Tahoma"/>
          <w:b/>
          <w:sz w:val="18"/>
          <w:szCs w:val="18"/>
          <w:lang w:val="de-DE"/>
        </w:rPr>
        <w:t xml:space="preserve"> </w:t>
      </w:r>
      <w:r w:rsidRPr="004D10F1">
        <w:rPr>
          <w:rStyle w:val="BodyChar"/>
          <w:rFonts w:ascii="Tahoma" w:hAnsi="Tahoma" w:cs="Tahoma"/>
          <w:b/>
          <w:sz w:val="18"/>
          <w:szCs w:val="18"/>
          <w:lang w:val="de-DE"/>
        </w:rPr>
        <w:t>=</w:t>
      </w:r>
      <w:r w:rsidRPr="004D10F1">
        <w:rPr>
          <w:rFonts w:ascii="Tahoma" w:hAnsi="Tahoma" w:cs="Tahoma"/>
          <w:sz w:val="18"/>
          <w:szCs w:val="18"/>
          <w:lang w:val="de-DE"/>
        </w:rPr>
        <w:t xml:space="preserve"> Zu Open Value gehören Open Value und Open Value für Verwaltung</w:t>
      </w:r>
      <w:r w:rsidR="006257A7">
        <w:rPr>
          <w:rFonts w:ascii="Tahoma" w:hAnsi="Tahoma" w:cs="Tahoma"/>
          <w:sz w:val="18"/>
          <w:szCs w:val="18"/>
          <w:lang w:val="de-DE"/>
        </w:rPr>
        <w:t xml:space="preserve">. </w:t>
      </w:r>
    </w:p>
    <w:p w:rsidR="00456002" w:rsidRPr="004D10F1" w:rsidRDefault="00456002" w:rsidP="00867FEA">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Open Value Subscription (OVS)</w:t>
      </w:r>
      <w:r w:rsidR="00867FEA">
        <w:rPr>
          <w:rStyle w:val="BodyChar"/>
          <w:rFonts w:ascii="Tahoma" w:hAnsi="Tahoma" w:cs="Tahoma"/>
          <w:b/>
          <w:sz w:val="18"/>
          <w:szCs w:val="18"/>
          <w:lang w:val="de-DE"/>
        </w:rPr>
        <w:t xml:space="preserve"> </w:t>
      </w:r>
      <w:r w:rsidRPr="004D10F1">
        <w:rPr>
          <w:rStyle w:val="BodyChar"/>
          <w:rFonts w:ascii="Tahoma" w:hAnsi="Tahoma" w:cs="Tahoma"/>
          <w:b/>
          <w:sz w:val="18"/>
          <w:szCs w:val="18"/>
          <w:lang w:val="de-DE"/>
        </w:rPr>
        <w:t>=</w:t>
      </w:r>
      <w:r w:rsidRPr="004D10F1">
        <w:rPr>
          <w:rFonts w:ascii="Tahoma" w:hAnsi="Tahoma" w:cs="Tahoma"/>
          <w:sz w:val="18"/>
          <w:szCs w:val="18"/>
          <w:lang w:val="de-DE"/>
        </w:rPr>
        <w:t xml:space="preserve"> Zu Open Value Subscription gehören Open Value Subscription und Open</w:t>
      </w:r>
      <w:r w:rsidR="00867FEA">
        <w:rPr>
          <w:rFonts w:ascii="Tahoma" w:hAnsi="Tahoma" w:cs="Tahoma"/>
          <w:sz w:val="18"/>
          <w:szCs w:val="18"/>
          <w:lang w:val="de-DE"/>
        </w:rPr>
        <w:t> </w:t>
      </w:r>
      <w:r w:rsidRPr="004D10F1">
        <w:rPr>
          <w:rFonts w:ascii="Tahoma" w:hAnsi="Tahoma" w:cs="Tahoma"/>
          <w:sz w:val="18"/>
          <w:szCs w:val="18"/>
          <w:lang w:val="de-DE"/>
        </w:rPr>
        <w:t>Value Subscription für Verwaltung</w:t>
      </w:r>
      <w:r w:rsidR="006257A7">
        <w:rPr>
          <w:rFonts w:ascii="Tahoma" w:hAnsi="Tahoma" w:cs="Tahoma"/>
          <w:sz w:val="18"/>
          <w:szCs w:val="18"/>
          <w:lang w:val="de-DE"/>
        </w:rPr>
        <w:t xml:space="preserve">. </w:t>
      </w:r>
    </w:p>
    <w:p w:rsidR="00456002" w:rsidRPr="004D10F1" w:rsidRDefault="00456002" w:rsidP="00456002">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EES/OVS-ES =</w:t>
      </w:r>
      <w:r w:rsidRPr="00867FEA">
        <w:rPr>
          <w:rStyle w:val="BodyChar"/>
          <w:rFonts w:ascii="Tahoma" w:hAnsi="Tahoma" w:cs="Tahoma"/>
          <w:bCs/>
          <w:sz w:val="18"/>
          <w:szCs w:val="18"/>
          <w:lang w:val="de-DE"/>
        </w:rPr>
        <w:t xml:space="preserve"> </w:t>
      </w:r>
      <w:r w:rsidRPr="004D10F1">
        <w:rPr>
          <w:rStyle w:val="BodyChar"/>
          <w:rFonts w:ascii="Tahoma" w:hAnsi="Tahoma" w:cs="Tahoma"/>
          <w:sz w:val="18"/>
          <w:szCs w:val="18"/>
          <w:lang w:val="de-DE"/>
        </w:rPr>
        <w:t>Beitritt für Bildungslösungen/Open Value Subscription – Bildungslösungen</w:t>
      </w:r>
    </w:p>
    <w:p w:rsidR="00456002" w:rsidRPr="004D10F1" w:rsidRDefault="00456002" w:rsidP="00456002">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Promos &amp; Migrationen =</w:t>
      </w:r>
      <w:r w:rsidRPr="004D10F1">
        <w:rPr>
          <w:rFonts w:ascii="Tahoma" w:hAnsi="Tahoma" w:cs="Tahoma"/>
          <w:sz w:val="18"/>
          <w:szCs w:val="18"/>
          <w:lang w:val="de-DE"/>
        </w:rPr>
        <w:t xml:space="preserve"> Eine Promotion oder Softwaremigration steht zur Verfügung</w:t>
      </w:r>
      <w:r w:rsidR="006257A7">
        <w:rPr>
          <w:rFonts w:ascii="Tahoma" w:hAnsi="Tahoma" w:cs="Tahoma"/>
          <w:sz w:val="18"/>
          <w:szCs w:val="18"/>
          <w:lang w:val="de-DE"/>
        </w:rPr>
        <w:t xml:space="preserve">. </w:t>
      </w:r>
    </w:p>
    <w:p w:rsidR="00456002" w:rsidRPr="004D10F1" w:rsidRDefault="00456002" w:rsidP="00456002">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SAV =</w:t>
      </w:r>
      <w:r w:rsidRPr="004D10F1">
        <w:rPr>
          <w:rFonts w:ascii="Tahoma" w:hAnsi="Tahoma" w:cs="Tahoma"/>
          <w:sz w:val="18"/>
          <w:szCs w:val="18"/>
          <w:lang w:val="de-DE"/>
        </w:rPr>
        <w:t xml:space="preserve"> Für berechtigte Kunden dieser Software gibt es Software Assurance-Vergünstigungen</w:t>
      </w:r>
      <w:r w:rsidR="006257A7">
        <w:rPr>
          <w:rFonts w:ascii="Tahoma" w:hAnsi="Tahoma" w:cs="Tahoma"/>
          <w:sz w:val="18"/>
          <w:szCs w:val="18"/>
          <w:lang w:val="de-DE"/>
        </w:rPr>
        <w:t xml:space="preserve">. </w:t>
      </w:r>
    </w:p>
    <w:p w:rsidR="00456002" w:rsidRPr="004D10F1" w:rsidRDefault="00456002" w:rsidP="00456002">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Select =</w:t>
      </w:r>
      <w:r w:rsidRPr="004D10F1">
        <w:rPr>
          <w:rFonts w:ascii="Tahoma" w:hAnsi="Tahoma" w:cs="Tahoma"/>
          <w:sz w:val="18"/>
          <w:szCs w:val="18"/>
          <w:lang w:val="de-DE"/>
        </w:rPr>
        <w:t xml:space="preserve"> Select 20xx</w:t>
      </w:r>
      <w:r w:rsidR="006257A7">
        <w:rPr>
          <w:rFonts w:ascii="Tahoma" w:hAnsi="Tahoma" w:cs="Tahoma"/>
          <w:sz w:val="18"/>
          <w:szCs w:val="18"/>
          <w:lang w:val="de-DE"/>
        </w:rPr>
        <w:t xml:space="preserve">. </w:t>
      </w:r>
      <w:r w:rsidRPr="004D10F1">
        <w:rPr>
          <w:rFonts w:ascii="Tahoma" w:hAnsi="Tahoma" w:cs="Tahoma"/>
          <w:sz w:val="18"/>
          <w:szCs w:val="18"/>
          <w:lang w:val="de-DE"/>
        </w:rPr>
        <w:t>Hierzu zählen auch Select für Forschung &amp; Lehre und Select für Verwaltung</w:t>
      </w:r>
      <w:r w:rsidR="006257A7">
        <w:rPr>
          <w:rFonts w:ascii="Tahoma" w:hAnsi="Tahoma" w:cs="Tahoma"/>
          <w:sz w:val="18"/>
          <w:szCs w:val="18"/>
          <w:lang w:val="de-DE"/>
        </w:rPr>
        <w:t xml:space="preserve">. </w:t>
      </w:r>
    </w:p>
    <w:p w:rsidR="00456002" w:rsidRPr="004D10F1" w:rsidRDefault="00456002" w:rsidP="00867FEA">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fr-FR"/>
        </w:rPr>
        <w:t>Select Plus</w:t>
      </w:r>
      <w:r w:rsidRPr="00867FEA">
        <w:rPr>
          <w:rStyle w:val="BodyChar"/>
          <w:rFonts w:ascii="Tahoma" w:hAnsi="Tahoma" w:cs="Tahoma"/>
          <w:b/>
          <w:bCs/>
          <w:sz w:val="18"/>
          <w:szCs w:val="18"/>
          <w:lang w:val="fr-FR"/>
        </w:rPr>
        <w:t xml:space="preserve"> =</w:t>
      </w:r>
      <w:r w:rsidRPr="004D10F1">
        <w:rPr>
          <w:rStyle w:val="BodyChar"/>
          <w:rFonts w:ascii="Tahoma" w:hAnsi="Tahoma" w:cs="Tahoma"/>
          <w:sz w:val="18"/>
          <w:szCs w:val="18"/>
          <w:lang w:val="fr-FR"/>
        </w:rPr>
        <w:t xml:space="preserve"> Select Plus 20xx </w:t>
      </w:r>
      <w:r w:rsidR="006257A7">
        <w:rPr>
          <w:rStyle w:val="BodyChar"/>
          <w:rFonts w:ascii="Tahoma" w:hAnsi="Tahoma" w:cs="Tahoma"/>
          <w:sz w:val="18"/>
          <w:szCs w:val="18"/>
          <w:lang w:val="fr-FR"/>
        </w:rPr>
        <w:t xml:space="preserve">. </w:t>
      </w:r>
      <w:r w:rsidRPr="004D10F1">
        <w:rPr>
          <w:rStyle w:val="BodyChar"/>
          <w:rFonts w:ascii="Tahoma" w:hAnsi="Tahoma" w:cs="Tahoma"/>
          <w:sz w:val="18"/>
          <w:szCs w:val="18"/>
          <w:lang w:val="de-DE"/>
        </w:rPr>
        <w:t>Hierzu zählen auch Select Plus für Forschung &amp; Lehre und Select Plus für</w:t>
      </w:r>
      <w:r w:rsidR="00867FEA">
        <w:rPr>
          <w:rStyle w:val="BodyChar"/>
          <w:rFonts w:ascii="Tahoma" w:hAnsi="Tahoma" w:cs="Tahoma"/>
          <w:sz w:val="18"/>
          <w:szCs w:val="18"/>
          <w:lang w:val="de-DE"/>
        </w:rPr>
        <w:t> </w:t>
      </w:r>
      <w:r w:rsidRPr="004D10F1">
        <w:rPr>
          <w:rStyle w:val="BodyChar"/>
          <w:rFonts w:ascii="Tahoma" w:hAnsi="Tahoma" w:cs="Tahoma"/>
          <w:sz w:val="18"/>
          <w:szCs w:val="18"/>
          <w:lang w:val="de-DE"/>
        </w:rPr>
        <w:t>Verwaltung</w:t>
      </w:r>
      <w:r w:rsidR="006257A7">
        <w:rPr>
          <w:rStyle w:val="BodyChar"/>
          <w:rFonts w:ascii="Tahoma" w:hAnsi="Tahoma" w:cs="Tahoma"/>
          <w:sz w:val="18"/>
          <w:szCs w:val="18"/>
          <w:lang w:val="de-DE"/>
        </w:rPr>
        <w:t xml:space="preserve">. </w:t>
      </w:r>
    </w:p>
    <w:p w:rsidR="00023FE7" w:rsidRPr="004D10F1" w:rsidRDefault="00023FE7">
      <w:pPr>
        <w:pStyle w:val="Bodywithspace"/>
        <w:spacing w:before="0" w:after="0"/>
        <w:ind w:right="-180"/>
        <w:rPr>
          <w:rFonts w:ascii="Tahoma" w:hAnsi="Tahoma" w:cs="Tahoma"/>
          <w:lang w:val="de-DE"/>
        </w:rPr>
      </w:pPr>
    </w:p>
    <w:p w:rsidR="00023FE7" w:rsidRPr="004D10F1" w:rsidRDefault="00023FE7">
      <w:pPr>
        <w:pStyle w:val="ChartKeyHeadings"/>
        <w:ind w:right="-180"/>
        <w:rPr>
          <w:rFonts w:ascii="Tahoma" w:hAnsi="Tahoma" w:cs="Tahoma"/>
          <w:lang w:val="de-DE"/>
        </w:rPr>
      </w:pPr>
      <w:r w:rsidRPr="004D10F1">
        <w:rPr>
          <w:rFonts w:ascii="Tahoma" w:hAnsi="Tahoma" w:cs="Tahoma"/>
          <w:szCs w:val="28"/>
          <w:lang w:val="de-DE"/>
        </w:rPr>
        <w:t>Spaltenwerte</w:t>
      </w:r>
    </w:p>
    <w:p w:rsidR="00023FE7" w:rsidRPr="004D10F1" w:rsidRDefault="00023FE7">
      <w:pPr>
        <w:pStyle w:val="ChartKeyHeadings"/>
        <w:ind w:right="-180"/>
        <w:rPr>
          <w:rFonts w:ascii="Tahoma" w:hAnsi="Tahoma" w:cs="Tahoma"/>
          <w:lang w:val="de-DE"/>
        </w:rPr>
      </w:pPr>
    </w:p>
    <w:p w:rsidR="00023FE7" w:rsidRPr="004D10F1" w:rsidRDefault="00023FE7">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1 Jahr =</w:t>
      </w:r>
      <w:r w:rsidRPr="00867FEA">
        <w:rPr>
          <w:rStyle w:val="BodyChar"/>
          <w:rFonts w:ascii="Tahoma" w:hAnsi="Tahoma" w:cs="Tahoma"/>
          <w:bCs/>
          <w:sz w:val="18"/>
          <w:szCs w:val="18"/>
          <w:lang w:val="de-DE"/>
        </w:rPr>
        <w:t xml:space="preserve"> </w:t>
      </w:r>
      <w:r w:rsidRPr="004D10F1">
        <w:rPr>
          <w:rFonts w:ascii="Tahoma" w:hAnsi="Tahoma" w:cs="Tahoma"/>
          <w:sz w:val="18"/>
          <w:szCs w:val="18"/>
          <w:lang w:val="de-DE"/>
        </w:rPr>
        <w:t>(verbleibende Vertragslaufzeit von 1 Jahr)</w:t>
      </w:r>
      <w:r w:rsidR="006257A7">
        <w:rPr>
          <w:rFonts w:ascii="Tahoma" w:hAnsi="Tahoma" w:cs="Tahoma"/>
          <w:sz w:val="18"/>
          <w:szCs w:val="18"/>
          <w:lang w:val="de-DE"/>
        </w:rPr>
        <w:t xml:space="preserve">. </w:t>
      </w:r>
    </w:p>
    <w:p w:rsidR="00023FE7" w:rsidRPr="004D10F1" w:rsidRDefault="00023FE7">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2 Jahre =</w:t>
      </w:r>
      <w:r w:rsidRPr="004D10F1">
        <w:rPr>
          <w:rFonts w:ascii="Tahoma" w:hAnsi="Tahoma" w:cs="Tahoma"/>
          <w:sz w:val="18"/>
          <w:szCs w:val="18"/>
          <w:lang w:val="de-DE"/>
        </w:rPr>
        <w:t xml:space="preserve"> (verbleibende Vertragslaufzeit von 2 Jahren)</w:t>
      </w:r>
      <w:r w:rsidR="006257A7">
        <w:rPr>
          <w:rFonts w:ascii="Tahoma" w:hAnsi="Tahoma" w:cs="Tahoma"/>
          <w:sz w:val="18"/>
          <w:szCs w:val="18"/>
          <w:lang w:val="de-DE"/>
        </w:rPr>
        <w:t xml:space="preserve">. </w:t>
      </w:r>
    </w:p>
    <w:p w:rsidR="00023FE7" w:rsidRPr="004D10F1" w:rsidRDefault="00023FE7">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3 Jahre =</w:t>
      </w:r>
      <w:r w:rsidRPr="004D10F1">
        <w:rPr>
          <w:rFonts w:ascii="Tahoma" w:hAnsi="Tahoma" w:cs="Tahoma"/>
          <w:sz w:val="18"/>
          <w:szCs w:val="18"/>
          <w:lang w:val="de-DE"/>
        </w:rPr>
        <w:t xml:space="preserve"> (verbleibende Vertragslaufzeit von 3 Jahren)</w:t>
      </w:r>
      <w:r w:rsidR="006257A7">
        <w:rPr>
          <w:rFonts w:ascii="Tahoma" w:hAnsi="Tahoma" w:cs="Tahoma"/>
          <w:sz w:val="18"/>
          <w:szCs w:val="18"/>
          <w:lang w:val="de-DE"/>
        </w:rPr>
        <w:t xml:space="preserve">. </w:t>
      </w:r>
    </w:p>
    <w:p w:rsidR="00023FE7" w:rsidRPr="004D10F1" w:rsidRDefault="00023FE7">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A =</w:t>
      </w:r>
      <w:r w:rsidRPr="004D10F1">
        <w:rPr>
          <w:rFonts w:ascii="Tahoma" w:hAnsi="Tahoma" w:cs="Tahoma"/>
          <w:sz w:val="18"/>
          <w:szCs w:val="18"/>
          <w:lang w:val="de-DE"/>
        </w:rPr>
        <w:t xml:space="preserve"> Gibt an, dass die Software als zusätzliches Produkt angeboten wird</w:t>
      </w:r>
      <w:r w:rsidR="006257A7">
        <w:rPr>
          <w:rFonts w:ascii="Tahoma" w:hAnsi="Tahoma" w:cs="Tahoma"/>
          <w:sz w:val="18"/>
          <w:szCs w:val="18"/>
          <w:lang w:val="de-DE"/>
        </w:rPr>
        <w:t xml:space="preserve">. </w:t>
      </w:r>
    </w:p>
    <w:p w:rsidR="009E22D0" w:rsidRPr="004D10F1" w:rsidRDefault="009E22D0" w:rsidP="00867FEA">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AO</w:t>
      </w:r>
      <w:r w:rsidRPr="00867FEA">
        <w:rPr>
          <w:rStyle w:val="BodyChar"/>
          <w:rFonts w:ascii="Tahoma" w:hAnsi="Tahoma" w:cs="Tahoma"/>
          <w:b/>
          <w:bCs/>
          <w:sz w:val="18"/>
          <w:szCs w:val="18"/>
          <w:lang w:val="de-DE"/>
        </w:rPr>
        <w:t xml:space="preserve"> </w:t>
      </w:r>
      <w:r w:rsidR="00867FEA" w:rsidRPr="004D10F1">
        <w:rPr>
          <w:rStyle w:val="BodyChar"/>
          <w:rFonts w:ascii="Tahoma" w:hAnsi="Tahoma" w:cs="Tahoma"/>
          <w:b/>
          <w:sz w:val="18"/>
          <w:szCs w:val="18"/>
          <w:lang w:val="de-DE"/>
        </w:rPr>
        <w:t>=</w:t>
      </w:r>
      <w:r w:rsidRPr="00867FEA">
        <w:rPr>
          <w:rStyle w:val="BodyChar"/>
          <w:rFonts w:ascii="Tahoma" w:hAnsi="Tahoma" w:cs="Tahoma"/>
          <w:bCs/>
          <w:sz w:val="18"/>
          <w:szCs w:val="18"/>
          <w:lang w:val="de-DE"/>
        </w:rPr>
        <w:t xml:space="preserve"> </w:t>
      </w:r>
      <w:r w:rsidRPr="004D10F1">
        <w:rPr>
          <w:rFonts w:ascii="Tahoma" w:hAnsi="Tahoma" w:cs="Tahoma"/>
          <w:sz w:val="18"/>
          <w:szCs w:val="18"/>
          <w:lang w:val="de-DE"/>
        </w:rPr>
        <w:t>Gibt an, dass die Software als organisationsweit bestellbares zusätzliches Produkt angeboten wird</w:t>
      </w:r>
      <w:r w:rsidR="006257A7">
        <w:rPr>
          <w:rFonts w:ascii="Tahoma" w:hAnsi="Tahoma" w:cs="Tahoma"/>
          <w:sz w:val="18"/>
          <w:szCs w:val="18"/>
          <w:lang w:val="de-DE"/>
        </w:rPr>
        <w:t xml:space="preserve">. </w:t>
      </w:r>
    </w:p>
    <w:p w:rsidR="009F5F37" w:rsidRPr="004D10F1" w:rsidRDefault="009F5F37">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C =</w:t>
      </w:r>
      <w:r w:rsidRPr="00867FEA">
        <w:rPr>
          <w:rStyle w:val="BodyChar"/>
          <w:rFonts w:ascii="Tahoma" w:hAnsi="Tahoma" w:cs="Tahoma"/>
          <w:bCs/>
          <w:sz w:val="18"/>
          <w:szCs w:val="18"/>
          <w:lang w:val="de-DE"/>
        </w:rPr>
        <w:t xml:space="preserve"> </w:t>
      </w:r>
      <w:r w:rsidRPr="004D10F1">
        <w:rPr>
          <w:rFonts w:ascii="Tahoma" w:hAnsi="Tahoma" w:cs="Tahoma"/>
          <w:sz w:val="18"/>
          <w:szCs w:val="18"/>
          <w:lang w:val="de-DE"/>
        </w:rPr>
        <w:t>Gibt an, dass die Software als Core Infrastructure-Produkt angeboten wird</w:t>
      </w:r>
      <w:r w:rsidR="006257A7">
        <w:rPr>
          <w:rFonts w:ascii="Tahoma" w:hAnsi="Tahoma" w:cs="Tahoma"/>
          <w:sz w:val="18"/>
          <w:szCs w:val="18"/>
          <w:lang w:val="de-DE"/>
        </w:rPr>
        <w:t xml:space="preserve">. </w:t>
      </w:r>
    </w:p>
    <w:p w:rsidR="009F5F37" w:rsidRPr="004D10F1" w:rsidRDefault="009F5F37" w:rsidP="009F5F37">
      <w:pPr>
        <w:pStyle w:val="ListParagraph"/>
        <w:rPr>
          <w:rFonts w:ascii="Tahoma" w:hAnsi="Tahoma" w:cs="Tahoma"/>
          <w:lang w:val="de-DE"/>
        </w:rPr>
      </w:pPr>
      <w:r w:rsidRPr="004D10F1">
        <w:rPr>
          <w:rStyle w:val="BodyChar"/>
          <w:rFonts w:ascii="Tahoma" w:hAnsi="Tahoma" w:cs="Tahoma"/>
          <w:b/>
          <w:sz w:val="18"/>
          <w:szCs w:val="18"/>
          <w:lang w:val="de-DE"/>
        </w:rPr>
        <w:t>D =</w:t>
      </w:r>
      <w:r w:rsidRPr="00867FEA">
        <w:rPr>
          <w:rStyle w:val="BodyChar"/>
          <w:rFonts w:ascii="Tahoma" w:hAnsi="Tahoma" w:cs="Tahoma"/>
          <w:bCs/>
          <w:sz w:val="18"/>
          <w:szCs w:val="18"/>
          <w:lang w:val="de-DE"/>
        </w:rPr>
        <w:t xml:space="preserve"> </w:t>
      </w:r>
      <w:r w:rsidRPr="004D10F1">
        <w:rPr>
          <w:rFonts w:ascii="Tahoma" w:hAnsi="Tahoma" w:cs="Tahoma"/>
          <w:sz w:val="18"/>
          <w:szCs w:val="18"/>
          <w:lang w:val="de-DE"/>
        </w:rPr>
        <w:t>Gibt an, dass die Software als Produkt des Industry Device-Programms angeboten wird</w:t>
      </w:r>
      <w:r w:rsidR="006257A7">
        <w:rPr>
          <w:rFonts w:ascii="Tahoma" w:hAnsi="Tahoma" w:cs="Tahoma"/>
          <w:sz w:val="18"/>
          <w:szCs w:val="18"/>
          <w:lang w:val="de-DE"/>
        </w:rPr>
        <w:t xml:space="preserve">. </w:t>
      </w:r>
    </w:p>
    <w:p w:rsidR="00023FE7" w:rsidRPr="004D10F1" w:rsidRDefault="00023FE7">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DT =</w:t>
      </w:r>
      <w:r w:rsidRPr="004D10F1">
        <w:rPr>
          <w:rFonts w:ascii="Tahoma" w:hAnsi="Tahoma" w:cs="Tahoma"/>
          <w:sz w:val="18"/>
          <w:szCs w:val="18"/>
          <w:lang w:val="de-DE"/>
        </w:rPr>
        <w:t xml:space="preserve"> Software Assurance-Vergünstigungen für Desktop-Angebote</w:t>
      </w:r>
      <w:r w:rsidR="006257A7">
        <w:rPr>
          <w:rFonts w:ascii="Tahoma" w:hAnsi="Tahoma" w:cs="Tahoma"/>
          <w:sz w:val="18"/>
          <w:szCs w:val="18"/>
          <w:lang w:val="de-DE"/>
        </w:rPr>
        <w:t xml:space="preserve">. </w:t>
      </w:r>
    </w:p>
    <w:p w:rsidR="00F90F21" w:rsidRPr="004D10F1" w:rsidRDefault="009055B7">
      <w:pPr>
        <w:pStyle w:val="Bodywithspace"/>
        <w:spacing w:before="0" w:after="0" w:line="276" w:lineRule="auto"/>
        <w:ind w:right="-180"/>
        <w:rPr>
          <w:rFonts w:ascii="Tahoma" w:hAnsi="Tahoma" w:cs="Tahoma"/>
          <w:lang w:val="de-DE"/>
        </w:rPr>
      </w:pPr>
      <w:r w:rsidRPr="004D10F1">
        <w:rPr>
          <w:rFonts w:ascii="Tahoma" w:hAnsi="Tahoma" w:cs="Tahoma"/>
          <w:b/>
          <w:color w:val="000000"/>
          <w:sz w:val="18"/>
          <w:szCs w:val="22"/>
          <w:lang w:val="de-DE"/>
        </w:rPr>
        <w:t>E</w:t>
      </w:r>
      <w:r w:rsidRPr="00867FEA">
        <w:rPr>
          <w:rFonts w:ascii="Tahoma" w:hAnsi="Tahoma" w:cs="Tahoma"/>
          <w:b/>
          <w:bCs/>
          <w:color w:val="000000"/>
          <w:sz w:val="18"/>
          <w:szCs w:val="22"/>
          <w:lang w:val="de-DE"/>
        </w:rPr>
        <w:t xml:space="preserve"> =</w:t>
      </w:r>
      <w:r w:rsidRPr="004D10F1">
        <w:rPr>
          <w:rFonts w:ascii="Tahoma" w:hAnsi="Tahoma" w:cs="Tahoma"/>
          <w:color w:val="000000"/>
          <w:sz w:val="18"/>
          <w:szCs w:val="22"/>
          <w:lang w:val="de-DE"/>
        </w:rPr>
        <w:t xml:space="preserve"> Gibt an, dass das Produkt als Konzernprodukt oder als Desktop-Plattformprodukt angeboten wird</w:t>
      </w:r>
      <w:r w:rsidR="006257A7">
        <w:rPr>
          <w:rFonts w:ascii="Tahoma" w:hAnsi="Tahoma" w:cs="Tahoma"/>
          <w:color w:val="000000"/>
          <w:sz w:val="18"/>
          <w:szCs w:val="22"/>
          <w:lang w:val="de-DE"/>
        </w:rPr>
        <w:t xml:space="preserve">. </w:t>
      </w:r>
    </w:p>
    <w:p w:rsidR="00B23BE6" w:rsidRPr="004D10F1" w:rsidRDefault="00B23BE6" w:rsidP="00B23BE6">
      <w:pPr>
        <w:spacing w:line="276" w:lineRule="auto"/>
        <w:ind w:left="720" w:right="-180"/>
        <w:rPr>
          <w:rFonts w:cs="Tahoma"/>
          <w:lang w:val="de-DE"/>
        </w:rPr>
      </w:pPr>
      <w:r w:rsidRPr="004D10F1">
        <w:rPr>
          <w:rFonts w:cs="Tahoma"/>
          <w:b/>
          <w:color w:val="000000"/>
          <w:lang w:val="de-DE"/>
        </w:rPr>
        <w:t>EOLS =</w:t>
      </w:r>
      <w:r w:rsidRPr="004D10F1">
        <w:rPr>
          <w:rFonts w:cs="Tahoma"/>
          <w:color w:val="000000"/>
          <w:lang w:val="de-DE"/>
        </w:rPr>
        <w:t xml:space="preserve"> Gibt an, dass das Produkt als Konzern-Onlinedienst oder Plattform-Onlinedienst angeboten wird</w:t>
      </w:r>
      <w:r w:rsidR="006257A7">
        <w:rPr>
          <w:rFonts w:cs="Tahoma"/>
          <w:color w:val="000000"/>
          <w:lang w:val="de-DE"/>
        </w:rPr>
        <w:t xml:space="preserve">. </w:t>
      </w:r>
    </w:p>
    <w:p w:rsidR="00E97819" w:rsidRPr="004D10F1" w:rsidRDefault="00E97819">
      <w:pPr>
        <w:pStyle w:val="Bodywithspace"/>
        <w:spacing w:before="0" w:after="0" w:line="276" w:lineRule="auto"/>
        <w:ind w:right="-180"/>
        <w:rPr>
          <w:rFonts w:ascii="Tahoma" w:hAnsi="Tahoma" w:cs="Tahoma"/>
          <w:lang w:val="de-DE"/>
        </w:rPr>
      </w:pPr>
      <w:r w:rsidRPr="004D10F1">
        <w:rPr>
          <w:rFonts w:ascii="Tahoma" w:hAnsi="Tahoma" w:cs="Tahoma"/>
          <w:b/>
          <w:color w:val="000000"/>
          <w:sz w:val="18"/>
          <w:szCs w:val="22"/>
          <w:lang w:val="de-DE"/>
        </w:rPr>
        <w:t>ST =</w:t>
      </w:r>
      <w:r w:rsidRPr="00867FEA">
        <w:rPr>
          <w:rFonts w:ascii="Tahoma" w:hAnsi="Tahoma" w:cs="Tahoma"/>
          <w:bCs/>
          <w:color w:val="000000"/>
          <w:sz w:val="18"/>
          <w:szCs w:val="22"/>
          <w:lang w:val="de-DE"/>
        </w:rPr>
        <w:t xml:space="preserve"> </w:t>
      </w:r>
      <w:r w:rsidRPr="004D10F1">
        <w:rPr>
          <w:rFonts w:ascii="Tahoma" w:hAnsi="Tahoma" w:cs="Tahoma"/>
          <w:color w:val="000000"/>
          <w:sz w:val="18"/>
          <w:szCs w:val="22"/>
          <w:lang w:val="de-DE"/>
        </w:rPr>
        <w:t>Gibt an, dass die Software als Studentenangebot angeboten wird und für die volle Studentenanzahl bestellt werden muss</w:t>
      </w:r>
      <w:r w:rsidR="006257A7">
        <w:rPr>
          <w:rFonts w:ascii="Tahoma" w:hAnsi="Tahoma" w:cs="Tahoma"/>
          <w:color w:val="000000"/>
          <w:sz w:val="18"/>
          <w:szCs w:val="22"/>
          <w:lang w:val="de-DE"/>
        </w:rPr>
        <w:t xml:space="preserve">. </w:t>
      </w:r>
    </w:p>
    <w:p w:rsidR="00023FE7" w:rsidRPr="004D10F1" w:rsidRDefault="00023FE7" w:rsidP="00EF6A19">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L (License) =</w:t>
      </w:r>
      <w:r w:rsidRPr="004D10F1">
        <w:rPr>
          <w:rFonts w:ascii="Tahoma" w:hAnsi="Tahoma" w:cs="Tahoma"/>
          <w:sz w:val="18"/>
          <w:szCs w:val="18"/>
          <w:lang w:val="de-DE"/>
        </w:rPr>
        <w:t xml:space="preserve"> Vorgesehener Punktwert, wenn für die angegebene Software eine Standardlizenz angeboten</w:t>
      </w:r>
      <w:r w:rsidR="00EF6A19">
        <w:rPr>
          <w:rFonts w:ascii="Tahoma" w:hAnsi="Tahoma" w:cs="Tahoma"/>
          <w:sz w:val="18"/>
          <w:szCs w:val="18"/>
          <w:lang w:val="de-DE"/>
        </w:rPr>
        <w:t> </w:t>
      </w:r>
      <w:r w:rsidRPr="004D10F1">
        <w:rPr>
          <w:rFonts w:ascii="Tahoma" w:hAnsi="Tahoma" w:cs="Tahoma"/>
          <w:sz w:val="18"/>
          <w:szCs w:val="18"/>
          <w:lang w:val="de-DE"/>
        </w:rPr>
        <w:t>wird</w:t>
      </w:r>
      <w:r w:rsidR="006257A7">
        <w:rPr>
          <w:rFonts w:ascii="Tahoma" w:hAnsi="Tahoma" w:cs="Tahoma"/>
          <w:sz w:val="18"/>
          <w:szCs w:val="18"/>
          <w:lang w:val="de-DE"/>
        </w:rPr>
        <w:t xml:space="preserve">. </w:t>
      </w:r>
    </w:p>
    <w:p w:rsidR="00023FE7" w:rsidRPr="004D10F1" w:rsidRDefault="00023FE7" w:rsidP="00867FEA">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L&amp;SA (Lizenz und Software Assurance) =</w:t>
      </w:r>
      <w:r w:rsidRPr="004D10F1">
        <w:rPr>
          <w:rFonts w:ascii="Tahoma" w:hAnsi="Tahoma" w:cs="Tahoma"/>
          <w:sz w:val="18"/>
          <w:szCs w:val="18"/>
          <w:lang w:val="de-DE"/>
        </w:rPr>
        <w:t xml:space="preserve"> Vorgesehener Punktwert, wenn für die angegebene Software</w:t>
      </w:r>
      <w:r w:rsidR="00867FEA">
        <w:rPr>
          <w:rFonts w:ascii="Tahoma" w:hAnsi="Tahoma" w:cs="Tahoma"/>
          <w:sz w:val="18"/>
          <w:szCs w:val="18"/>
          <w:lang w:val="de-DE"/>
        </w:rPr>
        <w:t> </w:t>
      </w:r>
      <w:r w:rsidRPr="004D10F1">
        <w:rPr>
          <w:rFonts w:ascii="Tahoma" w:hAnsi="Tahoma" w:cs="Tahoma"/>
          <w:sz w:val="18"/>
          <w:szCs w:val="18"/>
          <w:lang w:val="de-DE"/>
        </w:rPr>
        <w:t>Lizenz und Software Assurance angeboten wird</w:t>
      </w:r>
      <w:r w:rsidR="006257A7">
        <w:rPr>
          <w:rFonts w:ascii="Tahoma" w:hAnsi="Tahoma" w:cs="Tahoma"/>
          <w:sz w:val="18"/>
          <w:szCs w:val="18"/>
          <w:lang w:val="de-DE"/>
        </w:rPr>
        <w:t xml:space="preserve">. </w:t>
      </w:r>
    </w:p>
    <w:p w:rsidR="00023FE7" w:rsidRPr="004D10F1" w:rsidRDefault="00023FE7">
      <w:pPr>
        <w:pStyle w:val="Bodywithspace"/>
        <w:spacing w:before="0" w:after="0" w:line="276" w:lineRule="auto"/>
        <w:rPr>
          <w:rFonts w:ascii="Tahoma" w:hAnsi="Tahoma" w:cs="Tahoma"/>
          <w:lang w:val="de-DE"/>
        </w:rPr>
      </w:pPr>
      <w:r w:rsidRPr="004D10F1">
        <w:rPr>
          <w:rStyle w:val="BodyChar"/>
          <w:rFonts w:ascii="Tahoma" w:hAnsi="Tahoma" w:cs="Tahoma"/>
          <w:b/>
          <w:bCs/>
          <w:color w:val="000000"/>
          <w:sz w:val="18"/>
          <w:szCs w:val="18"/>
          <w:lang w:val="de-DE"/>
        </w:rPr>
        <w:t>OL =</w:t>
      </w:r>
      <w:r w:rsidRPr="004D10F1">
        <w:rPr>
          <w:rFonts w:ascii="Tahoma" w:hAnsi="Tahoma" w:cs="Tahoma"/>
          <w:color w:val="000000"/>
          <w:sz w:val="18"/>
          <w:szCs w:val="18"/>
          <w:lang w:val="de-DE"/>
        </w:rPr>
        <w:t xml:space="preserve"> Im Rahmen von Open-Lizenz verfügbar</w:t>
      </w:r>
      <w:r w:rsidR="006257A7">
        <w:rPr>
          <w:rFonts w:ascii="Tahoma" w:hAnsi="Tahoma" w:cs="Tahoma"/>
          <w:color w:val="000000"/>
          <w:sz w:val="18"/>
          <w:szCs w:val="18"/>
          <w:lang w:val="de-DE"/>
        </w:rPr>
        <w:t xml:space="preserve">. </w:t>
      </w:r>
    </w:p>
    <w:p w:rsidR="001D3F04" w:rsidRPr="004D10F1" w:rsidRDefault="001D3F04" w:rsidP="001D3F04">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 xml:space="preserve">OSB </w:t>
      </w:r>
      <w:r w:rsidRPr="00867FEA">
        <w:rPr>
          <w:rStyle w:val="BodyChar"/>
          <w:rFonts w:ascii="Tahoma" w:hAnsi="Tahoma" w:cs="Tahoma"/>
          <w:b/>
          <w:bCs/>
          <w:sz w:val="18"/>
          <w:szCs w:val="18"/>
          <w:lang w:val="de-DE"/>
        </w:rPr>
        <w:t>=</w:t>
      </w:r>
      <w:r w:rsidRPr="004D10F1">
        <w:rPr>
          <w:rStyle w:val="BodyChar"/>
          <w:rFonts w:ascii="Tahoma" w:hAnsi="Tahoma" w:cs="Tahoma"/>
          <w:sz w:val="18"/>
          <w:szCs w:val="18"/>
          <w:lang w:val="de-DE"/>
        </w:rPr>
        <w:t xml:space="preserve"> Onlinedienste-Vergünstigungen für berechtigte Kunden</w:t>
      </w:r>
      <w:r w:rsidR="006257A7">
        <w:rPr>
          <w:rStyle w:val="BodyChar"/>
          <w:rFonts w:ascii="Tahoma" w:hAnsi="Tahoma" w:cs="Tahoma"/>
          <w:sz w:val="18"/>
          <w:szCs w:val="18"/>
          <w:lang w:val="de-DE"/>
        </w:rPr>
        <w:t xml:space="preserve">. </w:t>
      </w:r>
      <w:r w:rsidRPr="004D10F1">
        <w:rPr>
          <w:rStyle w:val="BodyChar"/>
          <w:rFonts w:ascii="Tahoma" w:hAnsi="Tahoma" w:cs="Tahoma"/>
          <w:sz w:val="18"/>
          <w:szCs w:val="18"/>
          <w:lang w:val="de-DE"/>
        </w:rPr>
        <w:t>Beachten Sie, dass P</w:t>
      </w:r>
      <w:r w:rsidRPr="004D10F1">
        <w:rPr>
          <w:rFonts w:ascii="Tahoma" w:hAnsi="Tahoma" w:cs="Tahoma"/>
          <w:sz w:val="18"/>
          <w:szCs w:val="18"/>
          <w:lang w:val="de-DE"/>
        </w:rPr>
        <w:t>rodukte, die für Onlinedienste-Vergünstigungen berechtigt sind, in mehreren Produkt-Pool-Tabellen aufgeführt werden können</w:t>
      </w:r>
      <w:r w:rsidR="006257A7">
        <w:rPr>
          <w:rFonts w:ascii="Tahoma" w:hAnsi="Tahoma" w:cs="Tahoma"/>
          <w:sz w:val="18"/>
          <w:szCs w:val="18"/>
          <w:lang w:val="de-DE"/>
        </w:rPr>
        <w:t xml:space="preserve">. </w:t>
      </w:r>
      <w:r w:rsidRPr="004D10F1">
        <w:rPr>
          <w:rFonts w:ascii="Tahoma" w:hAnsi="Tahoma" w:cs="Tahoma"/>
          <w:sz w:val="18"/>
          <w:szCs w:val="18"/>
          <w:lang w:val="de-DE"/>
        </w:rPr>
        <w:t>Dadurch soll lediglich wiedergegeben werden, dass diese Angebote zu Software Assurance-Vergünstigungen in Verbindung mit mehreren Produkt-Pools berechtigt sind, und Sie müssen sich nicht zwischen den Vergünstigungen eines bestimmten Pools entscheiden</w:t>
      </w:r>
      <w:r w:rsidR="006257A7">
        <w:rPr>
          <w:rFonts w:ascii="Tahoma" w:hAnsi="Tahoma" w:cs="Tahoma"/>
          <w:sz w:val="18"/>
          <w:szCs w:val="18"/>
          <w:lang w:val="de-DE"/>
        </w:rPr>
        <w:t xml:space="preserve">. </w:t>
      </w:r>
    </w:p>
    <w:p w:rsidR="00023FE7" w:rsidRPr="004D10F1" w:rsidRDefault="00023FE7">
      <w:pPr>
        <w:pStyle w:val="Bodywithspace"/>
        <w:spacing w:before="0" w:after="0" w:line="276" w:lineRule="auto"/>
        <w:rPr>
          <w:rFonts w:ascii="Tahoma" w:hAnsi="Tahoma" w:cs="Tahoma"/>
          <w:lang w:val="de-DE"/>
        </w:rPr>
      </w:pPr>
      <w:r w:rsidRPr="004D10F1">
        <w:rPr>
          <w:rStyle w:val="BodyChar"/>
          <w:rFonts w:ascii="Tahoma" w:hAnsi="Tahoma" w:cs="Tahoma"/>
          <w:b/>
          <w:bCs/>
          <w:color w:val="000000"/>
          <w:sz w:val="18"/>
          <w:szCs w:val="18"/>
          <w:lang w:val="de-DE"/>
        </w:rPr>
        <w:t>OL/SA =</w:t>
      </w:r>
      <w:r w:rsidRPr="00867FEA">
        <w:rPr>
          <w:rStyle w:val="BodyChar"/>
          <w:rFonts w:ascii="Tahoma" w:hAnsi="Tahoma" w:cs="Tahoma"/>
          <w:color w:val="000000"/>
          <w:sz w:val="18"/>
          <w:szCs w:val="18"/>
          <w:lang w:val="de-DE"/>
        </w:rPr>
        <w:t xml:space="preserve"> </w:t>
      </w:r>
      <w:r w:rsidRPr="004D10F1">
        <w:rPr>
          <w:rStyle w:val="BodyChar"/>
          <w:rFonts w:ascii="Tahoma" w:hAnsi="Tahoma" w:cs="Tahoma"/>
          <w:color w:val="000000"/>
          <w:sz w:val="18"/>
          <w:szCs w:val="18"/>
          <w:lang w:val="de-DE"/>
        </w:rPr>
        <w:t>Nur im Rahmen von Open-Lizenz für L&amp;SA und SA verfügbar</w:t>
      </w:r>
      <w:r w:rsidR="006257A7">
        <w:rPr>
          <w:rStyle w:val="BodyChar"/>
          <w:rFonts w:ascii="Tahoma" w:hAnsi="Tahoma" w:cs="Tahoma"/>
          <w:color w:val="000000"/>
          <w:sz w:val="18"/>
          <w:szCs w:val="18"/>
          <w:lang w:val="de-DE"/>
        </w:rPr>
        <w:t xml:space="preserve">. </w:t>
      </w:r>
    </w:p>
    <w:p w:rsidR="00023FE7" w:rsidRPr="004D10F1" w:rsidRDefault="00023FE7">
      <w:pPr>
        <w:pStyle w:val="Bodywithspace"/>
        <w:spacing w:before="0" w:after="0" w:line="276" w:lineRule="auto"/>
        <w:rPr>
          <w:rFonts w:ascii="Tahoma" w:hAnsi="Tahoma" w:cs="Tahoma"/>
          <w:lang w:val="de-DE"/>
        </w:rPr>
      </w:pPr>
      <w:r w:rsidRPr="004D10F1">
        <w:rPr>
          <w:rStyle w:val="BodyChar"/>
          <w:rFonts w:ascii="Tahoma" w:hAnsi="Tahoma" w:cs="Tahoma"/>
          <w:b/>
          <w:bCs/>
          <w:color w:val="000000"/>
          <w:sz w:val="18"/>
          <w:szCs w:val="18"/>
          <w:lang w:val="de-DE"/>
        </w:rPr>
        <w:t>OSP =</w:t>
      </w:r>
      <w:r w:rsidRPr="00867FEA">
        <w:rPr>
          <w:rStyle w:val="BodyChar"/>
          <w:rFonts w:ascii="Tahoma" w:hAnsi="Tahoma" w:cs="Tahoma"/>
          <w:color w:val="000000"/>
          <w:sz w:val="18"/>
          <w:szCs w:val="18"/>
          <w:lang w:val="de-DE"/>
        </w:rPr>
        <w:t xml:space="preserve"> </w:t>
      </w:r>
      <w:r w:rsidRPr="004D10F1">
        <w:rPr>
          <w:rStyle w:val="BodyChar"/>
          <w:rFonts w:ascii="Tahoma" w:hAnsi="Tahoma" w:cs="Tahoma"/>
          <w:bCs/>
          <w:color w:val="000000"/>
          <w:sz w:val="18"/>
          <w:szCs w:val="18"/>
          <w:lang w:val="de-DE"/>
        </w:rPr>
        <w:t>Im Online Subscription-Programm verfügbar</w:t>
      </w:r>
      <w:r w:rsidR="006257A7">
        <w:rPr>
          <w:rStyle w:val="BodyChar"/>
          <w:rFonts w:ascii="Tahoma" w:hAnsi="Tahoma" w:cs="Tahoma"/>
          <w:bCs/>
          <w:color w:val="000000"/>
          <w:sz w:val="18"/>
          <w:szCs w:val="18"/>
          <w:lang w:val="de-DE"/>
        </w:rPr>
        <w:t xml:space="preserve">. </w:t>
      </w:r>
    </w:p>
    <w:p w:rsidR="00023FE7" w:rsidRPr="004D10F1" w:rsidRDefault="00023FE7">
      <w:pPr>
        <w:pStyle w:val="Bodywithspace"/>
        <w:spacing w:before="0" w:after="0" w:line="276" w:lineRule="auto"/>
        <w:rPr>
          <w:rFonts w:ascii="Tahoma" w:hAnsi="Tahoma" w:cs="Tahoma"/>
          <w:lang w:val="de-DE"/>
        </w:rPr>
      </w:pPr>
      <w:r w:rsidRPr="004D10F1">
        <w:rPr>
          <w:rStyle w:val="BodyChar"/>
          <w:rFonts w:ascii="Tahoma" w:hAnsi="Tahoma" w:cs="Tahoma"/>
          <w:b/>
          <w:bCs/>
          <w:color w:val="000000"/>
          <w:sz w:val="18"/>
          <w:szCs w:val="18"/>
          <w:lang w:val="de-DE"/>
        </w:rPr>
        <w:t>OV/OVS =</w:t>
      </w:r>
      <w:r w:rsidRPr="004D10F1">
        <w:rPr>
          <w:rFonts w:ascii="Tahoma" w:hAnsi="Tahoma" w:cs="Tahoma"/>
          <w:color w:val="000000"/>
          <w:sz w:val="18"/>
          <w:szCs w:val="18"/>
          <w:lang w:val="de-DE"/>
        </w:rPr>
        <w:t xml:space="preserve"> Im Open Value- und Open Value Subscription-Programm verfügbar</w:t>
      </w:r>
      <w:r w:rsidR="006257A7">
        <w:rPr>
          <w:rFonts w:ascii="Tahoma" w:hAnsi="Tahoma" w:cs="Tahoma"/>
          <w:color w:val="000000"/>
          <w:sz w:val="18"/>
          <w:szCs w:val="18"/>
          <w:lang w:val="de-DE"/>
        </w:rPr>
        <w:t xml:space="preserve">. </w:t>
      </w:r>
    </w:p>
    <w:p w:rsidR="00023FE7" w:rsidRPr="004D10F1" w:rsidRDefault="00023FE7" w:rsidP="00867FEA">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P =</w:t>
      </w:r>
      <w:r w:rsidRPr="004D10F1">
        <w:rPr>
          <w:rFonts w:ascii="Tahoma" w:hAnsi="Tahoma" w:cs="Tahoma"/>
          <w:sz w:val="18"/>
          <w:szCs w:val="18"/>
          <w:lang w:val="de-DE"/>
        </w:rPr>
        <w:t xml:space="preserve"> Kennzeichnet Software, die auf nicht unternehmensweiter Basis im Rahmen von Open Value angeboten</w:t>
      </w:r>
      <w:r w:rsidR="00867FEA">
        <w:rPr>
          <w:rFonts w:ascii="Tahoma" w:hAnsi="Tahoma" w:cs="Tahoma"/>
          <w:sz w:val="18"/>
          <w:szCs w:val="18"/>
          <w:lang w:val="de-DE"/>
        </w:rPr>
        <w:t> </w:t>
      </w:r>
      <w:r w:rsidRPr="004D10F1">
        <w:rPr>
          <w:rFonts w:ascii="Tahoma" w:hAnsi="Tahoma" w:cs="Tahoma"/>
          <w:sz w:val="18"/>
          <w:szCs w:val="18"/>
          <w:lang w:val="de-DE"/>
        </w:rPr>
        <w:t>wird</w:t>
      </w:r>
      <w:r w:rsidR="006257A7">
        <w:rPr>
          <w:rFonts w:ascii="Tahoma" w:hAnsi="Tahoma" w:cs="Tahoma"/>
          <w:sz w:val="18"/>
          <w:szCs w:val="18"/>
          <w:lang w:val="de-DE"/>
        </w:rPr>
        <w:t xml:space="preserve">. </w:t>
      </w:r>
    </w:p>
    <w:p w:rsidR="009F5F37" w:rsidRPr="004D10F1" w:rsidRDefault="009F5F37">
      <w:pPr>
        <w:pStyle w:val="Bodywithspace"/>
        <w:spacing w:before="0" w:after="0" w:line="276" w:lineRule="auto"/>
        <w:rPr>
          <w:rFonts w:ascii="Tahoma" w:hAnsi="Tahoma" w:cs="Tahoma"/>
          <w:lang w:val="de-DE"/>
        </w:rPr>
      </w:pPr>
      <w:r w:rsidRPr="004D10F1">
        <w:rPr>
          <w:rStyle w:val="BodyChar"/>
          <w:rFonts w:ascii="Tahoma" w:hAnsi="Tahoma" w:cs="Tahoma"/>
          <w:b/>
          <w:sz w:val="18"/>
          <w:szCs w:val="18"/>
          <w:lang w:val="de-DE"/>
        </w:rPr>
        <w:t>S =</w:t>
      </w:r>
      <w:r w:rsidRPr="00867FEA">
        <w:rPr>
          <w:rStyle w:val="BodyChar"/>
          <w:rFonts w:ascii="Tahoma" w:hAnsi="Tahoma" w:cs="Tahoma"/>
          <w:bCs/>
          <w:sz w:val="18"/>
          <w:szCs w:val="18"/>
          <w:lang w:val="de-DE"/>
        </w:rPr>
        <w:t xml:space="preserve"> </w:t>
      </w:r>
      <w:r w:rsidRPr="004D10F1">
        <w:rPr>
          <w:rFonts w:ascii="Tahoma" w:hAnsi="Tahoma" w:cs="Tahoma"/>
          <w:sz w:val="18"/>
          <w:szCs w:val="18"/>
          <w:lang w:val="de-DE"/>
        </w:rPr>
        <w:t>Gibt an, dass die Software als Anwendungsplattform-Produkt angeboten wird</w:t>
      </w:r>
      <w:r w:rsidR="006257A7">
        <w:rPr>
          <w:rFonts w:ascii="Tahoma" w:hAnsi="Tahoma" w:cs="Tahoma"/>
          <w:sz w:val="18"/>
          <w:szCs w:val="18"/>
          <w:lang w:val="de-DE"/>
        </w:rPr>
        <w:t xml:space="preserve">. </w:t>
      </w:r>
    </w:p>
    <w:p w:rsidR="00023FE7" w:rsidRPr="004D10F1" w:rsidRDefault="00023FE7" w:rsidP="00867FEA">
      <w:pPr>
        <w:pStyle w:val="Bodywithspace"/>
        <w:spacing w:before="0" w:after="0" w:line="276" w:lineRule="auto"/>
        <w:rPr>
          <w:rFonts w:ascii="Tahoma" w:hAnsi="Tahoma" w:cs="Tahoma"/>
          <w:lang w:val="de-DE"/>
        </w:rPr>
      </w:pPr>
      <w:r w:rsidRPr="004D10F1">
        <w:rPr>
          <w:rStyle w:val="BodyChar"/>
          <w:rFonts w:ascii="Tahoma" w:hAnsi="Tahoma" w:cs="Tahoma"/>
          <w:b/>
          <w:sz w:val="18"/>
          <w:szCs w:val="18"/>
          <w:lang w:val="de-DE"/>
        </w:rPr>
        <w:t>SA (Software Assurance) =</w:t>
      </w:r>
      <w:r w:rsidRPr="004D10F1">
        <w:rPr>
          <w:rFonts w:ascii="Tahoma" w:hAnsi="Tahoma" w:cs="Tahoma"/>
          <w:sz w:val="18"/>
          <w:szCs w:val="18"/>
          <w:lang w:val="de-DE"/>
        </w:rPr>
        <w:t xml:space="preserve"> Vorgesehener Punktwert, wenn für die angegebene Software Software</w:t>
      </w:r>
      <w:r w:rsidR="00867FEA">
        <w:rPr>
          <w:rFonts w:ascii="Tahoma" w:hAnsi="Tahoma" w:cs="Tahoma"/>
          <w:sz w:val="18"/>
          <w:szCs w:val="18"/>
          <w:lang w:val="de-DE"/>
        </w:rPr>
        <w:t> </w:t>
      </w:r>
      <w:r w:rsidRPr="004D10F1">
        <w:rPr>
          <w:rFonts w:ascii="Tahoma" w:hAnsi="Tahoma" w:cs="Tahoma"/>
          <w:sz w:val="18"/>
          <w:szCs w:val="18"/>
          <w:lang w:val="de-DE"/>
        </w:rPr>
        <w:t>Assurance angeboten wird</w:t>
      </w:r>
      <w:r w:rsidR="006257A7">
        <w:rPr>
          <w:rFonts w:ascii="Tahoma" w:hAnsi="Tahoma" w:cs="Tahoma"/>
          <w:sz w:val="18"/>
          <w:szCs w:val="18"/>
          <w:lang w:val="de-DE"/>
        </w:rPr>
        <w:t xml:space="preserve">. </w:t>
      </w:r>
    </w:p>
    <w:p w:rsidR="00023FE7" w:rsidRPr="004D10F1" w:rsidRDefault="00023FE7">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SRV =</w:t>
      </w:r>
      <w:r w:rsidRPr="004D10F1">
        <w:rPr>
          <w:rFonts w:ascii="Tahoma" w:hAnsi="Tahoma" w:cs="Tahoma"/>
          <w:sz w:val="18"/>
          <w:szCs w:val="18"/>
          <w:lang w:val="de-DE"/>
        </w:rPr>
        <w:t xml:space="preserve"> Software Assurance-Vergünstigungen für Server-Pool-Angebote</w:t>
      </w:r>
      <w:r w:rsidR="006257A7">
        <w:rPr>
          <w:rFonts w:ascii="Tahoma" w:hAnsi="Tahoma" w:cs="Tahoma"/>
          <w:sz w:val="18"/>
          <w:szCs w:val="18"/>
          <w:lang w:val="de-DE"/>
        </w:rPr>
        <w:t xml:space="preserve">. </w:t>
      </w:r>
    </w:p>
    <w:p w:rsidR="00023FE7" w:rsidRPr="004D10F1" w:rsidRDefault="00023FE7">
      <w:pPr>
        <w:pStyle w:val="Bodywithspace"/>
        <w:tabs>
          <w:tab w:val="left" w:pos="9360"/>
        </w:tabs>
        <w:spacing w:before="0" w:after="0" w:line="276" w:lineRule="auto"/>
        <w:ind w:right="-180"/>
        <w:rPr>
          <w:rFonts w:ascii="Tahoma" w:hAnsi="Tahoma" w:cs="Tahoma"/>
          <w:lang w:val="de-DE"/>
        </w:rPr>
      </w:pPr>
      <w:r w:rsidRPr="004D10F1">
        <w:rPr>
          <w:rStyle w:val="BodyChar"/>
          <w:rFonts w:ascii="Tahoma" w:hAnsi="Tahoma" w:cs="Tahoma"/>
          <w:b/>
          <w:sz w:val="18"/>
          <w:szCs w:val="18"/>
          <w:lang w:val="de-DE"/>
        </w:rPr>
        <w:t>U (Upgrade License) =</w:t>
      </w:r>
      <w:r w:rsidRPr="004D10F1">
        <w:rPr>
          <w:rFonts w:ascii="Tahoma" w:hAnsi="Tahoma" w:cs="Tahoma"/>
          <w:sz w:val="18"/>
          <w:szCs w:val="18"/>
          <w:lang w:val="de-DE"/>
        </w:rPr>
        <w:t xml:space="preserve"> Vorgesehener Punktwert, wenn für die angegebene Software ein Upgrade angeboten wird</w:t>
      </w:r>
      <w:r w:rsidR="006257A7">
        <w:rPr>
          <w:rFonts w:ascii="Tahoma" w:hAnsi="Tahoma" w:cs="Tahoma"/>
          <w:sz w:val="18"/>
          <w:szCs w:val="18"/>
          <w:lang w:val="de-DE"/>
        </w:rPr>
        <w:t xml:space="preserve">. </w:t>
      </w:r>
    </w:p>
    <w:p w:rsidR="00023FE7" w:rsidRPr="004D10F1" w:rsidRDefault="00023FE7">
      <w:pPr>
        <w:pStyle w:val="Bodywithspace"/>
        <w:spacing w:before="0" w:after="0" w:line="276" w:lineRule="auto"/>
        <w:ind w:right="-180"/>
        <w:rPr>
          <w:rFonts w:ascii="Tahoma" w:hAnsi="Tahoma" w:cs="Tahoma"/>
          <w:lang w:val="de-DE"/>
        </w:rPr>
      </w:pPr>
      <w:r w:rsidRPr="004D10F1">
        <w:rPr>
          <w:rStyle w:val="BodyChar"/>
          <w:rFonts w:ascii="Tahoma" w:hAnsi="Tahoma" w:cs="Tahoma"/>
          <w:b/>
          <w:sz w:val="18"/>
          <w:szCs w:val="18"/>
          <w:lang w:val="de-DE"/>
        </w:rPr>
        <w:t>U &amp; SA (Upgrade und Software Assurance)</w:t>
      </w:r>
      <w:r w:rsidRPr="00867FEA">
        <w:rPr>
          <w:rFonts w:ascii="Tahoma" w:hAnsi="Tahoma" w:cs="Tahoma"/>
          <w:b/>
          <w:bCs/>
          <w:sz w:val="18"/>
          <w:szCs w:val="18"/>
          <w:lang w:val="de-DE"/>
        </w:rPr>
        <w:t xml:space="preserve"> =</w:t>
      </w:r>
      <w:r w:rsidRPr="004D10F1">
        <w:rPr>
          <w:rFonts w:ascii="Tahoma" w:hAnsi="Tahoma" w:cs="Tahoma"/>
          <w:sz w:val="18"/>
          <w:szCs w:val="18"/>
          <w:lang w:val="de-DE"/>
        </w:rPr>
        <w:t xml:space="preserve"> Vorgesehener Punktwert, wenn für die angegebene Software Upgrade und Software Assurance angeboten wird</w:t>
      </w:r>
      <w:r w:rsidR="006257A7">
        <w:rPr>
          <w:rFonts w:ascii="Tahoma" w:hAnsi="Tahoma" w:cs="Tahoma"/>
          <w:sz w:val="18"/>
          <w:szCs w:val="18"/>
          <w:lang w:val="de-DE"/>
        </w:rPr>
        <w:t xml:space="preserve">. </w:t>
      </w:r>
    </w:p>
    <w:p w:rsidR="00023FE7" w:rsidRPr="004D10F1" w:rsidRDefault="00023FE7" w:rsidP="005A76F9">
      <w:pPr>
        <w:pStyle w:val="Heading1"/>
        <w:spacing w:before="0"/>
        <w:rPr>
          <w:rFonts w:cs="Tahoma"/>
        </w:rPr>
      </w:pPr>
      <w:r w:rsidRPr="004D10F1">
        <w:rPr>
          <w:rFonts w:cs="Tahoma"/>
          <w:lang w:val="de-DE"/>
        </w:rPr>
        <w:br w:type="page"/>
      </w:r>
      <w:bookmarkStart w:id="10" w:name="_Toc336337841"/>
      <w:bookmarkStart w:id="11" w:name="_Toc363998596"/>
      <w:r w:rsidRPr="004D10F1">
        <w:rPr>
          <w:rFonts w:cs="Tahoma"/>
        </w:rPr>
        <w:t>PRODUKTLISTE</w:t>
      </w:r>
      <w:bookmarkEnd w:id="10"/>
      <w:bookmarkEnd w:id="11"/>
    </w:p>
    <w:p w:rsidR="000E5145" w:rsidRPr="004D10F1" w:rsidRDefault="000E5145" w:rsidP="004E292A">
      <w:pPr>
        <w:pStyle w:val="Heading3"/>
        <w:rPr>
          <w:rFonts w:ascii="Tahoma" w:hAnsi="Tahoma" w:cs="Tahoma"/>
        </w:rPr>
      </w:pPr>
      <w:bookmarkStart w:id="12" w:name="_Toc300391149"/>
      <w:bookmarkStart w:id="13" w:name="_Toc312398873"/>
      <w:bookmarkStart w:id="14" w:name="_Toc336337842"/>
    </w:p>
    <w:p w:rsidR="00F70479" w:rsidRPr="004D10F1" w:rsidRDefault="00F70479" w:rsidP="00F70479">
      <w:pPr>
        <w:rPr>
          <w:rFonts w:cs="Tahoma"/>
        </w:rPr>
      </w:pPr>
    </w:p>
    <w:p w:rsidR="00023FE7" w:rsidRPr="004D10F1" w:rsidRDefault="00023FE7" w:rsidP="004E292A">
      <w:pPr>
        <w:pStyle w:val="Heading3"/>
        <w:rPr>
          <w:rFonts w:ascii="Tahoma" w:hAnsi="Tahoma" w:cs="Tahoma"/>
        </w:rPr>
      </w:pPr>
      <w:bookmarkStart w:id="15" w:name="_Toc363998597"/>
      <w:r w:rsidRPr="004D10F1">
        <w:rPr>
          <w:rFonts w:ascii="Tahoma" w:hAnsi="Tahoma" w:cs="Tahoma"/>
          <w:sz w:val="22"/>
          <w:szCs w:val="22"/>
        </w:rPr>
        <w:t>ANWENDUNGS-POOL</w:t>
      </w:r>
      <w:bookmarkEnd w:id="12"/>
      <w:bookmarkEnd w:id="13"/>
      <w:bookmarkEnd w:id="14"/>
      <w:bookmarkEnd w:id="15"/>
    </w:p>
    <w:p w:rsidR="006949F0" w:rsidRPr="004D10F1" w:rsidRDefault="006949F0" w:rsidP="006949F0">
      <w:pPr>
        <w:rPr>
          <w:rFonts w:cs="Tahoma"/>
        </w:rPr>
      </w:pPr>
    </w:p>
    <w:tbl>
      <w:tblPr>
        <w:tblW w:w="1053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4D10F1" w:rsidTr="004D10F1">
        <w:trPr>
          <w:cantSplit/>
          <w:trHeight w:val="1277"/>
          <w:tblHeader/>
        </w:trPr>
        <w:tc>
          <w:tcPr>
            <w:tcW w:w="2638" w:type="dxa"/>
            <w:tcBorders>
              <w:top w:val="single" w:sz="4" w:space="0" w:color="FFFFFF"/>
              <w:left w:val="nil"/>
              <w:bottom w:val="nil"/>
            </w:tcBorders>
          </w:tcPr>
          <w:p w:rsidR="00B27742" w:rsidRPr="004D10F1" w:rsidRDefault="00B27742">
            <w:pPr>
              <w:widowControl w:val="0"/>
              <w:ind w:left="-360"/>
              <w:rPr>
                <w:rFonts w:cs="Tahoma"/>
              </w:rPr>
            </w:pPr>
          </w:p>
        </w:tc>
        <w:tc>
          <w:tcPr>
            <w:tcW w:w="429" w:type="dxa"/>
            <w:textDirection w:val="btLr"/>
            <w:vAlign w:val="center"/>
          </w:tcPr>
          <w:p w:rsidR="00B27742" w:rsidRPr="004D10F1" w:rsidRDefault="00B27742" w:rsidP="004D10F1">
            <w:pPr>
              <w:pStyle w:val="TableVerticalText"/>
              <w:widowControl w:val="0"/>
              <w:rPr>
                <w:rFonts w:ascii="Tahoma" w:hAnsi="Tahoma" w:cs="Tahoma"/>
              </w:rPr>
            </w:pPr>
            <w:r w:rsidRPr="004D10F1">
              <w:rPr>
                <w:rFonts w:ascii="Tahoma" w:hAnsi="Tahoma" w:cs="Tahoma"/>
              </w:rPr>
              <w:t>Produkthinweise</w:t>
            </w:r>
          </w:p>
        </w:tc>
        <w:tc>
          <w:tcPr>
            <w:tcW w:w="429" w:type="dxa"/>
            <w:textDirection w:val="btLr"/>
            <w:vAlign w:val="center"/>
          </w:tcPr>
          <w:p w:rsidR="00B27742" w:rsidRPr="004D10F1" w:rsidRDefault="00B27742" w:rsidP="004D10F1">
            <w:pPr>
              <w:pStyle w:val="TableVerticalText"/>
              <w:widowControl w:val="0"/>
              <w:rPr>
                <w:rFonts w:ascii="Tahoma" w:hAnsi="Tahoma" w:cs="Tahoma"/>
              </w:rPr>
            </w:pPr>
            <w:r w:rsidRPr="004D10F1">
              <w:rPr>
                <w:rFonts w:ascii="Tahoma" w:hAnsi="Tahoma" w:cs="Tahoma"/>
              </w:rPr>
              <w:t>Verfügbarkeitsdatum</w:t>
            </w:r>
          </w:p>
        </w:tc>
        <w:tc>
          <w:tcPr>
            <w:tcW w:w="429" w:type="dxa"/>
            <w:tcBorders>
              <w:right w:val="single" w:sz="18" w:space="0" w:color="auto"/>
            </w:tcBorders>
            <w:textDirection w:val="btLr"/>
            <w:vAlign w:val="center"/>
          </w:tcPr>
          <w:p w:rsidR="00B27742" w:rsidRPr="004D10F1" w:rsidRDefault="00B27742" w:rsidP="004D10F1">
            <w:pPr>
              <w:pStyle w:val="TableVerticalText"/>
              <w:widowControl w:val="0"/>
              <w:rPr>
                <w:rFonts w:ascii="Tahoma" w:hAnsi="Tahoma" w:cs="Tahoma"/>
              </w:rPr>
            </w:pPr>
            <w:r w:rsidRPr="004D10F1">
              <w:rPr>
                <w:rFonts w:ascii="Tahoma" w:hAnsi="Tahoma" w:cs="Tahoma"/>
              </w:rPr>
              <w:t>SAV</w:t>
            </w:r>
          </w:p>
        </w:tc>
        <w:tc>
          <w:tcPr>
            <w:tcW w:w="3003" w:type="dxa"/>
            <w:gridSpan w:val="7"/>
            <w:tcBorders>
              <w:left w:val="single" w:sz="18" w:space="0" w:color="auto"/>
              <w:right w:val="single" w:sz="18" w:space="0" w:color="auto"/>
            </w:tcBorders>
            <w:vAlign w:val="center"/>
          </w:tcPr>
          <w:p w:rsidR="00B27742" w:rsidRPr="004D10F1" w:rsidRDefault="00B27742" w:rsidP="004D10F1">
            <w:pPr>
              <w:pStyle w:val="TableHeadingsBlack"/>
              <w:widowControl w:val="0"/>
              <w:spacing w:before="0"/>
              <w:rPr>
                <w:rFonts w:ascii="Tahoma" w:hAnsi="Tahoma" w:cs="Tahoma"/>
              </w:rPr>
            </w:pPr>
            <w:r w:rsidRPr="004D10F1">
              <w:rPr>
                <w:rFonts w:ascii="Tahoma" w:hAnsi="Tahoma" w:cs="Tahoma"/>
              </w:rPr>
              <w:t>Select/Select Plus*</w:t>
            </w:r>
          </w:p>
        </w:tc>
        <w:tc>
          <w:tcPr>
            <w:tcW w:w="1287" w:type="dxa"/>
            <w:gridSpan w:val="3"/>
            <w:tcBorders>
              <w:left w:val="single" w:sz="18" w:space="0" w:color="auto"/>
              <w:right w:val="single" w:sz="18" w:space="0" w:color="auto"/>
            </w:tcBorders>
            <w:vAlign w:val="center"/>
          </w:tcPr>
          <w:p w:rsidR="00B27742" w:rsidRPr="004D10F1" w:rsidRDefault="00B27742" w:rsidP="004D10F1">
            <w:pPr>
              <w:pStyle w:val="TableHeadingsBlack"/>
              <w:widowControl w:val="0"/>
              <w:spacing w:before="0"/>
              <w:rPr>
                <w:rFonts w:ascii="Tahoma" w:hAnsi="Tahoma" w:cs="Tahoma"/>
              </w:rPr>
            </w:pPr>
            <w:r w:rsidRPr="004D10F1">
              <w:rPr>
                <w:rFonts w:ascii="Tahoma" w:hAnsi="Tahoma" w:cs="Tahoma"/>
              </w:rPr>
              <w:t>Open-Lizenz</w:t>
            </w:r>
          </w:p>
        </w:tc>
        <w:tc>
          <w:tcPr>
            <w:tcW w:w="429" w:type="dxa"/>
            <w:tcBorders>
              <w:left w:val="single" w:sz="18" w:space="0" w:color="auto"/>
            </w:tcBorders>
            <w:textDirection w:val="btLr"/>
            <w:vAlign w:val="center"/>
          </w:tcPr>
          <w:p w:rsidR="00B27742" w:rsidRPr="004D10F1" w:rsidRDefault="00B27742" w:rsidP="004D10F1">
            <w:pPr>
              <w:pStyle w:val="TableVerticalText"/>
              <w:widowControl w:val="0"/>
              <w:rPr>
                <w:rFonts w:ascii="Tahoma" w:hAnsi="Tahoma" w:cs="Tahoma"/>
              </w:rPr>
            </w:pPr>
            <w:r w:rsidRPr="004D10F1">
              <w:rPr>
                <w:rFonts w:ascii="Tahoma" w:hAnsi="Tahoma" w:cs="Tahoma"/>
              </w:rPr>
              <w:t>Campus- und School-Einheiten</w:t>
            </w:r>
          </w:p>
        </w:tc>
        <w:tc>
          <w:tcPr>
            <w:tcW w:w="429" w:type="dxa"/>
            <w:tcBorders>
              <w:right w:val="single" w:sz="18" w:space="0" w:color="auto"/>
            </w:tcBorders>
            <w:textDirection w:val="btLr"/>
            <w:vAlign w:val="center"/>
          </w:tcPr>
          <w:p w:rsidR="00B27742" w:rsidRPr="004D10F1" w:rsidRDefault="00B27742" w:rsidP="004D10F1">
            <w:pPr>
              <w:pStyle w:val="TableVerticalText"/>
              <w:widowControl w:val="0"/>
              <w:rPr>
                <w:rFonts w:ascii="Tahoma" w:hAnsi="Tahoma" w:cs="Tahoma"/>
              </w:rPr>
            </w:pPr>
            <w:r w:rsidRPr="004D10F1">
              <w:rPr>
                <w:rFonts w:ascii="Tahoma" w:hAnsi="Tahoma" w:cs="Tahoma"/>
              </w:rPr>
              <w:t>EA und EA Abo</w:t>
            </w:r>
          </w:p>
        </w:tc>
        <w:tc>
          <w:tcPr>
            <w:tcW w:w="429" w:type="dxa"/>
            <w:tcBorders>
              <w:left w:val="single" w:sz="18" w:space="0" w:color="auto"/>
              <w:right w:val="single" w:sz="18" w:space="0" w:color="auto"/>
            </w:tcBorders>
            <w:textDirection w:val="btLr"/>
            <w:vAlign w:val="center"/>
          </w:tcPr>
          <w:p w:rsidR="00B27742" w:rsidRPr="004D10F1" w:rsidRDefault="00B27742" w:rsidP="004D10F1">
            <w:pPr>
              <w:pStyle w:val="TableVerticalText"/>
              <w:widowControl w:val="0"/>
              <w:rPr>
                <w:rFonts w:ascii="Tahoma" w:hAnsi="Tahoma" w:cs="Tahoma"/>
              </w:rPr>
            </w:pPr>
            <w:r w:rsidRPr="004D10F1">
              <w:rPr>
                <w:rFonts w:ascii="Tahoma" w:hAnsi="Tahoma" w:cs="Tahoma"/>
              </w:rPr>
              <w:t>OV/OVS</w:t>
            </w:r>
          </w:p>
        </w:tc>
        <w:tc>
          <w:tcPr>
            <w:tcW w:w="514" w:type="dxa"/>
            <w:textDirection w:val="btLr"/>
            <w:vAlign w:val="center"/>
          </w:tcPr>
          <w:p w:rsidR="00B27742" w:rsidRPr="004D10F1" w:rsidRDefault="00B0036E" w:rsidP="004D10F1">
            <w:pPr>
              <w:pStyle w:val="TableVerticalText"/>
              <w:widowControl w:val="0"/>
              <w:rPr>
                <w:rFonts w:ascii="Tahoma" w:hAnsi="Tahoma" w:cs="Tahoma"/>
              </w:rPr>
            </w:pPr>
            <w:r w:rsidRPr="004D10F1">
              <w:rPr>
                <w:rFonts w:ascii="Tahoma" w:hAnsi="Tahoma" w:cs="Tahoma"/>
              </w:rPr>
              <w:t>EES/OVS-ES</w:t>
            </w:r>
          </w:p>
        </w:tc>
        <w:tc>
          <w:tcPr>
            <w:tcW w:w="514" w:type="dxa"/>
            <w:textDirection w:val="btLr"/>
            <w:vAlign w:val="center"/>
          </w:tcPr>
          <w:p w:rsidR="00B27742" w:rsidRPr="004D10F1" w:rsidRDefault="00B27742" w:rsidP="004D10F1">
            <w:pPr>
              <w:pStyle w:val="TableVerticalText"/>
              <w:widowControl w:val="0"/>
              <w:rPr>
                <w:rFonts w:ascii="Tahoma" w:hAnsi="Tahoma" w:cs="Tahoma"/>
              </w:rPr>
            </w:pPr>
            <w:r w:rsidRPr="004D10F1">
              <w:rPr>
                <w:rFonts w:ascii="Tahoma" w:hAnsi="Tahoma" w:cs="Tahoma"/>
              </w:rPr>
              <w:t>Mindestmenge bei Open-Programmen</w:t>
            </w:r>
          </w:p>
        </w:tc>
      </w:tr>
      <w:tr w:rsidR="00B27742" w:rsidRPr="004D10F1" w:rsidTr="00947901">
        <w:trPr>
          <w:cantSplit/>
          <w:trHeight w:val="271"/>
          <w:tblHeader/>
        </w:trPr>
        <w:tc>
          <w:tcPr>
            <w:tcW w:w="2638" w:type="dxa"/>
            <w:vMerge w:val="restart"/>
            <w:tcBorders>
              <w:top w:val="nil"/>
              <w:left w:val="nil"/>
            </w:tcBorders>
          </w:tcPr>
          <w:p w:rsidR="00B27742" w:rsidRPr="004D10F1" w:rsidRDefault="00B27742">
            <w:pPr>
              <w:widowControl w:val="0"/>
              <w:rPr>
                <w:rFonts w:cs="Tahoma"/>
                <w:b/>
              </w:rPr>
            </w:pPr>
          </w:p>
        </w:tc>
        <w:tc>
          <w:tcPr>
            <w:tcW w:w="429" w:type="dxa"/>
            <w:vMerge w:val="restart"/>
          </w:tcPr>
          <w:p w:rsidR="00B27742" w:rsidRPr="004D10F1" w:rsidRDefault="00B27742">
            <w:pPr>
              <w:keepNext/>
              <w:widowControl w:val="0"/>
              <w:spacing w:before="200" w:after="120"/>
              <w:jc w:val="center"/>
              <w:outlineLvl w:val="0"/>
              <w:rPr>
                <w:rFonts w:cs="Tahoma"/>
                <w:b/>
                <w:color w:val="0000FF"/>
                <w:sz w:val="10"/>
              </w:rPr>
            </w:pPr>
            <w:r w:rsidRPr="004D10F1">
              <w:rPr>
                <w:rFonts w:cs="Tahoma"/>
                <w:b/>
                <w:color w:val="0000FF"/>
                <w:sz w:val="10"/>
              </w:rPr>
              <w:t>(Strg + Klick)</w:t>
            </w:r>
          </w:p>
        </w:tc>
        <w:tc>
          <w:tcPr>
            <w:tcW w:w="429" w:type="dxa"/>
            <w:vMerge w:val="restart"/>
          </w:tcPr>
          <w:p w:rsidR="00B27742" w:rsidRPr="004D10F1" w:rsidRDefault="00B27742">
            <w:pPr>
              <w:widowControl w:val="0"/>
              <w:rPr>
                <w:rFonts w:cs="Tahoma"/>
              </w:rPr>
            </w:pPr>
          </w:p>
        </w:tc>
        <w:tc>
          <w:tcPr>
            <w:tcW w:w="429" w:type="dxa"/>
            <w:vMerge w:val="restart"/>
            <w:tcBorders>
              <w:right w:val="single" w:sz="18" w:space="0" w:color="auto"/>
            </w:tcBorders>
          </w:tcPr>
          <w:p w:rsidR="00B27742" w:rsidRPr="004D10F1" w:rsidRDefault="00B27742">
            <w:pPr>
              <w:widowControl w:val="0"/>
              <w:rPr>
                <w:rFonts w:cs="Tahoma"/>
              </w:rPr>
            </w:pPr>
          </w:p>
        </w:tc>
        <w:tc>
          <w:tcPr>
            <w:tcW w:w="429" w:type="dxa"/>
            <w:vMerge w:val="restart"/>
            <w:tcBorders>
              <w:left w:val="single" w:sz="18" w:space="0" w:color="auto"/>
            </w:tcBorders>
            <w:vAlign w:val="center"/>
          </w:tcPr>
          <w:p w:rsidR="00B27742" w:rsidRPr="004D10F1" w:rsidRDefault="00B27742">
            <w:pPr>
              <w:pStyle w:val="TableHeadingsRed"/>
              <w:widowControl w:val="0"/>
              <w:rPr>
                <w:rFonts w:ascii="Tahoma" w:hAnsi="Tahoma" w:cs="Tahoma"/>
              </w:rPr>
            </w:pPr>
            <w:r w:rsidRPr="004D10F1">
              <w:rPr>
                <w:rFonts w:ascii="Tahoma" w:hAnsi="Tahoma" w:cs="Tahoma"/>
              </w:rPr>
              <w:t>L</w:t>
            </w:r>
          </w:p>
        </w:tc>
        <w:tc>
          <w:tcPr>
            <w:tcW w:w="1287" w:type="dxa"/>
            <w:gridSpan w:val="3"/>
            <w:vAlign w:val="center"/>
          </w:tcPr>
          <w:p w:rsidR="00B27742" w:rsidRPr="004D10F1" w:rsidRDefault="00B27742">
            <w:pPr>
              <w:pStyle w:val="TableHeadingsGreen"/>
              <w:widowControl w:val="0"/>
              <w:rPr>
                <w:rFonts w:ascii="Tahoma" w:hAnsi="Tahoma" w:cs="Tahoma"/>
              </w:rPr>
            </w:pPr>
            <w:r w:rsidRPr="004D10F1">
              <w:rPr>
                <w:rFonts w:ascii="Tahoma" w:hAnsi="Tahoma" w:cs="Tahoma"/>
              </w:rPr>
              <w:t>L&amp;SA</w:t>
            </w:r>
          </w:p>
        </w:tc>
        <w:tc>
          <w:tcPr>
            <w:tcW w:w="1287" w:type="dxa"/>
            <w:gridSpan w:val="3"/>
            <w:tcBorders>
              <w:right w:val="single" w:sz="18" w:space="0" w:color="auto"/>
            </w:tcBorders>
            <w:vAlign w:val="center"/>
          </w:tcPr>
          <w:p w:rsidR="00B27742" w:rsidRPr="004D10F1" w:rsidRDefault="00B27742">
            <w:pPr>
              <w:pStyle w:val="TableHeadingsBlue"/>
              <w:widowControl w:val="0"/>
              <w:rPr>
                <w:rFonts w:ascii="Tahoma" w:hAnsi="Tahoma" w:cs="Tahoma"/>
              </w:rPr>
            </w:pPr>
            <w:r w:rsidRPr="004D10F1">
              <w:rPr>
                <w:rFonts w:ascii="Tahoma" w:hAnsi="Tahoma" w:cs="Tahoma"/>
              </w:rPr>
              <w:t>SA</w:t>
            </w:r>
          </w:p>
        </w:tc>
        <w:tc>
          <w:tcPr>
            <w:tcW w:w="429" w:type="dxa"/>
            <w:vMerge w:val="restart"/>
            <w:tcBorders>
              <w:left w:val="single" w:sz="18" w:space="0" w:color="auto"/>
            </w:tcBorders>
            <w:vAlign w:val="center"/>
          </w:tcPr>
          <w:p w:rsidR="00B27742" w:rsidRPr="004D10F1" w:rsidRDefault="00B27742">
            <w:pPr>
              <w:pStyle w:val="TableHeadingsRed"/>
              <w:widowControl w:val="0"/>
              <w:rPr>
                <w:rFonts w:ascii="Tahoma" w:hAnsi="Tahoma" w:cs="Tahoma"/>
              </w:rPr>
            </w:pPr>
            <w:r w:rsidRPr="004D10F1">
              <w:rPr>
                <w:rFonts w:ascii="Tahoma" w:hAnsi="Tahoma" w:cs="Tahoma"/>
              </w:rPr>
              <w:t>L</w:t>
            </w:r>
          </w:p>
        </w:tc>
        <w:tc>
          <w:tcPr>
            <w:tcW w:w="429" w:type="dxa"/>
            <w:vAlign w:val="center"/>
          </w:tcPr>
          <w:p w:rsidR="00B27742" w:rsidRPr="004D10F1" w:rsidRDefault="00B27742">
            <w:pPr>
              <w:pStyle w:val="TableHeadingsGreen"/>
              <w:widowControl w:val="0"/>
              <w:rPr>
                <w:rFonts w:ascii="Tahoma" w:hAnsi="Tahoma" w:cs="Tahoma"/>
              </w:rPr>
            </w:pPr>
            <w:r w:rsidRPr="004D10F1">
              <w:rPr>
                <w:rFonts w:ascii="Tahoma" w:hAnsi="Tahoma" w:cs="Tahoma"/>
              </w:rPr>
              <w:t>L&amp;SA</w:t>
            </w:r>
          </w:p>
        </w:tc>
        <w:tc>
          <w:tcPr>
            <w:tcW w:w="429" w:type="dxa"/>
            <w:vMerge w:val="restart"/>
            <w:tcBorders>
              <w:right w:val="single" w:sz="18" w:space="0" w:color="auto"/>
            </w:tcBorders>
            <w:vAlign w:val="center"/>
          </w:tcPr>
          <w:p w:rsidR="00B27742" w:rsidRPr="004D10F1" w:rsidRDefault="00B27742">
            <w:pPr>
              <w:pStyle w:val="TableHeadingsBlue"/>
              <w:widowControl w:val="0"/>
              <w:rPr>
                <w:rFonts w:ascii="Tahoma" w:hAnsi="Tahoma" w:cs="Tahoma"/>
              </w:rPr>
            </w:pPr>
            <w:r w:rsidRPr="004D10F1">
              <w:rPr>
                <w:rFonts w:ascii="Tahoma" w:hAnsi="Tahoma" w:cs="Tahoma"/>
              </w:rPr>
              <w:t>SA</w:t>
            </w:r>
          </w:p>
        </w:tc>
        <w:tc>
          <w:tcPr>
            <w:tcW w:w="429" w:type="dxa"/>
            <w:vMerge w:val="restart"/>
            <w:tcBorders>
              <w:left w:val="single" w:sz="18" w:space="0" w:color="auto"/>
            </w:tcBorders>
          </w:tcPr>
          <w:p w:rsidR="00B27742" w:rsidRPr="004D10F1" w:rsidRDefault="00B27742" w:rsidP="00097B90">
            <w:pPr>
              <w:widowControl w:val="0"/>
              <w:rPr>
                <w:rFonts w:cs="Tahoma"/>
              </w:rPr>
            </w:pPr>
          </w:p>
        </w:tc>
        <w:tc>
          <w:tcPr>
            <w:tcW w:w="429" w:type="dxa"/>
            <w:vMerge w:val="restart"/>
            <w:tcBorders>
              <w:right w:val="single" w:sz="18" w:space="0" w:color="auto"/>
            </w:tcBorders>
          </w:tcPr>
          <w:p w:rsidR="00B27742" w:rsidRPr="004D10F1" w:rsidRDefault="00B27742">
            <w:pPr>
              <w:widowControl w:val="0"/>
              <w:rPr>
                <w:rFonts w:cs="Tahoma"/>
              </w:rPr>
            </w:pPr>
          </w:p>
        </w:tc>
        <w:tc>
          <w:tcPr>
            <w:tcW w:w="429" w:type="dxa"/>
            <w:vMerge w:val="restart"/>
            <w:tcBorders>
              <w:left w:val="single" w:sz="18" w:space="0" w:color="auto"/>
              <w:right w:val="single" w:sz="18" w:space="0" w:color="auto"/>
            </w:tcBorders>
          </w:tcPr>
          <w:p w:rsidR="00B27742" w:rsidRPr="004D10F1" w:rsidRDefault="00B27742">
            <w:pPr>
              <w:widowControl w:val="0"/>
              <w:rPr>
                <w:rFonts w:cs="Tahoma"/>
              </w:rPr>
            </w:pPr>
          </w:p>
        </w:tc>
        <w:tc>
          <w:tcPr>
            <w:tcW w:w="514" w:type="dxa"/>
            <w:vMerge w:val="restart"/>
          </w:tcPr>
          <w:p w:rsidR="00B27742" w:rsidRPr="004D10F1" w:rsidRDefault="00B27742">
            <w:pPr>
              <w:widowControl w:val="0"/>
              <w:rPr>
                <w:rFonts w:cs="Tahoma"/>
              </w:rPr>
            </w:pPr>
          </w:p>
        </w:tc>
        <w:tc>
          <w:tcPr>
            <w:tcW w:w="514" w:type="dxa"/>
            <w:vMerge w:val="restart"/>
          </w:tcPr>
          <w:p w:rsidR="00B27742" w:rsidRPr="004D10F1" w:rsidRDefault="00B27742">
            <w:pPr>
              <w:widowControl w:val="0"/>
              <w:rPr>
                <w:rFonts w:cs="Tahoma"/>
              </w:rPr>
            </w:pPr>
          </w:p>
        </w:tc>
      </w:tr>
      <w:tr w:rsidR="00B27742" w:rsidRPr="004D10F1" w:rsidTr="00947901">
        <w:trPr>
          <w:cantSplit/>
          <w:trHeight w:val="262"/>
          <w:tblHeader/>
        </w:trPr>
        <w:tc>
          <w:tcPr>
            <w:tcW w:w="2638" w:type="dxa"/>
            <w:vMerge/>
            <w:tcBorders>
              <w:top w:val="single" w:sz="4" w:space="0" w:color="auto"/>
              <w:left w:val="nil"/>
              <w:bottom w:val="single" w:sz="4" w:space="0" w:color="auto"/>
            </w:tcBorders>
          </w:tcPr>
          <w:p w:rsidR="00B27742" w:rsidRPr="004D10F1" w:rsidRDefault="00B27742">
            <w:pPr>
              <w:widowControl w:val="0"/>
              <w:rPr>
                <w:rFonts w:cs="Tahoma"/>
              </w:rPr>
            </w:pPr>
          </w:p>
        </w:tc>
        <w:tc>
          <w:tcPr>
            <w:tcW w:w="429" w:type="dxa"/>
            <w:vMerge/>
            <w:tcBorders>
              <w:bottom w:val="single" w:sz="4" w:space="0" w:color="auto"/>
            </w:tcBorders>
          </w:tcPr>
          <w:p w:rsidR="00B27742" w:rsidRPr="004D10F1"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4D10F1" w:rsidRDefault="00B27742">
            <w:pPr>
              <w:widowControl w:val="0"/>
              <w:rPr>
                <w:rFonts w:cs="Tahoma"/>
              </w:rPr>
            </w:pPr>
          </w:p>
        </w:tc>
        <w:tc>
          <w:tcPr>
            <w:tcW w:w="429" w:type="dxa"/>
            <w:vMerge/>
            <w:tcBorders>
              <w:bottom w:val="single" w:sz="4" w:space="0" w:color="auto"/>
              <w:right w:val="single" w:sz="18" w:space="0" w:color="auto"/>
            </w:tcBorders>
          </w:tcPr>
          <w:p w:rsidR="00B27742" w:rsidRPr="004D10F1"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4D10F1" w:rsidRDefault="00B27742">
            <w:pPr>
              <w:widowControl w:val="0"/>
              <w:jc w:val="center"/>
              <w:rPr>
                <w:rFonts w:cs="Tahoma"/>
              </w:rPr>
            </w:pPr>
          </w:p>
        </w:tc>
        <w:tc>
          <w:tcPr>
            <w:tcW w:w="429" w:type="dxa"/>
            <w:tcBorders>
              <w:bottom w:val="single" w:sz="4" w:space="0" w:color="auto"/>
            </w:tcBorders>
            <w:vAlign w:val="center"/>
          </w:tcPr>
          <w:p w:rsidR="00B27742" w:rsidRPr="004D10F1" w:rsidRDefault="00B27742">
            <w:pPr>
              <w:pStyle w:val="TableHeadingsGreen"/>
              <w:widowControl w:val="0"/>
              <w:rPr>
                <w:rFonts w:ascii="Tahoma" w:hAnsi="Tahoma" w:cs="Tahoma"/>
              </w:rPr>
            </w:pPr>
            <w:r w:rsidRPr="004D10F1">
              <w:rPr>
                <w:rFonts w:ascii="Tahoma" w:hAnsi="Tahoma" w:cs="Tahoma"/>
              </w:rPr>
              <w:t>3 Jahre</w:t>
            </w:r>
          </w:p>
        </w:tc>
        <w:tc>
          <w:tcPr>
            <w:tcW w:w="429" w:type="dxa"/>
            <w:tcBorders>
              <w:bottom w:val="single" w:sz="4" w:space="0" w:color="auto"/>
            </w:tcBorders>
            <w:vAlign w:val="center"/>
          </w:tcPr>
          <w:p w:rsidR="00B27742" w:rsidRPr="004D10F1" w:rsidRDefault="00B27742">
            <w:pPr>
              <w:pStyle w:val="TableHeadingsGreen"/>
              <w:widowControl w:val="0"/>
              <w:rPr>
                <w:rFonts w:ascii="Tahoma" w:hAnsi="Tahoma" w:cs="Tahoma"/>
              </w:rPr>
            </w:pPr>
            <w:r w:rsidRPr="004D10F1">
              <w:rPr>
                <w:rFonts w:ascii="Tahoma" w:hAnsi="Tahoma" w:cs="Tahoma"/>
              </w:rPr>
              <w:t>2 Jahre</w:t>
            </w:r>
          </w:p>
        </w:tc>
        <w:tc>
          <w:tcPr>
            <w:tcW w:w="429" w:type="dxa"/>
            <w:tcBorders>
              <w:bottom w:val="single" w:sz="4" w:space="0" w:color="auto"/>
            </w:tcBorders>
            <w:vAlign w:val="center"/>
          </w:tcPr>
          <w:p w:rsidR="00B27742" w:rsidRPr="004D10F1" w:rsidRDefault="00B27742">
            <w:pPr>
              <w:pStyle w:val="TableHeadingsGreen"/>
              <w:widowControl w:val="0"/>
              <w:rPr>
                <w:rFonts w:ascii="Tahoma" w:hAnsi="Tahoma" w:cs="Tahoma"/>
              </w:rPr>
            </w:pPr>
            <w:r w:rsidRPr="004D10F1">
              <w:rPr>
                <w:rFonts w:ascii="Tahoma" w:hAnsi="Tahoma" w:cs="Tahoma"/>
              </w:rPr>
              <w:t>1 Jahr</w:t>
            </w:r>
          </w:p>
        </w:tc>
        <w:tc>
          <w:tcPr>
            <w:tcW w:w="429" w:type="dxa"/>
            <w:tcBorders>
              <w:bottom w:val="single" w:sz="4" w:space="0" w:color="auto"/>
            </w:tcBorders>
            <w:vAlign w:val="center"/>
          </w:tcPr>
          <w:p w:rsidR="00B27742" w:rsidRPr="004D10F1" w:rsidRDefault="00B27742">
            <w:pPr>
              <w:pStyle w:val="TableHeadingsBlue"/>
              <w:widowControl w:val="0"/>
              <w:rPr>
                <w:rFonts w:ascii="Tahoma" w:hAnsi="Tahoma" w:cs="Tahoma"/>
              </w:rPr>
            </w:pPr>
            <w:r w:rsidRPr="004D10F1">
              <w:rPr>
                <w:rFonts w:ascii="Tahoma" w:hAnsi="Tahoma" w:cs="Tahoma"/>
              </w:rPr>
              <w:t>3 Jahre</w:t>
            </w:r>
          </w:p>
        </w:tc>
        <w:tc>
          <w:tcPr>
            <w:tcW w:w="429" w:type="dxa"/>
            <w:tcBorders>
              <w:bottom w:val="single" w:sz="4" w:space="0" w:color="auto"/>
            </w:tcBorders>
            <w:vAlign w:val="center"/>
          </w:tcPr>
          <w:p w:rsidR="00B27742" w:rsidRPr="004D10F1" w:rsidRDefault="00B27742">
            <w:pPr>
              <w:pStyle w:val="TableHeadingsBlue"/>
              <w:widowControl w:val="0"/>
              <w:rPr>
                <w:rFonts w:ascii="Tahoma" w:hAnsi="Tahoma" w:cs="Tahoma"/>
              </w:rPr>
            </w:pPr>
            <w:r w:rsidRPr="004D10F1">
              <w:rPr>
                <w:rFonts w:ascii="Tahoma" w:hAnsi="Tahoma" w:cs="Tahoma"/>
              </w:rPr>
              <w:t>2 Jahre</w:t>
            </w:r>
          </w:p>
        </w:tc>
        <w:tc>
          <w:tcPr>
            <w:tcW w:w="429" w:type="dxa"/>
            <w:tcBorders>
              <w:bottom w:val="single" w:sz="4" w:space="0" w:color="auto"/>
              <w:right w:val="single" w:sz="18" w:space="0" w:color="auto"/>
            </w:tcBorders>
            <w:vAlign w:val="center"/>
          </w:tcPr>
          <w:p w:rsidR="00B27742" w:rsidRPr="004D10F1" w:rsidRDefault="00B27742">
            <w:pPr>
              <w:pStyle w:val="TableHeadingsBlue"/>
              <w:widowControl w:val="0"/>
              <w:rPr>
                <w:rFonts w:ascii="Tahoma" w:hAnsi="Tahoma" w:cs="Tahoma"/>
              </w:rPr>
            </w:pPr>
            <w:r w:rsidRPr="004D10F1">
              <w:rPr>
                <w:rFonts w:ascii="Tahoma" w:hAnsi="Tahoma" w:cs="Tahoma"/>
              </w:rPr>
              <w:t>1 Jahr</w:t>
            </w:r>
          </w:p>
        </w:tc>
        <w:tc>
          <w:tcPr>
            <w:tcW w:w="429" w:type="dxa"/>
            <w:vMerge/>
            <w:tcBorders>
              <w:left w:val="single" w:sz="18" w:space="0" w:color="auto"/>
              <w:bottom w:val="single" w:sz="4" w:space="0" w:color="auto"/>
            </w:tcBorders>
            <w:vAlign w:val="center"/>
          </w:tcPr>
          <w:p w:rsidR="00B27742" w:rsidRPr="004D10F1" w:rsidRDefault="00B27742">
            <w:pPr>
              <w:widowControl w:val="0"/>
              <w:jc w:val="center"/>
              <w:rPr>
                <w:rFonts w:cs="Tahoma"/>
              </w:rPr>
            </w:pPr>
          </w:p>
        </w:tc>
        <w:tc>
          <w:tcPr>
            <w:tcW w:w="429" w:type="dxa"/>
            <w:tcBorders>
              <w:bottom w:val="single" w:sz="4" w:space="0" w:color="auto"/>
            </w:tcBorders>
            <w:vAlign w:val="center"/>
          </w:tcPr>
          <w:p w:rsidR="00B27742" w:rsidRPr="004D10F1" w:rsidRDefault="00B27742">
            <w:pPr>
              <w:pStyle w:val="TableHeadingsGreen"/>
              <w:widowControl w:val="0"/>
              <w:rPr>
                <w:rFonts w:ascii="Tahoma" w:hAnsi="Tahoma" w:cs="Tahoma"/>
              </w:rPr>
            </w:pPr>
            <w:r w:rsidRPr="004D10F1">
              <w:rPr>
                <w:rFonts w:ascii="Tahoma" w:hAnsi="Tahoma" w:cs="Tahoma"/>
              </w:rPr>
              <w:t>P</w:t>
            </w:r>
          </w:p>
        </w:tc>
        <w:tc>
          <w:tcPr>
            <w:tcW w:w="429" w:type="dxa"/>
            <w:vMerge/>
            <w:tcBorders>
              <w:bottom w:val="single" w:sz="4" w:space="0" w:color="auto"/>
              <w:right w:val="single" w:sz="18" w:space="0" w:color="auto"/>
            </w:tcBorders>
          </w:tcPr>
          <w:p w:rsidR="00B27742" w:rsidRPr="004D10F1" w:rsidRDefault="00B27742">
            <w:pPr>
              <w:widowControl w:val="0"/>
              <w:rPr>
                <w:rFonts w:cs="Tahoma"/>
              </w:rPr>
            </w:pPr>
          </w:p>
        </w:tc>
        <w:tc>
          <w:tcPr>
            <w:tcW w:w="429" w:type="dxa"/>
            <w:vMerge/>
            <w:tcBorders>
              <w:left w:val="single" w:sz="18" w:space="0" w:color="auto"/>
              <w:bottom w:val="single" w:sz="4" w:space="0" w:color="auto"/>
            </w:tcBorders>
          </w:tcPr>
          <w:p w:rsidR="00B27742" w:rsidRPr="004D10F1" w:rsidRDefault="00B27742">
            <w:pPr>
              <w:widowControl w:val="0"/>
              <w:rPr>
                <w:rFonts w:cs="Tahoma"/>
              </w:rPr>
            </w:pPr>
          </w:p>
        </w:tc>
        <w:tc>
          <w:tcPr>
            <w:tcW w:w="429" w:type="dxa"/>
            <w:vMerge/>
            <w:tcBorders>
              <w:bottom w:val="single" w:sz="4" w:space="0" w:color="auto"/>
              <w:right w:val="single" w:sz="18" w:space="0" w:color="auto"/>
            </w:tcBorders>
          </w:tcPr>
          <w:p w:rsidR="00B27742" w:rsidRPr="004D10F1"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4D10F1" w:rsidRDefault="00B27742">
            <w:pPr>
              <w:widowControl w:val="0"/>
              <w:rPr>
                <w:rFonts w:cs="Tahoma"/>
              </w:rPr>
            </w:pPr>
          </w:p>
        </w:tc>
        <w:tc>
          <w:tcPr>
            <w:tcW w:w="514" w:type="dxa"/>
            <w:vMerge/>
            <w:tcBorders>
              <w:bottom w:val="single" w:sz="4" w:space="0" w:color="auto"/>
            </w:tcBorders>
          </w:tcPr>
          <w:p w:rsidR="00B27742" w:rsidRPr="004D10F1" w:rsidRDefault="00B27742">
            <w:pPr>
              <w:widowControl w:val="0"/>
              <w:rPr>
                <w:rFonts w:cs="Tahoma"/>
              </w:rPr>
            </w:pPr>
          </w:p>
        </w:tc>
        <w:tc>
          <w:tcPr>
            <w:tcW w:w="514" w:type="dxa"/>
            <w:vMerge/>
            <w:tcBorders>
              <w:bottom w:val="single" w:sz="4" w:space="0" w:color="auto"/>
            </w:tcBorders>
          </w:tcPr>
          <w:p w:rsidR="00B27742" w:rsidRPr="004D10F1" w:rsidRDefault="00B27742">
            <w:pPr>
              <w:widowControl w:val="0"/>
              <w:rPr>
                <w:rFonts w:cs="Tahoma"/>
              </w:rPr>
            </w:pPr>
          </w:p>
        </w:tc>
      </w:tr>
      <w:tr w:rsidR="009F0AB2" w:rsidRPr="004D10F1" w:rsidTr="000C5B59">
        <w:trPr>
          <w:cantSplit/>
          <w:trHeight w:val="287"/>
        </w:trPr>
        <w:tc>
          <w:tcPr>
            <w:tcW w:w="2638" w:type="dxa"/>
            <w:tcBorders>
              <w:bottom w:val="single" w:sz="4" w:space="0" w:color="auto"/>
            </w:tcBorders>
            <w:shd w:val="clear" w:color="auto" w:fill="FABF8F"/>
            <w:vAlign w:val="center"/>
          </w:tcPr>
          <w:p w:rsidR="00B27742" w:rsidRPr="004D10F1" w:rsidRDefault="00B27742" w:rsidP="004D10F1">
            <w:pPr>
              <w:pStyle w:val="ProductNames"/>
              <w:spacing w:beforeLines="20" w:before="48" w:afterLines="20" w:after="48"/>
              <w:rPr>
                <w:rFonts w:ascii="Tahoma" w:hAnsi="Tahoma" w:cs="Tahoma"/>
                <w:sz w:val="14"/>
                <w:szCs w:val="14"/>
              </w:rPr>
            </w:pPr>
            <w:bookmarkStart w:id="16" w:name="_Toc336337843"/>
            <w:bookmarkStart w:id="17" w:name="_Toc363998598"/>
            <w:r w:rsidRPr="004D10F1">
              <w:rPr>
                <w:rFonts w:ascii="Tahoma" w:hAnsi="Tahoma" w:cs="Tahoma"/>
                <w:sz w:val="14"/>
                <w:szCs w:val="14"/>
              </w:rPr>
              <w:t xml:space="preserve">Access </w:t>
            </w:r>
            <w:bookmarkEnd w:id="16"/>
            <w:r w:rsidRPr="004D10F1">
              <w:rPr>
                <w:rFonts w:ascii="Tahoma" w:hAnsi="Tahoma" w:cs="Tahoma"/>
                <w:sz w:val="14"/>
                <w:szCs w:val="14"/>
              </w:rPr>
              <w:t>2013</w:t>
            </w:r>
            <w:bookmarkEnd w:id="17"/>
          </w:p>
        </w:tc>
        <w:tc>
          <w:tcPr>
            <w:tcW w:w="429" w:type="dxa"/>
            <w:tcBorders>
              <w:bottom w:val="single" w:sz="4" w:space="0" w:color="auto"/>
            </w:tcBorders>
            <w:shd w:val="clear" w:color="auto" w:fill="FABF8F"/>
            <w:vAlign w:val="center"/>
          </w:tcPr>
          <w:p w:rsidR="00B27742" w:rsidRPr="00E22E42" w:rsidRDefault="00B27742" w:rsidP="00E22E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4D10F1" w:rsidRDefault="00014EAD" w:rsidP="000C5B59">
            <w:pPr>
              <w:pStyle w:val="TableText"/>
              <w:widowControl w:val="0"/>
              <w:rPr>
                <w:rFonts w:ascii="Tahoma" w:hAnsi="Tahoma" w:cs="Tahoma"/>
                <w:color w:val="000000"/>
                <w:sz w:val="13"/>
              </w:rPr>
            </w:pPr>
            <w:r w:rsidRPr="004D10F1">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color w:val="000000"/>
                <w:sz w:val="13"/>
              </w:rPr>
            </w:pPr>
            <w:r w:rsidRPr="004D10F1">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r>
      <w:tr w:rsidR="009F0AB2" w:rsidRPr="004D10F1" w:rsidTr="000C5B59">
        <w:trPr>
          <w:cantSplit/>
          <w:trHeight w:val="287"/>
        </w:trPr>
        <w:tc>
          <w:tcPr>
            <w:tcW w:w="2638" w:type="dxa"/>
            <w:tcBorders>
              <w:bottom w:val="single" w:sz="4" w:space="0" w:color="auto"/>
            </w:tcBorders>
            <w:shd w:val="clear" w:color="auto" w:fill="FFFFFF"/>
            <w:vAlign w:val="center"/>
          </w:tcPr>
          <w:p w:rsidR="00B27742" w:rsidRPr="004D10F1" w:rsidRDefault="00B27742" w:rsidP="004D10F1">
            <w:pPr>
              <w:pStyle w:val="ProductNames"/>
              <w:spacing w:beforeLines="20" w:before="48" w:afterLines="20" w:after="48"/>
              <w:rPr>
                <w:rFonts w:ascii="Tahoma" w:hAnsi="Tahoma" w:cs="Tahoma"/>
                <w:sz w:val="14"/>
                <w:szCs w:val="14"/>
              </w:rPr>
            </w:pPr>
            <w:bookmarkStart w:id="18" w:name="_Toc336337844"/>
            <w:bookmarkStart w:id="19" w:name="_Toc363998599"/>
            <w:r w:rsidRPr="004D10F1">
              <w:rPr>
                <w:rFonts w:ascii="Tahoma" w:hAnsi="Tahoma" w:cs="Tahoma"/>
                <w:sz w:val="14"/>
                <w:szCs w:val="14"/>
              </w:rPr>
              <w:t>AutoRoute 2013</w:t>
            </w:r>
            <w:bookmarkEnd w:id="18"/>
            <w:bookmarkEnd w:id="19"/>
          </w:p>
        </w:tc>
        <w:tc>
          <w:tcPr>
            <w:tcW w:w="429" w:type="dxa"/>
            <w:tcBorders>
              <w:bottom w:val="single" w:sz="4" w:space="0" w:color="auto"/>
            </w:tcBorders>
            <w:shd w:val="clear" w:color="auto" w:fill="FFFFFF"/>
            <w:vAlign w:val="center"/>
          </w:tcPr>
          <w:p w:rsidR="00B27742" w:rsidRPr="00E22E42" w:rsidRDefault="00B27742" w:rsidP="00E22E42">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4D10F1" w:rsidRDefault="00E64830" w:rsidP="000C5B59">
            <w:pPr>
              <w:pStyle w:val="TableText"/>
              <w:widowControl w:val="0"/>
              <w:rPr>
                <w:rFonts w:ascii="Tahoma" w:hAnsi="Tahoma" w:cs="Tahoma"/>
                <w:sz w:val="13"/>
              </w:rPr>
            </w:pPr>
            <w:r w:rsidRPr="004D10F1">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FFFFF"/>
            <w:vAlign w:val="center"/>
          </w:tcPr>
          <w:p w:rsidR="00B27742" w:rsidRPr="004D10F1" w:rsidRDefault="00F440FF" w:rsidP="000C5B59">
            <w:pPr>
              <w:pStyle w:val="TableText"/>
              <w:widowControl w:val="0"/>
              <w:rPr>
                <w:rFonts w:ascii="Tahoma" w:hAnsi="Tahoma" w:cs="Tahoma"/>
                <w:sz w:val="13"/>
              </w:rPr>
            </w:pPr>
            <w:r w:rsidRPr="004D10F1">
              <w:rPr>
                <w:rFonts w:ascii="Tahoma" w:hAnsi="Tahoma" w:cs="Tahoma"/>
                <w:sz w:val="13"/>
              </w:rPr>
              <w:t>A</w:t>
            </w:r>
          </w:p>
        </w:tc>
        <w:tc>
          <w:tcPr>
            <w:tcW w:w="514" w:type="dxa"/>
            <w:tcBorders>
              <w:bottom w:val="single" w:sz="4" w:space="0" w:color="auto"/>
            </w:tcBorders>
            <w:shd w:val="clear" w:color="auto" w:fill="FFFFFF"/>
            <w:vAlign w:val="center"/>
          </w:tcPr>
          <w:p w:rsidR="00B27742" w:rsidRPr="004D10F1" w:rsidRDefault="00B27742" w:rsidP="000C5B59">
            <w:pPr>
              <w:pStyle w:val="TableText"/>
              <w:widowControl w:val="0"/>
              <w:rPr>
                <w:rFonts w:ascii="Tahoma" w:hAnsi="Tahoma" w:cs="Tahoma"/>
                <w:sz w:val="13"/>
              </w:rPr>
            </w:pPr>
          </w:p>
        </w:tc>
      </w:tr>
      <w:tr w:rsidR="009F0AB2" w:rsidRPr="004D10F1" w:rsidTr="000C5B59">
        <w:trPr>
          <w:cantSplit/>
          <w:trHeight w:val="287"/>
        </w:trPr>
        <w:tc>
          <w:tcPr>
            <w:tcW w:w="2638" w:type="dxa"/>
            <w:tcBorders>
              <w:bottom w:val="single" w:sz="4" w:space="0" w:color="auto"/>
            </w:tcBorders>
            <w:shd w:val="clear" w:color="auto" w:fill="FABF8F"/>
            <w:vAlign w:val="center"/>
          </w:tcPr>
          <w:p w:rsidR="00B27742" w:rsidRPr="004D10F1" w:rsidRDefault="00B27742" w:rsidP="004D10F1">
            <w:pPr>
              <w:pStyle w:val="ProductNames"/>
              <w:spacing w:beforeLines="20" w:before="48" w:afterLines="20" w:after="48"/>
              <w:rPr>
                <w:rFonts w:ascii="Tahoma" w:hAnsi="Tahoma" w:cs="Tahoma"/>
                <w:sz w:val="14"/>
                <w:szCs w:val="14"/>
              </w:rPr>
            </w:pPr>
            <w:bookmarkStart w:id="20" w:name="_Toc336337846"/>
            <w:bookmarkStart w:id="21" w:name="_Toc363998600"/>
            <w:r w:rsidRPr="004D10F1">
              <w:rPr>
                <w:rFonts w:ascii="Tahoma" w:hAnsi="Tahoma" w:cs="Tahoma"/>
                <w:sz w:val="14"/>
                <w:szCs w:val="14"/>
              </w:rPr>
              <w:t xml:space="preserve">Excel </w:t>
            </w:r>
            <w:bookmarkEnd w:id="20"/>
            <w:r w:rsidRPr="004D10F1">
              <w:rPr>
                <w:rFonts w:ascii="Tahoma" w:hAnsi="Tahoma" w:cs="Tahoma"/>
                <w:sz w:val="14"/>
                <w:szCs w:val="14"/>
              </w:rPr>
              <w:t>2013</w:t>
            </w:r>
            <w:bookmarkEnd w:id="21"/>
          </w:p>
        </w:tc>
        <w:tc>
          <w:tcPr>
            <w:tcW w:w="429" w:type="dxa"/>
            <w:tcBorders>
              <w:bottom w:val="single" w:sz="4" w:space="0" w:color="auto"/>
            </w:tcBorders>
            <w:shd w:val="clear" w:color="auto" w:fill="FABF8F"/>
            <w:vAlign w:val="center"/>
          </w:tcPr>
          <w:p w:rsidR="00B27742" w:rsidRPr="00E22E42" w:rsidRDefault="00B27742" w:rsidP="00E22E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4D10F1" w:rsidRDefault="00014EAD" w:rsidP="000C5B59">
            <w:pPr>
              <w:pStyle w:val="TableText"/>
              <w:widowControl w:val="0"/>
              <w:rPr>
                <w:rFonts w:ascii="Tahoma" w:hAnsi="Tahoma" w:cs="Tahoma"/>
                <w:color w:val="000000"/>
                <w:sz w:val="13"/>
              </w:rPr>
            </w:pPr>
            <w:r w:rsidRPr="004D10F1">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color w:val="000000"/>
                <w:sz w:val="13"/>
              </w:rPr>
            </w:pPr>
            <w:r w:rsidRPr="004D10F1">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r>
      <w:tr w:rsidR="00B33D0E" w:rsidRPr="004D10F1" w:rsidTr="000C5B59">
        <w:trPr>
          <w:cantSplit/>
          <w:trHeight w:val="278"/>
        </w:trPr>
        <w:tc>
          <w:tcPr>
            <w:tcW w:w="2638" w:type="dxa"/>
            <w:tcBorders>
              <w:bottom w:val="single" w:sz="4" w:space="0" w:color="auto"/>
            </w:tcBorders>
            <w:shd w:val="clear" w:color="auto" w:fill="auto"/>
            <w:vAlign w:val="center"/>
          </w:tcPr>
          <w:p w:rsidR="00B27742" w:rsidRPr="004D10F1" w:rsidRDefault="00B27742" w:rsidP="004D10F1">
            <w:pPr>
              <w:pStyle w:val="ProductNames"/>
              <w:spacing w:beforeLines="20" w:before="48" w:afterLines="20" w:after="48"/>
              <w:rPr>
                <w:rFonts w:ascii="Tahoma" w:hAnsi="Tahoma" w:cs="Tahoma"/>
                <w:sz w:val="14"/>
                <w:szCs w:val="14"/>
              </w:rPr>
            </w:pPr>
            <w:bookmarkStart w:id="22" w:name="_Toc336337847"/>
            <w:bookmarkStart w:id="23" w:name="_Toc363998601"/>
            <w:r w:rsidRPr="004D10F1">
              <w:rPr>
                <w:rFonts w:ascii="Tahoma" w:hAnsi="Tahoma" w:cs="Tahoma"/>
                <w:sz w:val="14"/>
                <w:szCs w:val="14"/>
              </w:rPr>
              <w:t>Excel für Mac 2011</w:t>
            </w:r>
            <w:bookmarkEnd w:id="22"/>
            <w:bookmarkEnd w:id="23"/>
          </w:p>
        </w:tc>
        <w:tc>
          <w:tcPr>
            <w:tcW w:w="429" w:type="dxa"/>
            <w:tcBorders>
              <w:bottom w:val="single" w:sz="4" w:space="0" w:color="auto"/>
            </w:tcBorders>
            <w:shd w:val="clear" w:color="auto" w:fill="auto"/>
            <w:vAlign w:val="center"/>
          </w:tcPr>
          <w:p w:rsidR="00B27742" w:rsidRPr="00E22E42" w:rsidRDefault="00B27742" w:rsidP="00E22E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color w:val="000000"/>
                <w:sz w:val="13"/>
              </w:rPr>
            </w:pPr>
            <w:r w:rsidRPr="004D10F1">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color w:val="000000"/>
                <w:sz w:val="13"/>
              </w:rPr>
            </w:pPr>
            <w:r w:rsidRPr="004D10F1">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p>
        </w:tc>
      </w:tr>
      <w:tr w:rsidR="009F0AB2" w:rsidRPr="004D10F1" w:rsidTr="000C5B59">
        <w:trPr>
          <w:cantSplit/>
          <w:trHeight w:val="287"/>
        </w:trPr>
        <w:tc>
          <w:tcPr>
            <w:tcW w:w="2638" w:type="dxa"/>
            <w:tcBorders>
              <w:bottom w:val="single" w:sz="4" w:space="0" w:color="auto"/>
            </w:tcBorders>
            <w:shd w:val="clear" w:color="auto" w:fill="FABF8F"/>
            <w:vAlign w:val="center"/>
          </w:tcPr>
          <w:p w:rsidR="00B27742" w:rsidRPr="004D10F1" w:rsidRDefault="00B27742" w:rsidP="004D10F1">
            <w:pPr>
              <w:pStyle w:val="Heading2"/>
              <w:spacing w:beforeLines="20" w:before="48" w:afterLines="20" w:after="48"/>
              <w:ind w:left="0"/>
              <w:rPr>
                <w:rFonts w:ascii="Tahoma" w:hAnsi="Tahoma" w:cs="Tahoma"/>
                <w:b w:val="0"/>
                <w:sz w:val="14"/>
                <w:szCs w:val="14"/>
              </w:rPr>
            </w:pPr>
            <w:bookmarkStart w:id="24" w:name="_Toc336337850"/>
            <w:bookmarkStart w:id="25" w:name="_Toc363998602"/>
            <w:r w:rsidRPr="004D10F1">
              <w:rPr>
                <w:rFonts w:ascii="Tahoma" w:hAnsi="Tahoma" w:cs="Tahoma"/>
                <w:b w:val="0"/>
                <w:sz w:val="14"/>
                <w:szCs w:val="14"/>
              </w:rPr>
              <w:t>Expression Encoder Pro 4</w:t>
            </w:r>
            <w:bookmarkEnd w:id="24"/>
            <w:bookmarkEnd w:id="25"/>
          </w:p>
        </w:tc>
        <w:tc>
          <w:tcPr>
            <w:tcW w:w="429" w:type="dxa"/>
            <w:tcBorders>
              <w:bottom w:val="single" w:sz="4" w:space="0" w:color="auto"/>
            </w:tcBorders>
            <w:shd w:val="clear" w:color="auto" w:fill="FABF8F"/>
            <w:vAlign w:val="center"/>
          </w:tcPr>
          <w:p w:rsidR="00B27742" w:rsidRPr="00E22E42" w:rsidRDefault="005B744B" w:rsidP="00E22E42">
            <w:pPr>
              <w:pStyle w:val="TableText"/>
              <w:widowControl w:val="0"/>
              <w:rPr>
                <w:rStyle w:val="EndnoteReference"/>
                <w:rFonts w:cs="Tahoma"/>
                <w:b w:val="0"/>
                <w:color w:val="0000FF"/>
                <w:sz w:val="13"/>
                <w:szCs w:val="13"/>
                <w:u w:val="single"/>
              </w:rPr>
            </w:pPr>
            <w:hyperlink w:anchor="_12_Expression_Encoder" w:history="1">
              <w:r w:rsidR="00316801" w:rsidRPr="00E22E42">
                <w:rPr>
                  <w:rStyle w:val="Hyperlink"/>
                  <w:rFonts w:cs="Tahoma"/>
                  <w:b/>
                  <w:sz w:val="13"/>
                  <w:szCs w:val="13"/>
                </w:rPr>
                <w:t>1</w:t>
              </w:r>
            </w:hyperlink>
          </w:p>
        </w:tc>
        <w:tc>
          <w:tcPr>
            <w:tcW w:w="429" w:type="dxa"/>
            <w:tcBorders>
              <w:bottom w:val="single" w:sz="4" w:space="0" w:color="auto"/>
            </w:tcBorders>
            <w:shd w:val="clear" w:color="auto" w:fill="FABF8F"/>
            <w:vAlign w:val="center"/>
          </w:tcPr>
          <w:p w:rsidR="00B27742" w:rsidRPr="004D10F1" w:rsidRDefault="00913F3F" w:rsidP="000C5B59">
            <w:pPr>
              <w:pStyle w:val="TableText"/>
              <w:widowControl w:val="0"/>
              <w:rPr>
                <w:rFonts w:ascii="Tahoma" w:hAnsi="Tahoma" w:cs="Tahoma"/>
                <w:sz w:val="13"/>
              </w:rPr>
            </w:pPr>
            <w:r w:rsidRPr="004D10F1">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r>
      <w:tr w:rsidR="00B33D0E" w:rsidRPr="004D10F1" w:rsidTr="000C5B59">
        <w:trPr>
          <w:cantSplit/>
          <w:trHeight w:val="287"/>
        </w:trPr>
        <w:tc>
          <w:tcPr>
            <w:tcW w:w="2638" w:type="dxa"/>
            <w:tcBorders>
              <w:bottom w:val="single" w:sz="4" w:space="0" w:color="auto"/>
            </w:tcBorders>
            <w:shd w:val="clear" w:color="auto" w:fill="auto"/>
            <w:vAlign w:val="center"/>
          </w:tcPr>
          <w:p w:rsidR="00B27742" w:rsidRPr="004D10F1" w:rsidRDefault="00B27742" w:rsidP="004D10F1">
            <w:pPr>
              <w:pStyle w:val="Heading2"/>
              <w:spacing w:beforeLines="20" w:before="48" w:afterLines="20" w:after="48"/>
              <w:ind w:left="0"/>
              <w:rPr>
                <w:rFonts w:ascii="Tahoma" w:hAnsi="Tahoma" w:cs="Tahoma"/>
                <w:b w:val="0"/>
                <w:sz w:val="14"/>
                <w:szCs w:val="14"/>
              </w:rPr>
            </w:pPr>
            <w:bookmarkStart w:id="26" w:name="_Toc336337853"/>
            <w:bookmarkStart w:id="27" w:name="_Toc363998603"/>
            <w:r w:rsidRPr="004D10F1">
              <w:rPr>
                <w:rFonts w:ascii="Tahoma" w:hAnsi="Tahoma" w:cs="Tahoma"/>
                <w:b w:val="0"/>
                <w:sz w:val="14"/>
                <w:szCs w:val="14"/>
              </w:rPr>
              <w:t>InfoPath</w:t>
            </w:r>
            <w:r w:rsidR="0069040B" w:rsidRPr="0069040B">
              <w:rPr>
                <w:rFonts w:ascii="Tahoma" w:hAnsi="Tahoma" w:cs="Tahoma"/>
                <w:b w:val="0"/>
                <w:sz w:val="14"/>
                <w:szCs w:val="14"/>
                <w:vertAlign w:val="superscript"/>
              </w:rPr>
              <w:t>®</w:t>
            </w:r>
            <w:r w:rsidRPr="004D10F1">
              <w:rPr>
                <w:rFonts w:ascii="Tahoma" w:hAnsi="Tahoma" w:cs="Tahoma"/>
                <w:b w:val="0"/>
                <w:sz w:val="14"/>
                <w:szCs w:val="14"/>
              </w:rPr>
              <w:t xml:space="preserve"> </w:t>
            </w:r>
            <w:bookmarkEnd w:id="26"/>
            <w:r w:rsidRPr="004D10F1">
              <w:rPr>
                <w:rFonts w:ascii="Tahoma" w:hAnsi="Tahoma" w:cs="Tahoma"/>
                <w:b w:val="0"/>
                <w:sz w:val="14"/>
                <w:szCs w:val="14"/>
              </w:rPr>
              <w:t>2013</w:t>
            </w:r>
            <w:bookmarkEnd w:id="27"/>
          </w:p>
        </w:tc>
        <w:tc>
          <w:tcPr>
            <w:tcW w:w="429" w:type="dxa"/>
            <w:tcBorders>
              <w:bottom w:val="single" w:sz="4" w:space="0" w:color="auto"/>
            </w:tcBorders>
            <w:shd w:val="clear" w:color="auto" w:fill="auto"/>
            <w:vAlign w:val="center"/>
          </w:tcPr>
          <w:p w:rsidR="00B27742" w:rsidRPr="00E22E42" w:rsidRDefault="00B27742" w:rsidP="00E22E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p>
        </w:tc>
      </w:tr>
      <w:tr w:rsidR="009F0AB2" w:rsidRPr="004D10F1" w:rsidTr="000C5B59">
        <w:trPr>
          <w:cantSplit/>
          <w:trHeight w:val="287"/>
        </w:trPr>
        <w:tc>
          <w:tcPr>
            <w:tcW w:w="2638" w:type="dxa"/>
            <w:tcBorders>
              <w:bottom w:val="single" w:sz="4" w:space="0" w:color="auto"/>
            </w:tcBorders>
            <w:shd w:val="clear" w:color="auto" w:fill="FABF8F"/>
            <w:vAlign w:val="center"/>
          </w:tcPr>
          <w:p w:rsidR="00B27742" w:rsidRPr="004D10F1" w:rsidRDefault="00B27742" w:rsidP="004D10F1">
            <w:pPr>
              <w:pStyle w:val="Heading2"/>
              <w:spacing w:beforeLines="20" w:before="48" w:afterLines="20" w:after="48"/>
              <w:ind w:left="0"/>
              <w:rPr>
                <w:rFonts w:ascii="Tahoma" w:hAnsi="Tahoma" w:cs="Tahoma"/>
                <w:b w:val="0"/>
                <w:sz w:val="14"/>
                <w:szCs w:val="14"/>
              </w:rPr>
            </w:pPr>
            <w:bookmarkStart w:id="28" w:name="_Toc336337854"/>
            <w:bookmarkStart w:id="29" w:name="_Toc363998604"/>
            <w:r w:rsidRPr="004D10F1">
              <w:rPr>
                <w:rFonts w:ascii="Tahoma" w:hAnsi="Tahoma" w:cs="Tahoma"/>
                <w:b w:val="0"/>
                <w:sz w:val="14"/>
                <w:szCs w:val="14"/>
              </w:rPr>
              <w:t xml:space="preserve">Lync </w:t>
            </w:r>
            <w:bookmarkEnd w:id="28"/>
            <w:r w:rsidRPr="004D10F1">
              <w:rPr>
                <w:rFonts w:ascii="Tahoma" w:hAnsi="Tahoma" w:cs="Tahoma"/>
                <w:b w:val="0"/>
                <w:sz w:val="14"/>
                <w:szCs w:val="14"/>
              </w:rPr>
              <w:t>2013</w:t>
            </w:r>
            <w:bookmarkEnd w:id="29"/>
          </w:p>
        </w:tc>
        <w:tc>
          <w:tcPr>
            <w:tcW w:w="429" w:type="dxa"/>
            <w:tcBorders>
              <w:bottom w:val="single" w:sz="4" w:space="0" w:color="auto"/>
            </w:tcBorders>
            <w:shd w:val="clear" w:color="auto" w:fill="FABF8F"/>
            <w:vAlign w:val="center"/>
          </w:tcPr>
          <w:p w:rsidR="00B27742" w:rsidRPr="00E22E42" w:rsidRDefault="00B27742" w:rsidP="00E22E42">
            <w:pPr>
              <w:pStyle w:val="TableText"/>
              <w:widowControl w:val="0"/>
              <w:rPr>
                <w:rStyle w:val="EndnoteReference"/>
                <w:rFonts w:cs="Tahoma"/>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B27742" w:rsidRPr="004D10F1" w:rsidRDefault="00F440FF" w:rsidP="000C5B59">
            <w:pPr>
              <w:pStyle w:val="TableText"/>
              <w:widowControl w:val="0"/>
              <w:rPr>
                <w:rFonts w:ascii="Tahoma" w:hAnsi="Tahoma" w:cs="Tahoma"/>
                <w:sz w:val="13"/>
              </w:rPr>
            </w:pPr>
            <w:r w:rsidRPr="004D10F1">
              <w:rPr>
                <w:rFonts w:ascii="Tahoma" w:hAnsi="Tahoma" w:cs="Tahoma"/>
                <w:sz w:val="13"/>
              </w:rPr>
              <w:t>A, ST</w:t>
            </w:r>
          </w:p>
        </w:tc>
        <w:tc>
          <w:tcPr>
            <w:tcW w:w="514"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r>
      <w:tr w:rsidR="00B33D0E" w:rsidRPr="004D10F1" w:rsidTr="000C5B59">
        <w:trPr>
          <w:cantSplit/>
          <w:trHeight w:val="287"/>
        </w:trPr>
        <w:tc>
          <w:tcPr>
            <w:tcW w:w="2638" w:type="dxa"/>
            <w:tcBorders>
              <w:bottom w:val="single" w:sz="4" w:space="0" w:color="auto"/>
            </w:tcBorders>
            <w:shd w:val="clear" w:color="auto" w:fill="auto"/>
            <w:vAlign w:val="center"/>
          </w:tcPr>
          <w:p w:rsidR="00CA606E" w:rsidRPr="004D10F1" w:rsidRDefault="00CA606E" w:rsidP="004D10F1">
            <w:pPr>
              <w:pStyle w:val="Heading2"/>
              <w:spacing w:beforeLines="20" w:before="48" w:afterLines="20" w:after="48"/>
              <w:ind w:left="0"/>
              <w:rPr>
                <w:rFonts w:ascii="Tahoma" w:hAnsi="Tahoma" w:cs="Tahoma"/>
                <w:b w:val="0"/>
                <w:sz w:val="14"/>
                <w:szCs w:val="14"/>
              </w:rPr>
            </w:pPr>
            <w:bookmarkStart w:id="32" w:name="_Toc336337855"/>
            <w:bookmarkStart w:id="33" w:name="_Toc363998605"/>
            <w:r w:rsidRPr="004D10F1">
              <w:rPr>
                <w:rFonts w:ascii="Tahoma" w:hAnsi="Tahoma" w:cs="Tahoma"/>
                <w:b w:val="0"/>
                <w:sz w:val="14"/>
                <w:szCs w:val="14"/>
              </w:rPr>
              <w:t>Lync für Mac 2011</w:t>
            </w:r>
            <w:bookmarkEnd w:id="32"/>
            <w:bookmarkEnd w:id="33"/>
          </w:p>
        </w:tc>
        <w:tc>
          <w:tcPr>
            <w:tcW w:w="429" w:type="dxa"/>
            <w:tcBorders>
              <w:bottom w:val="single" w:sz="4" w:space="0" w:color="auto"/>
            </w:tcBorders>
            <w:shd w:val="clear" w:color="auto" w:fill="auto"/>
            <w:vAlign w:val="center"/>
          </w:tcPr>
          <w:p w:rsidR="00CA606E" w:rsidRPr="00E22E42" w:rsidRDefault="005B744B" w:rsidP="00E22E42">
            <w:pPr>
              <w:pStyle w:val="TableText"/>
              <w:widowControl w:val="0"/>
              <w:rPr>
                <w:rStyle w:val="EndnoteReference"/>
                <w:rFonts w:cs="Tahoma"/>
                <w:b w:val="0"/>
                <w:color w:val="0000FF"/>
                <w:sz w:val="13"/>
                <w:szCs w:val="13"/>
                <w:u w:val="single"/>
              </w:rPr>
            </w:pPr>
            <w:hyperlink w:anchor="_2_Lync_für" w:history="1">
              <w:r w:rsidR="00316801" w:rsidRPr="00E22E42">
                <w:rPr>
                  <w:rStyle w:val="Hyperlink"/>
                  <w:rFonts w:cs="Tahoma"/>
                  <w:b/>
                  <w:sz w:val="13"/>
                  <w:szCs w:val="13"/>
                </w:rPr>
                <w:t>2</w:t>
              </w:r>
            </w:hyperlink>
          </w:p>
        </w:tc>
        <w:tc>
          <w:tcPr>
            <w:tcW w:w="429" w:type="dxa"/>
            <w:tcBorders>
              <w:bottom w:val="single" w:sz="4" w:space="0" w:color="auto"/>
            </w:tcBorders>
            <w:shd w:val="clear" w:color="auto" w:fill="auto"/>
            <w:vAlign w:val="center"/>
          </w:tcPr>
          <w:p w:rsidR="00CA606E" w:rsidRPr="004D10F1" w:rsidRDefault="00C4684B" w:rsidP="000C5B59">
            <w:pPr>
              <w:pStyle w:val="TableText"/>
              <w:widowControl w:val="0"/>
              <w:rPr>
                <w:rFonts w:ascii="Tahoma" w:hAnsi="Tahoma" w:cs="Tahoma"/>
                <w:sz w:val="13"/>
              </w:rPr>
            </w:pPr>
            <w:r w:rsidRPr="004D10F1">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4D10F1" w:rsidRDefault="00CA606E" w:rsidP="000C5B59">
            <w:pPr>
              <w:pStyle w:val="TableText"/>
              <w:widowControl w:val="0"/>
              <w:rPr>
                <w:rFonts w:ascii="Tahoma" w:hAnsi="Tahoma" w:cs="Tahoma"/>
                <w:sz w:val="13"/>
              </w:rPr>
            </w:pPr>
          </w:p>
        </w:tc>
      </w:tr>
      <w:tr w:rsidR="009F0AB2" w:rsidRPr="004D10F1" w:rsidTr="000C5B59">
        <w:trPr>
          <w:cantSplit/>
          <w:trHeight w:val="287"/>
        </w:trPr>
        <w:tc>
          <w:tcPr>
            <w:tcW w:w="2638" w:type="dxa"/>
            <w:tcBorders>
              <w:bottom w:val="single" w:sz="4" w:space="0" w:color="auto"/>
            </w:tcBorders>
            <w:shd w:val="clear" w:color="auto" w:fill="FABF8F"/>
            <w:vAlign w:val="center"/>
          </w:tcPr>
          <w:p w:rsidR="00B27742" w:rsidRPr="004D10F1" w:rsidRDefault="00B27742" w:rsidP="004D10F1">
            <w:pPr>
              <w:pStyle w:val="Heading2"/>
              <w:spacing w:beforeLines="20" w:before="48" w:afterLines="20" w:after="48"/>
              <w:ind w:left="0"/>
              <w:rPr>
                <w:rFonts w:ascii="Tahoma" w:hAnsi="Tahoma" w:cs="Tahoma"/>
                <w:b w:val="0"/>
                <w:sz w:val="14"/>
                <w:szCs w:val="14"/>
              </w:rPr>
            </w:pPr>
            <w:bookmarkStart w:id="34" w:name="_Toc235859737"/>
            <w:bookmarkStart w:id="35" w:name="_Toc336337856"/>
            <w:bookmarkStart w:id="36" w:name="_Toc363998606"/>
            <w:r w:rsidRPr="004D10F1">
              <w:rPr>
                <w:rFonts w:ascii="Tahoma" w:hAnsi="Tahoma" w:cs="Tahoma"/>
                <w:b w:val="0"/>
                <w:sz w:val="14"/>
                <w:szCs w:val="14"/>
              </w:rPr>
              <w:t>MapPoint</w:t>
            </w:r>
            <w:r w:rsidR="0069040B" w:rsidRPr="0069040B">
              <w:rPr>
                <w:rFonts w:ascii="Tahoma" w:hAnsi="Tahoma" w:cs="Tahoma"/>
                <w:b w:val="0"/>
                <w:sz w:val="14"/>
                <w:szCs w:val="14"/>
                <w:vertAlign w:val="superscript"/>
              </w:rPr>
              <w:t>®</w:t>
            </w:r>
            <w:r w:rsidRPr="004D10F1">
              <w:rPr>
                <w:rFonts w:ascii="Tahoma" w:hAnsi="Tahoma" w:cs="Tahoma"/>
                <w:b w:val="0"/>
                <w:sz w:val="14"/>
                <w:szCs w:val="14"/>
              </w:rPr>
              <w:t xml:space="preserve"> Fleet Edition </w:t>
            </w:r>
            <w:bookmarkEnd w:id="34"/>
            <w:r w:rsidRPr="004D10F1">
              <w:rPr>
                <w:rFonts w:ascii="Tahoma" w:hAnsi="Tahoma" w:cs="Tahoma"/>
                <w:b w:val="0"/>
                <w:sz w:val="14"/>
                <w:szCs w:val="14"/>
              </w:rPr>
              <w:t>2013</w:t>
            </w:r>
            <w:bookmarkEnd w:id="35"/>
            <w:bookmarkEnd w:id="36"/>
          </w:p>
        </w:tc>
        <w:tc>
          <w:tcPr>
            <w:tcW w:w="429" w:type="dxa"/>
            <w:tcBorders>
              <w:bottom w:val="single" w:sz="4" w:space="0" w:color="auto"/>
            </w:tcBorders>
            <w:shd w:val="clear" w:color="auto" w:fill="FABF8F"/>
            <w:vAlign w:val="center"/>
          </w:tcPr>
          <w:p w:rsidR="00B27742" w:rsidRPr="00E22E42" w:rsidRDefault="00B27742" w:rsidP="00E22E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4D10F1" w:rsidRDefault="00097B90" w:rsidP="000C5B59">
            <w:pPr>
              <w:pStyle w:val="TableText"/>
              <w:widowControl w:val="0"/>
              <w:rPr>
                <w:rFonts w:ascii="Tahoma" w:hAnsi="Tahoma" w:cs="Tahoma"/>
                <w:sz w:val="13"/>
              </w:rPr>
            </w:pPr>
            <w:r w:rsidRPr="004D10F1">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4</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10</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8</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6</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6</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4</w:t>
            </w:r>
          </w:p>
        </w:tc>
        <w:tc>
          <w:tcPr>
            <w:tcW w:w="429"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D10F1" w:rsidRDefault="00B27742" w:rsidP="000C5B59">
            <w:pPr>
              <w:pStyle w:val="TableText"/>
              <w:widowControl w:val="0"/>
              <w:rPr>
                <w:rFonts w:ascii="Tahoma" w:hAnsi="Tahoma" w:cs="Tahoma"/>
                <w:sz w:val="13"/>
              </w:rPr>
            </w:pPr>
          </w:p>
        </w:tc>
      </w:tr>
      <w:tr w:rsidR="00B33D0E" w:rsidRPr="004D10F1" w:rsidTr="000C5B59">
        <w:trPr>
          <w:cantSplit/>
          <w:trHeight w:val="323"/>
        </w:trPr>
        <w:tc>
          <w:tcPr>
            <w:tcW w:w="2638" w:type="dxa"/>
            <w:tcBorders>
              <w:bottom w:val="single" w:sz="4" w:space="0" w:color="auto"/>
            </w:tcBorders>
            <w:shd w:val="clear" w:color="auto" w:fill="auto"/>
            <w:vAlign w:val="center"/>
          </w:tcPr>
          <w:p w:rsidR="00B27742" w:rsidRPr="004D10F1" w:rsidRDefault="00B27742" w:rsidP="004D10F1">
            <w:pPr>
              <w:pStyle w:val="Heading2"/>
              <w:spacing w:beforeLines="20" w:before="48" w:afterLines="20" w:after="48"/>
              <w:ind w:left="0"/>
              <w:rPr>
                <w:rFonts w:ascii="Tahoma" w:hAnsi="Tahoma" w:cs="Tahoma"/>
                <w:b w:val="0"/>
                <w:sz w:val="14"/>
                <w:szCs w:val="14"/>
              </w:rPr>
            </w:pPr>
            <w:bookmarkStart w:id="37" w:name="_Toc235859738"/>
            <w:bookmarkStart w:id="38" w:name="_Toc336337857"/>
            <w:bookmarkStart w:id="39" w:name="_Toc363998607"/>
            <w:r w:rsidRPr="004D10F1">
              <w:rPr>
                <w:rFonts w:ascii="Tahoma" w:hAnsi="Tahoma" w:cs="Tahoma"/>
                <w:b w:val="0"/>
                <w:sz w:val="14"/>
                <w:szCs w:val="14"/>
              </w:rPr>
              <w:t>MapPoint</w:t>
            </w:r>
            <w:r w:rsidR="0069040B" w:rsidRPr="0069040B">
              <w:rPr>
                <w:rFonts w:ascii="Tahoma" w:hAnsi="Tahoma" w:cs="Tahoma"/>
                <w:b w:val="0"/>
                <w:sz w:val="14"/>
                <w:szCs w:val="14"/>
                <w:vertAlign w:val="superscript"/>
              </w:rPr>
              <w:t>®</w:t>
            </w:r>
            <w:r w:rsidRPr="004D10F1">
              <w:rPr>
                <w:rFonts w:ascii="Tahoma" w:hAnsi="Tahoma" w:cs="Tahoma"/>
                <w:b w:val="0"/>
                <w:sz w:val="14"/>
                <w:szCs w:val="14"/>
              </w:rPr>
              <w:t xml:space="preserve"> 2013 für Windows</w:t>
            </w:r>
            <w:bookmarkEnd w:id="37"/>
            <w:bookmarkEnd w:id="38"/>
            <w:bookmarkEnd w:id="39"/>
          </w:p>
        </w:tc>
        <w:tc>
          <w:tcPr>
            <w:tcW w:w="429" w:type="dxa"/>
            <w:tcBorders>
              <w:bottom w:val="single" w:sz="4" w:space="0" w:color="auto"/>
            </w:tcBorders>
            <w:shd w:val="clear" w:color="auto" w:fill="auto"/>
            <w:vAlign w:val="center"/>
          </w:tcPr>
          <w:p w:rsidR="00B27742" w:rsidRPr="00E22E42" w:rsidRDefault="00B27742" w:rsidP="00E22E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4D10F1" w:rsidRDefault="00097B90" w:rsidP="000C5B59">
            <w:pPr>
              <w:pStyle w:val="TableText"/>
              <w:widowControl w:val="0"/>
              <w:rPr>
                <w:rFonts w:ascii="Tahoma" w:hAnsi="Tahoma" w:cs="Tahoma"/>
                <w:color w:val="000000"/>
                <w:sz w:val="13"/>
              </w:rPr>
            </w:pPr>
            <w:r w:rsidRPr="004D10F1">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color w:val="000000"/>
                <w:sz w:val="13"/>
              </w:rPr>
            </w:pPr>
            <w:r w:rsidRPr="004D10F1">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B27742" w:rsidRPr="004D10F1" w:rsidRDefault="00F440FF" w:rsidP="000C5B59">
            <w:pPr>
              <w:pStyle w:val="TableText"/>
              <w:widowControl w:val="0"/>
              <w:rPr>
                <w:rFonts w:ascii="Tahoma" w:hAnsi="Tahoma" w:cs="Tahoma"/>
                <w:sz w:val="13"/>
              </w:rPr>
            </w:pPr>
            <w:r w:rsidRPr="004D10F1">
              <w:rPr>
                <w:rFonts w:ascii="Tahoma" w:hAnsi="Tahoma" w:cs="Tahoma"/>
                <w:sz w:val="13"/>
              </w:rPr>
              <w:t>A, AO, ST</w:t>
            </w:r>
          </w:p>
        </w:tc>
        <w:tc>
          <w:tcPr>
            <w:tcW w:w="514" w:type="dxa"/>
            <w:tcBorders>
              <w:bottom w:val="single" w:sz="4" w:space="0" w:color="auto"/>
            </w:tcBorders>
            <w:shd w:val="clear" w:color="auto" w:fill="auto"/>
            <w:vAlign w:val="center"/>
          </w:tcPr>
          <w:p w:rsidR="00B27742" w:rsidRPr="004D10F1" w:rsidRDefault="00B27742" w:rsidP="000C5B59">
            <w:pPr>
              <w:pStyle w:val="TableText"/>
              <w:widowControl w:val="0"/>
              <w:rPr>
                <w:rFonts w:ascii="Tahoma" w:hAnsi="Tahoma" w:cs="Tahoma"/>
                <w:sz w:val="13"/>
              </w:rPr>
            </w:pPr>
          </w:p>
        </w:tc>
      </w:tr>
      <w:tr w:rsidR="009F0AB2" w:rsidRPr="004D10F1" w:rsidTr="000C5B59">
        <w:trPr>
          <w:cantSplit/>
          <w:trHeight w:val="269"/>
        </w:trPr>
        <w:tc>
          <w:tcPr>
            <w:tcW w:w="2638" w:type="dxa"/>
            <w:tcBorders>
              <w:bottom w:val="single" w:sz="4" w:space="0" w:color="auto"/>
            </w:tcBorders>
            <w:shd w:val="clear" w:color="auto" w:fill="FABF8F"/>
            <w:vAlign w:val="center"/>
          </w:tcPr>
          <w:p w:rsidR="00B27742" w:rsidRPr="004D10F1" w:rsidRDefault="00B27742" w:rsidP="004D10F1">
            <w:pPr>
              <w:pStyle w:val="Heading2"/>
              <w:spacing w:beforeLines="20" w:before="48" w:afterLines="20" w:after="48"/>
              <w:ind w:left="0"/>
              <w:rPr>
                <w:rFonts w:ascii="Tahoma" w:hAnsi="Tahoma" w:cs="Tahoma"/>
                <w:b w:val="0"/>
                <w:sz w:val="14"/>
                <w:szCs w:val="14"/>
              </w:rPr>
            </w:pPr>
            <w:bookmarkStart w:id="40" w:name="_Toc336337858"/>
            <w:bookmarkStart w:id="41" w:name="_Toc363998608"/>
            <w:r w:rsidRPr="004D10F1">
              <w:rPr>
                <w:rFonts w:ascii="Tahoma" w:hAnsi="Tahoma" w:cs="Tahoma"/>
                <w:b w:val="0"/>
                <w:sz w:val="14"/>
                <w:szCs w:val="14"/>
              </w:rPr>
              <w:t>MSDN-Betriebssysteme</w:t>
            </w:r>
            <w:bookmarkEnd w:id="40"/>
            <w:bookmarkEnd w:id="41"/>
          </w:p>
        </w:tc>
        <w:tc>
          <w:tcPr>
            <w:tcW w:w="429" w:type="dxa"/>
            <w:tcBorders>
              <w:bottom w:val="single" w:sz="4" w:space="0" w:color="auto"/>
            </w:tcBorders>
            <w:shd w:val="clear" w:color="auto" w:fill="FABF8F"/>
            <w:vAlign w:val="center"/>
          </w:tcPr>
          <w:p w:rsidR="00B27742" w:rsidRPr="00E22E42" w:rsidRDefault="005B744B" w:rsidP="00E22E42">
            <w:pPr>
              <w:pStyle w:val="TableText"/>
              <w:widowControl w:val="0"/>
              <w:rPr>
                <w:rStyle w:val="EndnoteReference"/>
                <w:rFonts w:cs="Tahoma"/>
                <w:b w:val="0"/>
                <w:color w:val="0000FF"/>
                <w:sz w:val="13"/>
                <w:szCs w:val="13"/>
                <w:u w:val="single"/>
              </w:rPr>
            </w:pPr>
            <w:hyperlink w:anchor="_3_MSDN-Betriebssysteme" w:history="1">
              <w:r w:rsidR="00316801" w:rsidRPr="00E22E42">
                <w:rPr>
                  <w:rStyle w:val="Hyperlink"/>
                  <w:rFonts w:cs="Tahoma"/>
                  <w:b/>
                  <w:sz w:val="13"/>
                  <w:szCs w:val="13"/>
                </w:rPr>
                <w:t>3</w:t>
              </w:r>
            </w:hyperlink>
          </w:p>
        </w:tc>
        <w:tc>
          <w:tcPr>
            <w:tcW w:w="429"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5</w:t>
            </w:r>
          </w:p>
        </w:tc>
        <w:tc>
          <w:tcPr>
            <w:tcW w:w="429"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4</w:t>
            </w:r>
          </w:p>
        </w:tc>
        <w:tc>
          <w:tcPr>
            <w:tcW w:w="429"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B27742" w:rsidRPr="004D10F1" w:rsidRDefault="00052BF4" w:rsidP="000C5B59">
            <w:pPr>
              <w:pStyle w:val="TableText"/>
              <w:rPr>
                <w:rFonts w:ascii="Tahoma" w:hAnsi="Tahoma" w:cs="Tahoma"/>
                <w:sz w:val="13"/>
              </w:rPr>
            </w:pPr>
            <w:r w:rsidRPr="004D10F1">
              <w:rPr>
                <w:rFonts w:ascii="Tahoma" w:hAnsi="Tahoma" w:cs="Tahoma"/>
                <w:sz w:val="13"/>
              </w:rPr>
              <w:t>A</w:t>
            </w:r>
          </w:p>
        </w:tc>
        <w:tc>
          <w:tcPr>
            <w:tcW w:w="514"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rPr>
            </w:pPr>
            <w:r w:rsidRPr="004D10F1">
              <w:rPr>
                <w:rFonts w:ascii="Tahoma" w:hAnsi="Tahoma" w:cs="Tahoma"/>
                <w:sz w:val="13"/>
              </w:rPr>
              <w:t>OL/SA/</w:t>
            </w:r>
          </w:p>
          <w:p w:rsidR="00B27742" w:rsidRPr="004D10F1" w:rsidRDefault="00B27742" w:rsidP="000C5B59">
            <w:pPr>
              <w:pStyle w:val="TableText"/>
              <w:rPr>
                <w:rFonts w:ascii="Tahoma" w:hAnsi="Tahoma" w:cs="Tahoma"/>
                <w:sz w:val="13"/>
              </w:rPr>
            </w:pPr>
            <w:r w:rsidRPr="004D10F1">
              <w:rPr>
                <w:rFonts w:ascii="Tahoma" w:hAnsi="Tahoma" w:cs="Tahoma"/>
                <w:sz w:val="13"/>
              </w:rPr>
              <w:t>OV</w:t>
            </w:r>
          </w:p>
        </w:tc>
      </w:tr>
      <w:tr w:rsidR="00A4054A" w:rsidRPr="004D10F1" w:rsidTr="000C5B59">
        <w:trPr>
          <w:cantSplit/>
          <w:trHeight w:val="287"/>
        </w:trPr>
        <w:tc>
          <w:tcPr>
            <w:tcW w:w="2638" w:type="dxa"/>
            <w:tcBorders>
              <w:bottom w:val="single" w:sz="4" w:space="0" w:color="auto"/>
            </w:tcBorders>
            <w:shd w:val="clear" w:color="auto" w:fill="auto"/>
            <w:vAlign w:val="center"/>
          </w:tcPr>
          <w:p w:rsidR="00A4054A" w:rsidRPr="004D10F1" w:rsidRDefault="00A4054A" w:rsidP="004D10F1">
            <w:pPr>
              <w:pStyle w:val="Heading2"/>
              <w:spacing w:beforeLines="20" w:before="48" w:afterLines="20" w:after="48"/>
              <w:ind w:left="0"/>
              <w:rPr>
                <w:rFonts w:ascii="Tahoma" w:hAnsi="Tahoma" w:cs="Tahoma"/>
                <w:b w:val="0"/>
                <w:sz w:val="14"/>
                <w:szCs w:val="14"/>
              </w:rPr>
            </w:pPr>
            <w:bookmarkStart w:id="42" w:name="_Toc363998609"/>
            <w:r w:rsidRPr="004D10F1">
              <w:rPr>
                <w:rFonts w:ascii="Tahoma" w:hAnsi="Tahoma" w:cs="Tahoma"/>
                <w:b w:val="0"/>
                <w:sz w:val="14"/>
                <w:szCs w:val="14"/>
              </w:rPr>
              <w:t>MSDN-Plattformen</w:t>
            </w:r>
            <w:bookmarkEnd w:id="42"/>
          </w:p>
        </w:tc>
        <w:tc>
          <w:tcPr>
            <w:tcW w:w="429" w:type="dxa"/>
            <w:tcBorders>
              <w:bottom w:val="single" w:sz="4" w:space="0" w:color="auto"/>
            </w:tcBorders>
            <w:shd w:val="clear" w:color="auto" w:fill="auto"/>
            <w:vAlign w:val="center"/>
          </w:tcPr>
          <w:p w:rsidR="00A4054A" w:rsidRPr="00E22E42" w:rsidRDefault="005B744B" w:rsidP="00E22E42">
            <w:pPr>
              <w:pStyle w:val="TableText"/>
              <w:widowControl w:val="0"/>
              <w:rPr>
                <w:rFonts w:cs="Tahoma"/>
                <w:sz w:val="13"/>
                <w:szCs w:val="13"/>
              </w:rPr>
            </w:pPr>
            <w:hyperlink w:anchor="_4_MSDN-Plattformen" w:history="1">
              <w:r w:rsidR="00316801" w:rsidRPr="00E22E42">
                <w:rPr>
                  <w:rStyle w:val="Hyperlink"/>
                  <w:rFonts w:cs="Tahoma"/>
                  <w:b/>
                  <w:sz w:val="13"/>
                  <w:szCs w:val="13"/>
                </w:rPr>
                <w:t>4</w:t>
              </w:r>
            </w:hyperlink>
          </w:p>
        </w:tc>
        <w:tc>
          <w:tcPr>
            <w:tcW w:w="429" w:type="dxa"/>
            <w:tcBorders>
              <w:bottom w:val="single" w:sz="4" w:space="0" w:color="auto"/>
            </w:tcBorders>
            <w:shd w:val="clear" w:color="auto" w:fill="auto"/>
            <w:vAlign w:val="center"/>
          </w:tcPr>
          <w:p w:rsidR="00A4054A" w:rsidRPr="004D10F1" w:rsidRDefault="00A4054A" w:rsidP="000C5B59">
            <w:pPr>
              <w:pStyle w:val="TableText"/>
              <w:widowControl w:val="0"/>
              <w:rPr>
                <w:rFonts w:ascii="Tahoma" w:hAnsi="Tahoma" w:cs="Tahoma"/>
                <w:sz w:val="13"/>
              </w:rPr>
            </w:pPr>
            <w:r w:rsidRPr="004D10F1">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4D10F1" w:rsidRDefault="00A4054A"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4D10F1" w:rsidRDefault="00A4054A" w:rsidP="000C5B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4D10F1" w:rsidRDefault="007C0DA4" w:rsidP="000C5B59">
            <w:pPr>
              <w:pStyle w:val="TableText"/>
              <w:widowControl w:val="0"/>
              <w:rPr>
                <w:rFonts w:ascii="Tahoma" w:hAnsi="Tahoma" w:cs="Tahoma"/>
                <w:sz w:val="13"/>
              </w:rPr>
            </w:pPr>
            <w:r w:rsidRPr="004D10F1">
              <w:rPr>
                <w:rFonts w:ascii="Tahoma" w:hAnsi="Tahoma" w:cs="Tahoma"/>
                <w:sz w:val="13"/>
              </w:rPr>
              <w:t>15</w:t>
            </w:r>
          </w:p>
        </w:tc>
        <w:tc>
          <w:tcPr>
            <w:tcW w:w="429" w:type="dxa"/>
            <w:tcBorders>
              <w:bottom w:val="single" w:sz="4" w:space="0" w:color="auto"/>
            </w:tcBorders>
            <w:shd w:val="clear" w:color="auto" w:fill="auto"/>
            <w:vAlign w:val="center"/>
          </w:tcPr>
          <w:p w:rsidR="00A4054A" w:rsidRPr="004D10F1" w:rsidRDefault="007C0DA4" w:rsidP="000C5B59">
            <w:pPr>
              <w:pStyle w:val="TableText"/>
              <w:widowControl w:val="0"/>
              <w:rPr>
                <w:rFonts w:ascii="Tahoma" w:hAnsi="Tahoma" w:cs="Tahoma"/>
                <w:sz w:val="13"/>
              </w:rPr>
            </w:pPr>
            <w:r w:rsidRPr="004D10F1">
              <w:rPr>
                <w:rFonts w:ascii="Tahoma" w:hAnsi="Tahoma" w:cs="Tahoma"/>
                <w:sz w:val="13"/>
              </w:rPr>
              <w:t>12</w:t>
            </w:r>
          </w:p>
        </w:tc>
        <w:tc>
          <w:tcPr>
            <w:tcW w:w="429" w:type="dxa"/>
            <w:tcBorders>
              <w:bottom w:val="single" w:sz="4" w:space="0" w:color="auto"/>
            </w:tcBorders>
            <w:shd w:val="clear" w:color="auto" w:fill="auto"/>
            <w:vAlign w:val="center"/>
          </w:tcPr>
          <w:p w:rsidR="00A4054A" w:rsidRPr="004D10F1" w:rsidRDefault="007C0DA4" w:rsidP="000C5B59">
            <w:pPr>
              <w:pStyle w:val="TableText"/>
              <w:widowControl w:val="0"/>
              <w:rPr>
                <w:rFonts w:ascii="Tahoma" w:hAnsi="Tahoma" w:cs="Tahoma"/>
                <w:sz w:val="13"/>
              </w:rPr>
            </w:pPr>
            <w:r w:rsidRPr="004D10F1">
              <w:rPr>
                <w:rFonts w:ascii="Tahoma" w:hAnsi="Tahoma" w:cs="Tahoma"/>
                <w:sz w:val="13"/>
              </w:rPr>
              <w:t>9</w:t>
            </w:r>
          </w:p>
        </w:tc>
        <w:tc>
          <w:tcPr>
            <w:tcW w:w="429" w:type="dxa"/>
            <w:tcBorders>
              <w:bottom w:val="single" w:sz="4" w:space="0" w:color="auto"/>
            </w:tcBorders>
            <w:shd w:val="clear" w:color="auto" w:fill="auto"/>
            <w:vAlign w:val="center"/>
          </w:tcPr>
          <w:p w:rsidR="00A4054A" w:rsidRPr="004D10F1" w:rsidRDefault="007C0DA4" w:rsidP="000C5B59">
            <w:pPr>
              <w:pStyle w:val="TableText"/>
              <w:widowControl w:val="0"/>
              <w:rPr>
                <w:rFonts w:ascii="Tahoma" w:hAnsi="Tahoma" w:cs="Tahoma"/>
                <w:sz w:val="13"/>
              </w:rPr>
            </w:pPr>
            <w:r w:rsidRPr="004D10F1">
              <w:rPr>
                <w:rFonts w:ascii="Tahoma" w:hAnsi="Tahoma" w:cs="Tahoma"/>
                <w:sz w:val="13"/>
              </w:rPr>
              <w:t>9</w:t>
            </w:r>
          </w:p>
        </w:tc>
        <w:tc>
          <w:tcPr>
            <w:tcW w:w="429" w:type="dxa"/>
            <w:tcBorders>
              <w:bottom w:val="single" w:sz="4" w:space="0" w:color="auto"/>
            </w:tcBorders>
            <w:shd w:val="clear" w:color="auto" w:fill="auto"/>
            <w:vAlign w:val="center"/>
          </w:tcPr>
          <w:p w:rsidR="00A4054A" w:rsidRPr="004D10F1" w:rsidRDefault="007C0DA4" w:rsidP="000C5B59">
            <w:pPr>
              <w:pStyle w:val="TableText"/>
              <w:widowControl w:val="0"/>
              <w:rPr>
                <w:rFonts w:ascii="Tahoma" w:hAnsi="Tahoma" w:cs="Tahoma"/>
                <w:sz w:val="13"/>
              </w:rPr>
            </w:pPr>
            <w:r w:rsidRPr="004D10F1">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4D10F1" w:rsidRDefault="007C0DA4" w:rsidP="000C5B59">
            <w:pPr>
              <w:pStyle w:val="TableText"/>
              <w:widowControl w:val="0"/>
              <w:rPr>
                <w:rFonts w:ascii="Tahoma" w:hAnsi="Tahoma" w:cs="Tahoma"/>
                <w:sz w:val="13"/>
              </w:rPr>
            </w:pPr>
            <w:r w:rsidRPr="004D10F1">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4D10F1" w:rsidRDefault="00A4054A" w:rsidP="000C5B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4D10F1" w:rsidRDefault="007C0DA4" w:rsidP="000C5B59">
            <w:pPr>
              <w:pStyle w:val="TableText"/>
              <w:widowControl w:val="0"/>
              <w:rPr>
                <w:rFonts w:ascii="Tahoma" w:hAnsi="Tahoma" w:cs="Tahoma"/>
                <w:sz w:val="13"/>
              </w:rPr>
            </w:pPr>
            <w:r w:rsidRPr="004D10F1">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4D10F1" w:rsidRDefault="007C0DA4" w:rsidP="000C5B59">
            <w:pPr>
              <w:pStyle w:val="TableText"/>
              <w:widowControl w:val="0"/>
              <w:rPr>
                <w:rFonts w:ascii="Tahoma" w:hAnsi="Tahoma" w:cs="Tahoma"/>
                <w:sz w:val="13"/>
              </w:rPr>
            </w:pPr>
            <w:r w:rsidRPr="004D10F1">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4D10F1" w:rsidRDefault="007C0DA4"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4D10F1" w:rsidDel="000365B0" w:rsidRDefault="000C676D" w:rsidP="000C5B59">
            <w:pPr>
              <w:pStyle w:val="TableText"/>
              <w:widowControl w:val="0"/>
              <w:rPr>
                <w:rFonts w:ascii="Tahoma" w:hAnsi="Tahoma" w:cs="Tahoma"/>
                <w:sz w:val="13"/>
              </w:rPr>
            </w:pPr>
            <w:r w:rsidRPr="004D10F1">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4D10F1" w:rsidRDefault="000C676D"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A4054A" w:rsidRPr="004D10F1" w:rsidRDefault="000C676D" w:rsidP="000C5B59">
            <w:pPr>
              <w:pStyle w:val="TableText"/>
              <w:widowControl w:val="0"/>
              <w:rPr>
                <w:rFonts w:ascii="Tahoma" w:hAnsi="Tahoma" w:cs="Tahoma"/>
                <w:sz w:val="13"/>
              </w:rPr>
            </w:pPr>
            <w:r w:rsidRPr="004D10F1">
              <w:rPr>
                <w:rFonts w:ascii="Tahoma" w:hAnsi="Tahoma" w:cs="Tahoma"/>
                <w:sz w:val="13"/>
              </w:rPr>
              <w:t>A (nur EES)</w:t>
            </w:r>
          </w:p>
        </w:tc>
        <w:tc>
          <w:tcPr>
            <w:tcW w:w="514" w:type="dxa"/>
            <w:tcBorders>
              <w:bottom w:val="single" w:sz="4" w:space="0" w:color="auto"/>
            </w:tcBorders>
            <w:shd w:val="clear" w:color="auto" w:fill="auto"/>
            <w:vAlign w:val="center"/>
          </w:tcPr>
          <w:p w:rsidR="00A4054A" w:rsidRPr="004D10F1" w:rsidRDefault="00406C4D" w:rsidP="000C5B59">
            <w:pPr>
              <w:pStyle w:val="TableText"/>
              <w:widowControl w:val="0"/>
              <w:rPr>
                <w:rFonts w:ascii="Tahoma" w:hAnsi="Tahoma" w:cs="Tahoma"/>
                <w:sz w:val="13"/>
              </w:rPr>
            </w:pPr>
            <w:r w:rsidRPr="004D10F1">
              <w:rPr>
                <w:rFonts w:ascii="Tahoma" w:hAnsi="Tahoma" w:cs="Tahoma"/>
                <w:sz w:val="13"/>
              </w:rPr>
              <w:t>OL/SA/OV</w:t>
            </w:r>
          </w:p>
        </w:tc>
      </w:tr>
      <w:tr w:rsidR="009578A2" w:rsidRPr="004D10F1" w:rsidTr="000C5B59">
        <w:trPr>
          <w:cantSplit/>
          <w:trHeight w:val="287"/>
        </w:trPr>
        <w:tc>
          <w:tcPr>
            <w:tcW w:w="2638" w:type="dxa"/>
            <w:tcBorders>
              <w:bottom w:val="single" w:sz="4" w:space="0" w:color="auto"/>
            </w:tcBorders>
            <w:shd w:val="clear" w:color="auto" w:fill="FABF8F"/>
            <w:vAlign w:val="center"/>
          </w:tcPr>
          <w:p w:rsidR="009578A2" w:rsidRPr="004D10F1" w:rsidRDefault="009578A2" w:rsidP="004D10F1">
            <w:pPr>
              <w:pStyle w:val="Heading2"/>
              <w:spacing w:beforeLines="20" w:before="48" w:afterLines="20" w:after="48"/>
              <w:ind w:left="0"/>
              <w:rPr>
                <w:rFonts w:ascii="Tahoma" w:hAnsi="Tahoma" w:cs="Tahoma"/>
                <w:b w:val="0"/>
                <w:sz w:val="14"/>
                <w:szCs w:val="14"/>
              </w:rPr>
            </w:pPr>
            <w:bookmarkStart w:id="43" w:name="_Toc336337860"/>
            <w:bookmarkStart w:id="44" w:name="_Toc363998610"/>
            <w:r w:rsidRPr="004D10F1">
              <w:rPr>
                <w:rFonts w:ascii="Tahoma" w:hAnsi="Tahoma" w:cs="Tahoma"/>
                <w:b w:val="0"/>
                <w:sz w:val="14"/>
                <w:szCs w:val="14"/>
              </w:rPr>
              <w:t>Office 365 Education A3 (Nutzer-AL)</w:t>
            </w:r>
            <w:bookmarkEnd w:id="43"/>
            <w:bookmarkEnd w:id="44"/>
          </w:p>
        </w:tc>
        <w:tc>
          <w:tcPr>
            <w:tcW w:w="429" w:type="dxa"/>
            <w:tcBorders>
              <w:bottom w:val="single" w:sz="4" w:space="0" w:color="auto"/>
            </w:tcBorders>
            <w:shd w:val="clear" w:color="auto" w:fill="FABF8F"/>
            <w:vAlign w:val="center"/>
          </w:tcPr>
          <w:p w:rsidR="009578A2" w:rsidRPr="00E22E42" w:rsidRDefault="005B744B" w:rsidP="00E22E42">
            <w:pPr>
              <w:pStyle w:val="TableText"/>
              <w:widowControl w:val="0"/>
              <w:rPr>
                <w:rFonts w:cs="Tahoma"/>
                <w:b/>
                <w:color w:val="0000FF"/>
                <w:sz w:val="13"/>
                <w:szCs w:val="13"/>
                <w:u w:val="single"/>
              </w:rPr>
            </w:pPr>
            <w:hyperlink w:anchor="_5_Office_365_1" w:history="1">
              <w:r w:rsidR="00316801" w:rsidRPr="00E22E42">
                <w:rPr>
                  <w:rStyle w:val="Hyperlink"/>
                  <w:rFonts w:cs="Tahoma"/>
                  <w:b/>
                  <w:sz w:val="13"/>
                  <w:szCs w:val="13"/>
                </w:rPr>
                <w:t>5</w:t>
              </w:r>
            </w:hyperlink>
          </w:p>
        </w:tc>
        <w:tc>
          <w:tcPr>
            <w:tcW w:w="429" w:type="dxa"/>
            <w:tcBorders>
              <w:bottom w:val="single" w:sz="4" w:space="0" w:color="auto"/>
            </w:tcBorders>
            <w:shd w:val="clear" w:color="auto" w:fill="FABF8F"/>
            <w:vAlign w:val="center"/>
          </w:tcPr>
          <w:p w:rsidR="009578A2" w:rsidRPr="004D10F1" w:rsidRDefault="009578A2" w:rsidP="000C5B59">
            <w:pPr>
              <w:pStyle w:val="TableText"/>
              <w:widowControl w:val="0"/>
              <w:rPr>
                <w:rFonts w:ascii="Tahoma" w:hAnsi="Tahoma" w:cs="Tahoma"/>
                <w:sz w:val="13"/>
              </w:rPr>
            </w:pPr>
            <w:r w:rsidRPr="004D10F1">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578A2" w:rsidRPr="004D10F1" w:rsidRDefault="009578A2" w:rsidP="000C5B59">
            <w:pPr>
              <w:pStyle w:val="TableText"/>
              <w:widowControl w:val="0"/>
              <w:rPr>
                <w:rFonts w:ascii="Tahoma" w:hAnsi="Tahoma" w:cs="Tahoma"/>
                <w:sz w:val="13"/>
              </w:rPr>
            </w:pPr>
            <w:r w:rsidRPr="004D10F1">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578A2" w:rsidRPr="004D10F1" w:rsidRDefault="009578A2"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D10F1" w:rsidRDefault="009578A2"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D10F1" w:rsidRDefault="009578A2"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D10F1" w:rsidRDefault="009578A2"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D10F1" w:rsidRDefault="009578A2"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D10F1" w:rsidRDefault="009578A2"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578A2" w:rsidRPr="004D10F1" w:rsidRDefault="009578A2" w:rsidP="000C5B5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578A2" w:rsidRPr="004D10F1" w:rsidRDefault="009578A2" w:rsidP="000C5B59">
            <w:pPr>
              <w:pStyle w:val="TableText"/>
              <w:widowControl w:val="0"/>
              <w:rPr>
                <w:rFonts w:ascii="Tahoma" w:hAnsi="Tahoma" w:cs="Tahoma"/>
                <w:sz w:val="13"/>
              </w:rPr>
            </w:pPr>
            <w:r w:rsidRPr="004D10F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578A2" w:rsidRPr="004D10F1" w:rsidRDefault="009578A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578A2" w:rsidRPr="004D10F1" w:rsidDel="000365B0" w:rsidRDefault="009578A2" w:rsidP="000C5B5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578A2" w:rsidRPr="004D10F1" w:rsidRDefault="009578A2"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9578A2" w:rsidRPr="004D10F1" w:rsidRDefault="009578A2" w:rsidP="000C5B59">
            <w:pPr>
              <w:pStyle w:val="TableText"/>
              <w:widowControl w:val="0"/>
              <w:rPr>
                <w:rFonts w:ascii="Tahoma" w:hAnsi="Tahoma" w:cs="Tahoma"/>
                <w:sz w:val="13"/>
                <w:lang w:val="de-DE"/>
              </w:rPr>
            </w:pPr>
            <w:r w:rsidRPr="004D10F1">
              <w:rPr>
                <w:rFonts w:ascii="Tahoma" w:hAnsi="Tahoma" w:cs="Tahoma"/>
                <w:sz w:val="13"/>
                <w:lang w:val="de-DE"/>
              </w:rPr>
              <w:t>EOLS (nur EES), A (OVS-ES)</w:t>
            </w:r>
          </w:p>
        </w:tc>
        <w:tc>
          <w:tcPr>
            <w:tcW w:w="514" w:type="dxa"/>
            <w:tcBorders>
              <w:bottom w:val="single" w:sz="4" w:space="0" w:color="auto"/>
            </w:tcBorders>
            <w:shd w:val="clear" w:color="auto" w:fill="FABF8F"/>
            <w:vAlign w:val="center"/>
          </w:tcPr>
          <w:p w:rsidR="009578A2" w:rsidRPr="004D10F1" w:rsidRDefault="009578A2" w:rsidP="000C5B59">
            <w:pPr>
              <w:pStyle w:val="TableText"/>
              <w:widowControl w:val="0"/>
              <w:rPr>
                <w:rFonts w:ascii="Tahoma" w:hAnsi="Tahoma" w:cs="Tahoma"/>
                <w:sz w:val="13"/>
              </w:rPr>
            </w:pPr>
            <w:r w:rsidRPr="004D10F1">
              <w:rPr>
                <w:rFonts w:ascii="Tahoma" w:hAnsi="Tahoma" w:cs="Tahoma"/>
                <w:sz w:val="13"/>
              </w:rPr>
              <w:t>OL</w:t>
            </w:r>
          </w:p>
        </w:tc>
      </w:tr>
      <w:tr w:rsidR="009578A2" w:rsidRPr="004D10F1" w:rsidTr="000C5B59">
        <w:trPr>
          <w:cantSplit/>
          <w:trHeight w:val="287"/>
        </w:trPr>
        <w:tc>
          <w:tcPr>
            <w:tcW w:w="2638" w:type="dxa"/>
            <w:tcBorders>
              <w:bottom w:val="single" w:sz="4" w:space="0" w:color="auto"/>
            </w:tcBorders>
            <w:shd w:val="clear" w:color="auto" w:fill="auto"/>
            <w:vAlign w:val="center"/>
          </w:tcPr>
          <w:p w:rsidR="009578A2" w:rsidRPr="004D10F1" w:rsidRDefault="009578A2" w:rsidP="004D10F1">
            <w:pPr>
              <w:pStyle w:val="Heading2"/>
              <w:spacing w:beforeLines="20" w:before="48" w:afterLines="20" w:after="48"/>
              <w:ind w:left="0"/>
              <w:rPr>
                <w:rFonts w:ascii="Tahoma" w:hAnsi="Tahoma" w:cs="Tahoma"/>
                <w:b w:val="0"/>
                <w:sz w:val="14"/>
                <w:szCs w:val="14"/>
              </w:rPr>
            </w:pPr>
            <w:bookmarkStart w:id="45" w:name="_Toc363998611"/>
            <w:r w:rsidRPr="004D10F1">
              <w:rPr>
                <w:rFonts w:ascii="Tahoma" w:hAnsi="Tahoma" w:cs="Tahoma"/>
                <w:b w:val="0"/>
                <w:sz w:val="14"/>
                <w:szCs w:val="14"/>
              </w:rPr>
              <w:t>Office 365 Education A2-A4 (Nutzer-AL)</w:t>
            </w:r>
            <w:bookmarkEnd w:id="45"/>
          </w:p>
        </w:tc>
        <w:tc>
          <w:tcPr>
            <w:tcW w:w="429" w:type="dxa"/>
            <w:tcBorders>
              <w:bottom w:val="single" w:sz="4" w:space="0" w:color="auto"/>
            </w:tcBorders>
            <w:shd w:val="clear" w:color="auto" w:fill="auto"/>
            <w:vAlign w:val="center"/>
          </w:tcPr>
          <w:p w:rsidR="009578A2" w:rsidRPr="00E22E42" w:rsidRDefault="005B744B" w:rsidP="00E22E42">
            <w:pPr>
              <w:pStyle w:val="TableText"/>
              <w:widowControl w:val="0"/>
              <w:rPr>
                <w:rFonts w:cs="Tahoma"/>
                <w:sz w:val="13"/>
                <w:szCs w:val="13"/>
              </w:rPr>
            </w:pPr>
            <w:hyperlink w:anchor="_5_Office_365_1" w:history="1">
              <w:r w:rsidR="00316801" w:rsidRPr="00E22E42">
                <w:rPr>
                  <w:rStyle w:val="Hyperlink"/>
                  <w:rFonts w:cs="Tahoma"/>
                  <w:b/>
                  <w:sz w:val="13"/>
                  <w:szCs w:val="13"/>
                </w:rPr>
                <w:t>5</w:t>
              </w:r>
            </w:hyperlink>
          </w:p>
        </w:tc>
        <w:tc>
          <w:tcPr>
            <w:tcW w:w="429" w:type="dxa"/>
            <w:tcBorders>
              <w:bottom w:val="single" w:sz="4"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r w:rsidRPr="004D10F1">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r w:rsidRPr="004D10F1">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r w:rsidRPr="004D10F1">
              <w:rPr>
                <w:rFonts w:ascii="Tahoma" w:hAnsi="Tahoma" w:cs="Tahoma"/>
                <w:sz w:val="13"/>
              </w:rPr>
              <w:t>EOLS (nur EES)</w:t>
            </w:r>
          </w:p>
        </w:tc>
        <w:tc>
          <w:tcPr>
            <w:tcW w:w="514" w:type="dxa"/>
            <w:tcBorders>
              <w:bottom w:val="single" w:sz="4" w:space="0" w:color="auto"/>
            </w:tcBorders>
            <w:shd w:val="clear" w:color="auto" w:fill="auto"/>
            <w:vAlign w:val="center"/>
          </w:tcPr>
          <w:p w:rsidR="009578A2" w:rsidRPr="004D10F1" w:rsidRDefault="009578A2" w:rsidP="000C5B59">
            <w:pPr>
              <w:pStyle w:val="TableText"/>
              <w:widowControl w:val="0"/>
              <w:rPr>
                <w:rFonts w:ascii="Tahoma" w:hAnsi="Tahoma" w:cs="Tahoma"/>
                <w:sz w:val="13"/>
              </w:rPr>
            </w:pPr>
          </w:p>
        </w:tc>
      </w:tr>
      <w:tr w:rsidR="00EF228F" w:rsidRPr="004D10F1" w:rsidTr="000C5B59">
        <w:trPr>
          <w:cantSplit/>
          <w:trHeight w:val="287"/>
        </w:trPr>
        <w:tc>
          <w:tcPr>
            <w:tcW w:w="2638" w:type="dxa"/>
            <w:tcBorders>
              <w:bottom w:val="single" w:sz="4" w:space="0" w:color="auto"/>
            </w:tcBorders>
            <w:shd w:val="clear" w:color="auto" w:fill="FABF8F"/>
            <w:vAlign w:val="center"/>
          </w:tcPr>
          <w:p w:rsidR="003E5902" w:rsidRPr="004D10F1" w:rsidRDefault="003E5902" w:rsidP="004D10F1">
            <w:pPr>
              <w:pStyle w:val="Heading2"/>
              <w:spacing w:beforeLines="20" w:before="48" w:afterLines="20" w:after="48"/>
              <w:ind w:left="0"/>
              <w:rPr>
                <w:rFonts w:ascii="Tahoma" w:hAnsi="Tahoma" w:cs="Tahoma"/>
                <w:b w:val="0"/>
                <w:sz w:val="14"/>
                <w:szCs w:val="14"/>
              </w:rPr>
            </w:pPr>
            <w:bookmarkStart w:id="46" w:name="_Toc363998612"/>
            <w:r w:rsidRPr="004D10F1">
              <w:rPr>
                <w:rFonts w:ascii="Tahoma" w:hAnsi="Tahoma" w:cs="Tahoma"/>
                <w:b w:val="0"/>
                <w:sz w:val="14"/>
                <w:szCs w:val="14"/>
              </w:rPr>
              <w:t>Office 365 Midsize Business (Nutzer-AL)</w:t>
            </w:r>
            <w:bookmarkEnd w:id="46"/>
          </w:p>
        </w:tc>
        <w:tc>
          <w:tcPr>
            <w:tcW w:w="429" w:type="dxa"/>
            <w:tcBorders>
              <w:bottom w:val="single" w:sz="4" w:space="0" w:color="auto"/>
            </w:tcBorders>
            <w:shd w:val="clear" w:color="auto" w:fill="FABF8F"/>
            <w:vAlign w:val="center"/>
          </w:tcPr>
          <w:p w:rsidR="003E5902" w:rsidRPr="00E22E42" w:rsidRDefault="005B744B" w:rsidP="00E22E42">
            <w:pPr>
              <w:pStyle w:val="TableText"/>
              <w:widowControl w:val="0"/>
              <w:rPr>
                <w:rFonts w:cs="Tahoma"/>
                <w:b/>
                <w:sz w:val="13"/>
                <w:szCs w:val="13"/>
              </w:rPr>
            </w:pPr>
            <w:hyperlink w:anchor="_7_Office_365" w:history="1">
              <w:r w:rsidR="00316801" w:rsidRPr="00E22E42">
                <w:rPr>
                  <w:rStyle w:val="Hyperlink"/>
                  <w:rFonts w:cs="Tahoma"/>
                  <w:b/>
                  <w:sz w:val="13"/>
                  <w:szCs w:val="13"/>
                </w:rPr>
                <w:t>6</w:t>
              </w:r>
            </w:hyperlink>
          </w:p>
        </w:tc>
        <w:tc>
          <w:tcPr>
            <w:tcW w:w="429" w:type="dxa"/>
            <w:tcBorders>
              <w:bottom w:val="single" w:sz="4"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r w:rsidRPr="004D10F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3E5902" w:rsidRPr="004D10F1" w:rsidRDefault="003E5902" w:rsidP="000C5B59">
            <w:pPr>
              <w:pStyle w:val="TableText"/>
              <w:widowControl w:val="0"/>
              <w:rPr>
                <w:rFonts w:ascii="Tahoma" w:hAnsi="Tahoma" w:cs="Tahoma"/>
                <w:sz w:val="13"/>
              </w:rPr>
            </w:pPr>
            <w:r w:rsidRPr="004D10F1">
              <w:rPr>
                <w:rFonts w:ascii="Tahoma" w:hAnsi="Tahoma" w:cs="Tahoma"/>
                <w:sz w:val="13"/>
              </w:rPr>
              <w:t>OL/OV</w:t>
            </w:r>
          </w:p>
        </w:tc>
      </w:tr>
      <w:tr w:rsidR="009F0AB2" w:rsidRPr="004D10F1" w:rsidTr="008849B7">
        <w:trPr>
          <w:cantSplit/>
          <w:trHeight w:val="287"/>
        </w:trPr>
        <w:tc>
          <w:tcPr>
            <w:tcW w:w="2638" w:type="dxa"/>
            <w:tcBorders>
              <w:bottom w:val="single" w:sz="4" w:space="0" w:color="auto"/>
            </w:tcBorders>
            <w:shd w:val="clear" w:color="auto" w:fill="FFFFFF" w:themeFill="background1"/>
            <w:vAlign w:val="center"/>
          </w:tcPr>
          <w:p w:rsidR="000F1BE7" w:rsidRPr="004D10F1" w:rsidRDefault="00541ED5" w:rsidP="004D10F1">
            <w:pPr>
              <w:pStyle w:val="Heading2"/>
              <w:spacing w:beforeLines="20" w:before="48" w:afterLines="20" w:after="48"/>
              <w:ind w:left="0"/>
              <w:rPr>
                <w:rFonts w:ascii="Tahoma" w:hAnsi="Tahoma" w:cs="Tahoma"/>
                <w:b w:val="0"/>
                <w:sz w:val="14"/>
                <w:szCs w:val="14"/>
              </w:rPr>
            </w:pPr>
            <w:bookmarkStart w:id="47" w:name="_Toc363998613"/>
            <w:r w:rsidRPr="004D10F1">
              <w:rPr>
                <w:rFonts w:ascii="Tahoma" w:hAnsi="Tahoma" w:cs="Tahoma"/>
                <w:b w:val="0"/>
                <w:sz w:val="14"/>
                <w:szCs w:val="14"/>
              </w:rPr>
              <w:t>Add-On für Office 365 Enterprise E3, E4 (Nutzer-AL)</w:t>
            </w:r>
            <w:bookmarkEnd w:id="47"/>
          </w:p>
        </w:tc>
        <w:tc>
          <w:tcPr>
            <w:tcW w:w="429" w:type="dxa"/>
            <w:tcBorders>
              <w:bottom w:val="single" w:sz="4" w:space="0" w:color="auto"/>
            </w:tcBorders>
            <w:shd w:val="clear" w:color="auto" w:fill="FFFFFF" w:themeFill="background1"/>
            <w:vAlign w:val="center"/>
          </w:tcPr>
          <w:p w:rsidR="000F1BE7" w:rsidRPr="00E22E42" w:rsidRDefault="005B744B" w:rsidP="00E22E42">
            <w:pPr>
              <w:pStyle w:val="TableText"/>
              <w:widowControl w:val="0"/>
              <w:rPr>
                <w:rFonts w:cs="Tahoma"/>
                <w:b/>
                <w:sz w:val="13"/>
                <w:szCs w:val="13"/>
              </w:rPr>
            </w:pPr>
            <w:hyperlink w:anchor="_7_Add-On-Nutzer-Abonnementlizenzen_" w:history="1">
              <w:r w:rsidR="00316801" w:rsidRPr="00E22E42">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r w:rsidRPr="004D10F1">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4D10F1" w:rsidRDefault="000F1BE7" w:rsidP="000C5B59">
            <w:pPr>
              <w:pStyle w:val="TableText"/>
              <w:widowControl w:val="0"/>
              <w:rPr>
                <w:rFonts w:ascii="Tahoma" w:hAnsi="Tahoma" w:cs="Tahoma"/>
                <w:sz w:val="13"/>
              </w:rPr>
            </w:pPr>
          </w:p>
        </w:tc>
      </w:tr>
      <w:tr w:rsidR="003D5C46" w:rsidRPr="004D10F1" w:rsidTr="00B7448E">
        <w:trPr>
          <w:cantSplit/>
          <w:trHeight w:val="287"/>
        </w:trPr>
        <w:tc>
          <w:tcPr>
            <w:tcW w:w="2638" w:type="dxa"/>
            <w:tcBorders>
              <w:bottom w:val="single" w:sz="4" w:space="0" w:color="auto"/>
            </w:tcBorders>
            <w:shd w:val="clear" w:color="auto" w:fill="FABF8F"/>
            <w:vAlign w:val="center"/>
          </w:tcPr>
          <w:p w:rsidR="00CC19FC" w:rsidRPr="004D10F1" w:rsidRDefault="00CC19FC" w:rsidP="004D10F1">
            <w:pPr>
              <w:pStyle w:val="Heading2"/>
              <w:spacing w:beforeLines="20" w:before="48" w:afterLines="20" w:after="48"/>
              <w:ind w:left="0"/>
              <w:rPr>
                <w:rFonts w:ascii="Tahoma" w:hAnsi="Tahoma" w:cs="Tahoma"/>
                <w:b w:val="0"/>
                <w:sz w:val="14"/>
                <w:szCs w:val="14"/>
              </w:rPr>
            </w:pPr>
            <w:bookmarkStart w:id="48" w:name="_Toc291024473"/>
            <w:bookmarkStart w:id="49" w:name="_Toc336337862"/>
            <w:bookmarkStart w:id="50" w:name="_Toc363998614"/>
            <w:r w:rsidRPr="004D10F1">
              <w:rPr>
                <w:rFonts w:ascii="Tahoma" w:hAnsi="Tahoma" w:cs="Tahoma"/>
                <w:b w:val="0"/>
                <w:sz w:val="14"/>
                <w:szCs w:val="14"/>
              </w:rPr>
              <w:t>Office 365 Enterprise E3 (Nutzer-AL)</w:t>
            </w:r>
            <w:bookmarkEnd w:id="48"/>
            <w:bookmarkEnd w:id="49"/>
            <w:bookmarkEnd w:id="50"/>
          </w:p>
        </w:tc>
        <w:tc>
          <w:tcPr>
            <w:tcW w:w="429" w:type="dxa"/>
            <w:tcBorders>
              <w:bottom w:val="single" w:sz="4" w:space="0" w:color="auto"/>
            </w:tcBorders>
            <w:shd w:val="clear" w:color="auto" w:fill="FABF8F"/>
            <w:vAlign w:val="center"/>
          </w:tcPr>
          <w:p w:rsidR="00CC19FC" w:rsidRPr="00E22E42" w:rsidRDefault="005B744B" w:rsidP="00E22E42">
            <w:pPr>
              <w:pStyle w:val="TableText"/>
              <w:widowControl w:val="0"/>
              <w:rPr>
                <w:rFonts w:cs="Tahoma"/>
                <w:b/>
                <w:color w:val="0000FF"/>
                <w:sz w:val="13"/>
                <w:szCs w:val="13"/>
                <w:u w:val="single"/>
              </w:rPr>
            </w:pPr>
            <w:hyperlink w:anchor="_8_Office_365" w:history="1">
              <w:r w:rsidR="00316801" w:rsidRPr="00E22E42">
                <w:rPr>
                  <w:rStyle w:val="Hyperlink"/>
                  <w:rFonts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r w:rsidRPr="004D10F1">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r w:rsidRPr="004D10F1">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r w:rsidRPr="004D10F1">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D10F1" w:rsidRDefault="00D55AB9"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CC19FC" w:rsidRPr="004D10F1" w:rsidRDefault="00CC19FC" w:rsidP="000C5B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4D10F1" w:rsidRDefault="00D55AB9" w:rsidP="000C5B59">
            <w:pPr>
              <w:pStyle w:val="TableText"/>
              <w:widowControl w:val="0"/>
              <w:rPr>
                <w:rFonts w:ascii="Tahoma" w:hAnsi="Tahoma" w:cs="Tahoma"/>
                <w:sz w:val="13"/>
              </w:rPr>
            </w:pPr>
            <w:r w:rsidRPr="004D10F1">
              <w:rPr>
                <w:rFonts w:ascii="Tahoma" w:hAnsi="Tahoma" w:cs="Tahoma"/>
                <w:sz w:val="13"/>
              </w:rPr>
              <w:t>OL</w:t>
            </w:r>
          </w:p>
        </w:tc>
      </w:tr>
      <w:tr w:rsidR="00D55AB9" w:rsidRPr="004D10F1" w:rsidTr="00B7448E">
        <w:trPr>
          <w:cantSplit/>
          <w:trHeight w:val="287"/>
        </w:trPr>
        <w:tc>
          <w:tcPr>
            <w:tcW w:w="2638" w:type="dxa"/>
            <w:tcBorders>
              <w:bottom w:val="single" w:sz="4" w:space="0" w:color="auto"/>
            </w:tcBorders>
            <w:shd w:val="clear" w:color="auto" w:fill="FFFFFF" w:themeFill="background1"/>
            <w:vAlign w:val="center"/>
          </w:tcPr>
          <w:p w:rsidR="00D55AB9" w:rsidRPr="004D10F1" w:rsidRDefault="00D55AB9" w:rsidP="004D10F1">
            <w:pPr>
              <w:pStyle w:val="Heading2"/>
              <w:spacing w:beforeLines="20" w:before="48" w:afterLines="20" w:after="48"/>
              <w:ind w:left="0"/>
              <w:rPr>
                <w:rFonts w:ascii="Tahoma" w:hAnsi="Tahoma" w:cs="Tahoma"/>
                <w:b w:val="0"/>
                <w:sz w:val="14"/>
                <w:szCs w:val="14"/>
              </w:rPr>
            </w:pPr>
            <w:bookmarkStart w:id="51" w:name="_Toc363998615"/>
            <w:r w:rsidRPr="004D10F1">
              <w:rPr>
                <w:rFonts w:ascii="Tahoma" w:hAnsi="Tahoma" w:cs="Tahoma"/>
                <w:b w:val="0"/>
                <w:sz w:val="14"/>
                <w:szCs w:val="14"/>
              </w:rPr>
              <w:t>Office 365 Enterprise E4 (Nutzer-AL)</w:t>
            </w:r>
            <w:bookmarkEnd w:id="51"/>
          </w:p>
        </w:tc>
        <w:tc>
          <w:tcPr>
            <w:tcW w:w="429" w:type="dxa"/>
            <w:tcBorders>
              <w:top w:val="single" w:sz="4" w:space="0" w:color="auto"/>
              <w:bottom w:val="single" w:sz="4" w:space="0" w:color="auto"/>
            </w:tcBorders>
            <w:shd w:val="clear" w:color="auto" w:fill="FFFFFF" w:themeFill="background1"/>
            <w:vAlign w:val="center"/>
          </w:tcPr>
          <w:p w:rsidR="00D55AB9" w:rsidRPr="00E22E42" w:rsidRDefault="005B744B" w:rsidP="00E22E42">
            <w:pPr>
              <w:pStyle w:val="TableText"/>
              <w:widowControl w:val="0"/>
              <w:rPr>
                <w:rFonts w:cs="Tahoma"/>
                <w:sz w:val="13"/>
                <w:szCs w:val="13"/>
              </w:rPr>
            </w:pPr>
            <w:hyperlink w:anchor="_7_Office_365_1" w:history="1">
              <w:r w:rsidR="008849B7" w:rsidRPr="00E22E42">
                <w:rPr>
                  <w:rStyle w:val="Hyperlink"/>
                  <w:rFonts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D55AB9" w:rsidRPr="004D10F1" w:rsidRDefault="00D55AB9" w:rsidP="000C5B59">
            <w:pPr>
              <w:pStyle w:val="TableText"/>
              <w:widowControl w:val="0"/>
              <w:rPr>
                <w:rFonts w:ascii="Tahoma" w:hAnsi="Tahoma" w:cs="Tahoma"/>
                <w:sz w:val="13"/>
              </w:rPr>
            </w:pPr>
          </w:p>
        </w:tc>
      </w:tr>
      <w:tr w:rsidR="00D55AB9" w:rsidRPr="004D10F1" w:rsidTr="000C5B59">
        <w:trPr>
          <w:cantSplit/>
          <w:trHeight w:val="287"/>
        </w:trPr>
        <w:tc>
          <w:tcPr>
            <w:tcW w:w="2638" w:type="dxa"/>
            <w:tcBorders>
              <w:bottom w:val="single" w:sz="4" w:space="0" w:color="auto"/>
            </w:tcBorders>
            <w:shd w:val="clear" w:color="auto" w:fill="FABF8F"/>
            <w:vAlign w:val="center"/>
          </w:tcPr>
          <w:p w:rsidR="00D55AB9" w:rsidRPr="004D10F1" w:rsidRDefault="00D55AB9" w:rsidP="004D10F1">
            <w:pPr>
              <w:pStyle w:val="Heading2"/>
              <w:spacing w:beforeLines="20" w:before="48" w:afterLines="20" w:after="48"/>
              <w:ind w:left="0"/>
              <w:rPr>
                <w:rFonts w:ascii="Tahoma" w:hAnsi="Tahoma" w:cs="Tahoma"/>
                <w:b w:val="0"/>
                <w:sz w:val="14"/>
                <w:szCs w:val="14"/>
              </w:rPr>
            </w:pPr>
            <w:bookmarkStart w:id="52" w:name="_Toc363998616"/>
            <w:r w:rsidRPr="004D10F1">
              <w:rPr>
                <w:rFonts w:ascii="Tahoma" w:hAnsi="Tahoma" w:cs="Tahoma"/>
                <w:b w:val="0"/>
                <w:sz w:val="14"/>
                <w:szCs w:val="14"/>
              </w:rPr>
              <w:t>Add-On für Office 365 Government G3, G4 (Nutzer-AL)</w:t>
            </w:r>
            <w:bookmarkEnd w:id="52"/>
          </w:p>
        </w:tc>
        <w:tc>
          <w:tcPr>
            <w:tcW w:w="429" w:type="dxa"/>
            <w:tcBorders>
              <w:bottom w:val="single" w:sz="4" w:space="0" w:color="auto"/>
            </w:tcBorders>
            <w:shd w:val="clear" w:color="auto" w:fill="FABF8F"/>
            <w:vAlign w:val="center"/>
          </w:tcPr>
          <w:p w:rsidR="00D55AB9" w:rsidRPr="00E22E42" w:rsidRDefault="005B744B" w:rsidP="00E22E42">
            <w:pPr>
              <w:pStyle w:val="TableText"/>
              <w:widowControl w:val="0"/>
              <w:rPr>
                <w:rFonts w:cs="Tahoma"/>
                <w:sz w:val="13"/>
                <w:szCs w:val="13"/>
              </w:rPr>
            </w:pPr>
            <w:hyperlink w:anchor="_7_Add-on_User" w:history="1">
              <w:r w:rsidR="008849B7" w:rsidRPr="00E22E42">
                <w:rPr>
                  <w:rStyle w:val="Hyperlink"/>
                  <w:rFonts w:cs="Tahoma"/>
                  <w:b/>
                  <w:sz w:val="13"/>
                  <w:szCs w:val="13"/>
                </w:rPr>
                <w:t>7</w:t>
              </w:r>
            </w:hyperlink>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r>
      <w:tr w:rsidR="00D55AB9" w:rsidRPr="004D10F1" w:rsidTr="000C5B59">
        <w:trPr>
          <w:cantSplit/>
          <w:trHeight w:val="287"/>
        </w:trPr>
        <w:tc>
          <w:tcPr>
            <w:tcW w:w="2638" w:type="dxa"/>
            <w:tcBorders>
              <w:bottom w:val="single" w:sz="4" w:space="0" w:color="auto"/>
            </w:tcBorders>
            <w:shd w:val="clear" w:color="auto" w:fill="auto"/>
            <w:vAlign w:val="center"/>
          </w:tcPr>
          <w:p w:rsidR="00D55AB9" w:rsidRPr="00542AF8" w:rsidRDefault="00D55AB9" w:rsidP="004D10F1">
            <w:pPr>
              <w:pStyle w:val="Heading2"/>
              <w:spacing w:beforeLines="20" w:before="48" w:afterLines="20" w:after="48"/>
              <w:ind w:left="0"/>
              <w:rPr>
                <w:rFonts w:ascii="Tahoma" w:hAnsi="Tahoma" w:cs="Tahoma"/>
                <w:b w:val="0"/>
                <w:sz w:val="14"/>
                <w:szCs w:val="14"/>
              </w:rPr>
            </w:pPr>
            <w:bookmarkStart w:id="53" w:name="_Toc291024474"/>
            <w:bookmarkStart w:id="54" w:name="_Toc336337863"/>
            <w:bookmarkStart w:id="55" w:name="_Toc363998617"/>
            <w:r w:rsidRPr="00542AF8">
              <w:rPr>
                <w:rFonts w:ascii="Tahoma" w:hAnsi="Tahoma" w:cs="Tahoma"/>
                <w:b w:val="0"/>
                <w:sz w:val="14"/>
                <w:szCs w:val="14"/>
              </w:rPr>
              <w:t xml:space="preserve">Office 365 </w:t>
            </w:r>
            <w:bookmarkEnd w:id="53"/>
            <w:bookmarkEnd w:id="54"/>
            <w:r w:rsidRPr="00542AF8">
              <w:rPr>
                <w:rFonts w:ascii="Tahoma" w:hAnsi="Tahoma" w:cs="Tahoma"/>
                <w:b w:val="0"/>
                <w:sz w:val="14"/>
                <w:szCs w:val="14"/>
              </w:rPr>
              <w:t xml:space="preserve">Government G3 – G4 </w:t>
            </w:r>
            <w:r w:rsidR="004D10F1" w:rsidRPr="00542AF8">
              <w:rPr>
                <w:rFonts w:ascii="Tahoma" w:hAnsi="Tahoma" w:cs="Tahoma"/>
                <w:b w:val="0"/>
                <w:sz w:val="14"/>
                <w:szCs w:val="14"/>
              </w:rPr>
              <w:br/>
            </w:r>
            <w:r w:rsidRPr="00542AF8">
              <w:rPr>
                <w:rFonts w:ascii="Tahoma" w:hAnsi="Tahoma" w:cs="Tahoma"/>
                <w:b w:val="0"/>
                <w:sz w:val="14"/>
                <w:szCs w:val="14"/>
              </w:rPr>
              <w:t>(Nutzer-AL)</w:t>
            </w:r>
            <w:bookmarkEnd w:id="55"/>
          </w:p>
        </w:tc>
        <w:tc>
          <w:tcPr>
            <w:tcW w:w="429" w:type="dxa"/>
            <w:tcBorders>
              <w:bottom w:val="single" w:sz="4" w:space="0" w:color="auto"/>
            </w:tcBorders>
            <w:shd w:val="clear" w:color="auto" w:fill="auto"/>
            <w:vAlign w:val="center"/>
          </w:tcPr>
          <w:p w:rsidR="00D55AB9" w:rsidRPr="00E22E42" w:rsidRDefault="005B744B" w:rsidP="00E22E42">
            <w:pPr>
              <w:pStyle w:val="TableText"/>
              <w:widowControl w:val="0"/>
              <w:rPr>
                <w:rFonts w:cs="Tahoma"/>
                <w:b/>
                <w:color w:val="0000FF"/>
                <w:sz w:val="13"/>
                <w:szCs w:val="13"/>
                <w:u w:val="single"/>
                <w:lang w:val="de-DE"/>
              </w:rPr>
            </w:pPr>
            <w:hyperlink w:anchor="_70_Office_365" w:history="1">
              <w:r w:rsidR="00316801" w:rsidRPr="00E22E42">
                <w:rPr>
                  <w:rStyle w:val="Hyperlink"/>
                  <w:rFonts w:cs="Tahoma"/>
                  <w:b/>
                  <w:sz w:val="13"/>
                  <w:szCs w:val="13"/>
                  <w:lang w:val="de-DE"/>
                </w:rPr>
                <w:t>77</w:t>
              </w:r>
            </w:hyperlink>
            <w:hyperlink w:anchor="_65_Office_365" w:history="1"/>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r w:rsidRPr="004D10F1">
              <w:rPr>
                <w:rFonts w:ascii="Tahoma" w:hAnsi="Tahoma" w:cs="Tahoma"/>
                <w:sz w:val="13"/>
                <w:lang w:val="de-DE"/>
              </w:rPr>
              <w:t>08/12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r w:rsidRPr="004D10F1">
              <w:rPr>
                <w:rFonts w:ascii="Tahoma" w:hAnsi="Tahoma" w:cs="Tahoma"/>
                <w:sz w:val="13"/>
                <w:lang w:val="de-DE"/>
              </w:rPr>
              <w:t>OSB</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p>
        </w:tc>
        <w:tc>
          <w:tcPr>
            <w:tcW w:w="429" w:type="dxa"/>
            <w:tcBorders>
              <w:bottom w:val="single" w:sz="4" w:space="0" w:color="auto"/>
              <w:right w:val="single" w:sz="18" w:space="0" w:color="auto"/>
            </w:tcBorders>
            <w:shd w:val="clear" w:color="auto" w:fill="auto"/>
            <w:vAlign w:val="center"/>
          </w:tcPr>
          <w:p w:rsidR="00D55AB9" w:rsidRPr="004D10F1" w:rsidRDefault="00947901" w:rsidP="000C5B59">
            <w:pPr>
              <w:pStyle w:val="TableText"/>
              <w:widowControl w:val="0"/>
              <w:rPr>
                <w:rFonts w:ascii="Tahoma" w:hAnsi="Tahoma" w:cs="Tahoma"/>
                <w:sz w:val="13"/>
                <w:lang w:val="de-DE"/>
              </w:rPr>
            </w:pPr>
            <w:r w:rsidRPr="004D10F1">
              <w:rPr>
                <w:rFonts w:ascii="Tahoma" w:hAnsi="Tahoma" w:cs="Tahoma"/>
                <w:sz w:val="13"/>
                <w:lang w:val="de-DE"/>
              </w:rPr>
              <w:t>EOLS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p>
        </w:tc>
        <w:tc>
          <w:tcPr>
            <w:tcW w:w="514"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lang w:val="de-DE"/>
              </w:rPr>
            </w:pPr>
          </w:p>
        </w:tc>
      </w:tr>
      <w:tr w:rsidR="00D55AB9" w:rsidRPr="004D10F1" w:rsidTr="000C5B59">
        <w:trPr>
          <w:cantSplit/>
          <w:trHeight w:val="287"/>
        </w:trPr>
        <w:tc>
          <w:tcPr>
            <w:tcW w:w="2638" w:type="dxa"/>
            <w:tcBorders>
              <w:bottom w:val="single" w:sz="4" w:space="0" w:color="auto"/>
            </w:tcBorders>
            <w:shd w:val="clear" w:color="auto" w:fill="FABF8F"/>
            <w:vAlign w:val="center"/>
          </w:tcPr>
          <w:p w:rsidR="00D55AB9" w:rsidRPr="004D10F1" w:rsidRDefault="00D55AB9" w:rsidP="004D10F1">
            <w:pPr>
              <w:pStyle w:val="Heading2"/>
              <w:spacing w:beforeLines="20" w:before="48" w:afterLines="20" w:after="48"/>
              <w:ind w:left="0"/>
              <w:rPr>
                <w:rFonts w:ascii="Tahoma" w:hAnsi="Tahoma" w:cs="Tahoma"/>
                <w:b w:val="0"/>
                <w:sz w:val="14"/>
                <w:szCs w:val="14"/>
                <w:lang w:val="de-DE"/>
              </w:rPr>
            </w:pPr>
            <w:bookmarkStart w:id="56" w:name="_Toc363998618"/>
            <w:r w:rsidRPr="004D10F1">
              <w:rPr>
                <w:rFonts w:ascii="Tahoma" w:hAnsi="Tahoma" w:cs="Tahoma"/>
                <w:b w:val="0"/>
                <w:sz w:val="14"/>
                <w:szCs w:val="14"/>
                <w:lang w:val="de-DE"/>
              </w:rPr>
              <w:t>Kommerzielle Nutzungsrechte für Office Home &amp; Student 2013 RT</w:t>
            </w:r>
            <w:bookmarkEnd w:id="56"/>
          </w:p>
        </w:tc>
        <w:tc>
          <w:tcPr>
            <w:tcW w:w="429" w:type="dxa"/>
            <w:tcBorders>
              <w:bottom w:val="single" w:sz="4" w:space="0" w:color="auto"/>
            </w:tcBorders>
            <w:shd w:val="clear" w:color="auto" w:fill="FABF8F"/>
            <w:vAlign w:val="center"/>
          </w:tcPr>
          <w:p w:rsidR="00D55AB9" w:rsidRPr="00E22E42" w:rsidRDefault="00D55AB9" w:rsidP="00E22E42">
            <w:pPr>
              <w:pStyle w:val="TableText"/>
              <w:widowControl w:val="0"/>
              <w:rPr>
                <w:rFonts w:cs="Tahoma"/>
                <w:b/>
                <w:color w:val="0000FF"/>
                <w:sz w:val="13"/>
                <w:szCs w:val="13"/>
                <w:u w:val="single"/>
                <w:lang w:val="de-DE"/>
              </w:rPr>
            </w:pP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r>
      <w:tr w:rsidR="00D55AB9" w:rsidRPr="004D10F1" w:rsidTr="000C5B59">
        <w:trPr>
          <w:cantSplit/>
          <w:trHeight w:val="287"/>
        </w:trPr>
        <w:tc>
          <w:tcPr>
            <w:tcW w:w="2638" w:type="dxa"/>
            <w:tcBorders>
              <w:bottom w:val="single" w:sz="4" w:space="0" w:color="auto"/>
            </w:tcBorders>
            <w:shd w:val="clear" w:color="auto" w:fill="auto"/>
            <w:vAlign w:val="center"/>
          </w:tcPr>
          <w:p w:rsidR="00D55AB9" w:rsidRPr="004D10F1" w:rsidRDefault="00D55AB9" w:rsidP="004D10F1">
            <w:pPr>
              <w:pStyle w:val="Heading2"/>
              <w:spacing w:beforeLines="20" w:before="48" w:afterLines="20" w:after="48"/>
              <w:ind w:left="0"/>
              <w:rPr>
                <w:rFonts w:ascii="Tahoma" w:hAnsi="Tahoma" w:cs="Tahoma"/>
                <w:b w:val="0"/>
                <w:sz w:val="14"/>
                <w:szCs w:val="14"/>
              </w:rPr>
            </w:pPr>
            <w:bookmarkStart w:id="57" w:name="_Toc336337865"/>
            <w:bookmarkStart w:id="58" w:name="_Toc363998619"/>
            <w:r w:rsidRPr="004D10F1">
              <w:rPr>
                <w:rFonts w:ascii="Tahoma" w:hAnsi="Tahoma" w:cs="Tahoma"/>
                <w:b w:val="0"/>
                <w:sz w:val="14"/>
                <w:szCs w:val="14"/>
              </w:rPr>
              <w:t>Office für Mac Standard 2011</w:t>
            </w:r>
            <w:bookmarkEnd w:id="57"/>
            <w:bookmarkEnd w:id="58"/>
            <w:r w:rsidRPr="004D10F1">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D55AB9" w:rsidRPr="00E22E42" w:rsidRDefault="005B744B" w:rsidP="00E22E42">
            <w:pPr>
              <w:pStyle w:val="TableText"/>
              <w:widowControl w:val="0"/>
              <w:rPr>
                <w:rStyle w:val="EndnoteReference"/>
                <w:rFonts w:cs="Tahoma"/>
                <w:b w:val="0"/>
                <w:color w:val="0000FF"/>
                <w:sz w:val="13"/>
                <w:szCs w:val="13"/>
                <w:u w:val="single"/>
              </w:rPr>
            </w:pPr>
            <w:hyperlink w:anchor="_9_Office_für" w:history="1">
              <w:r w:rsidR="00316801" w:rsidRPr="00E22E42">
                <w:rPr>
                  <w:rStyle w:val="Hyperlink"/>
                  <w:rFonts w:cs="Tahoma"/>
                  <w:b/>
                  <w:sz w:val="13"/>
                  <w:szCs w:val="13"/>
                </w:rPr>
                <w:t>9</w:t>
              </w:r>
            </w:hyperlink>
            <w:hyperlink w:anchor="_76_Office_for" w:history="1"/>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5</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4</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E</w:t>
            </w:r>
          </w:p>
        </w:tc>
        <w:tc>
          <w:tcPr>
            <w:tcW w:w="514"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p>
        </w:tc>
      </w:tr>
      <w:tr w:rsidR="00D55AB9" w:rsidRPr="004D10F1" w:rsidTr="000C5B59">
        <w:trPr>
          <w:cantSplit/>
          <w:trHeight w:val="287"/>
        </w:trPr>
        <w:tc>
          <w:tcPr>
            <w:tcW w:w="2638" w:type="dxa"/>
            <w:tcBorders>
              <w:bottom w:val="single" w:sz="4" w:space="0" w:color="auto"/>
            </w:tcBorders>
            <w:shd w:val="clear" w:color="auto" w:fill="FABF8F"/>
            <w:vAlign w:val="center"/>
          </w:tcPr>
          <w:p w:rsidR="00D55AB9" w:rsidRPr="004D10F1" w:rsidRDefault="00D55AB9" w:rsidP="004D10F1">
            <w:pPr>
              <w:pStyle w:val="Heading2"/>
              <w:spacing w:beforeLines="20" w:before="48" w:afterLines="20" w:after="48"/>
              <w:ind w:left="0"/>
              <w:rPr>
                <w:rFonts w:ascii="Tahoma" w:hAnsi="Tahoma" w:cs="Tahoma"/>
                <w:b w:val="0"/>
                <w:sz w:val="14"/>
                <w:szCs w:val="14"/>
              </w:rPr>
            </w:pPr>
            <w:bookmarkStart w:id="59" w:name="_Office_Multi-Language_Pack"/>
            <w:bookmarkStart w:id="60" w:name="_Toc336337866"/>
            <w:bookmarkStart w:id="61" w:name="_Toc363998620"/>
            <w:bookmarkEnd w:id="59"/>
            <w:r w:rsidRPr="004D10F1">
              <w:rPr>
                <w:rFonts w:ascii="Tahoma" w:hAnsi="Tahoma" w:cs="Tahoma"/>
                <w:b w:val="0"/>
                <w:sz w:val="14"/>
                <w:szCs w:val="14"/>
              </w:rPr>
              <w:t xml:space="preserve">Office Multi-Language Pack </w:t>
            </w:r>
            <w:bookmarkEnd w:id="60"/>
            <w:r w:rsidRPr="004D10F1">
              <w:rPr>
                <w:rFonts w:ascii="Tahoma" w:hAnsi="Tahoma" w:cs="Tahoma"/>
                <w:b w:val="0"/>
                <w:sz w:val="14"/>
                <w:szCs w:val="14"/>
              </w:rPr>
              <w:t>2013</w:t>
            </w:r>
            <w:bookmarkEnd w:id="61"/>
          </w:p>
        </w:tc>
        <w:tc>
          <w:tcPr>
            <w:tcW w:w="429" w:type="dxa"/>
            <w:tcBorders>
              <w:bottom w:val="single" w:sz="4" w:space="0" w:color="auto"/>
            </w:tcBorders>
            <w:shd w:val="clear" w:color="auto" w:fill="FABF8F"/>
            <w:vAlign w:val="center"/>
          </w:tcPr>
          <w:p w:rsidR="00D55AB9" w:rsidRPr="00E22E42" w:rsidRDefault="005B744B" w:rsidP="00E22E42">
            <w:pPr>
              <w:pStyle w:val="TableText"/>
              <w:widowControl w:val="0"/>
              <w:rPr>
                <w:rStyle w:val="EndnoteReference"/>
                <w:rFonts w:cs="Tahoma"/>
                <w:b w:val="0"/>
                <w:color w:val="0000FF"/>
                <w:sz w:val="13"/>
                <w:szCs w:val="13"/>
                <w:u w:val="single"/>
              </w:rPr>
            </w:pPr>
            <w:hyperlink w:anchor="_10_Office_Multi-Language" w:history="1">
              <w:r w:rsidR="00316801" w:rsidRPr="00E22E42">
                <w:rPr>
                  <w:rStyle w:val="Hyperlink"/>
                  <w:rFonts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A</w:t>
            </w:r>
          </w:p>
        </w:tc>
        <w:tc>
          <w:tcPr>
            <w:tcW w:w="514"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r>
      <w:tr w:rsidR="00D55AB9" w:rsidRPr="004D10F1" w:rsidTr="000C5B59">
        <w:trPr>
          <w:cantSplit/>
          <w:trHeight w:val="422"/>
        </w:trPr>
        <w:tc>
          <w:tcPr>
            <w:tcW w:w="2638" w:type="dxa"/>
            <w:tcBorders>
              <w:bottom w:val="single" w:sz="4" w:space="0" w:color="auto"/>
            </w:tcBorders>
            <w:shd w:val="clear" w:color="auto" w:fill="auto"/>
            <w:vAlign w:val="center"/>
          </w:tcPr>
          <w:p w:rsidR="00D55AB9" w:rsidRPr="004D10F1" w:rsidRDefault="00D55AB9" w:rsidP="004D10F1">
            <w:pPr>
              <w:pStyle w:val="ProductNames"/>
              <w:spacing w:beforeLines="20" w:before="48" w:afterLines="20" w:after="48"/>
              <w:rPr>
                <w:rFonts w:ascii="Tahoma" w:hAnsi="Tahoma" w:cs="Tahoma"/>
                <w:sz w:val="14"/>
                <w:szCs w:val="14"/>
              </w:rPr>
            </w:pPr>
            <w:bookmarkStart w:id="62" w:name="_Toc336337867"/>
            <w:bookmarkStart w:id="63" w:name="_Toc363998621"/>
            <w:r w:rsidRPr="004D10F1">
              <w:rPr>
                <w:rFonts w:ascii="Tahoma" w:hAnsi="Tahoma" w:cs="Tahoma"/>
                <w:sz w:val="14"/>
                <w:szCs w:val="14"/>
              </w:rPr>
              <w:t xml:space="preserve">Office Professional Plus </w:t>
            </w:r>
            <w:bookmarkEnd w:id="62"/>
            <w:r w:rsidRPr="004D10F1">
              <w:rPr>
                <w:rFonts w:ascii="Tahoma" w:hAnsi="Tahoma" w:cs="Tahoma"/>
                <w:sz w:val="14"/>
                <w:szCs w:val="14"/>
              </w:rPr>
              <w:t>2013</w:t>
            </w:r>
            <w:bookmarkEnd w:id="63"/>
          </w:p>
        </w:tc>
        <w:tc>
          <w:tcPr>
            <w:tcW w:w="429" w:type="dxa"/>
            <w:tcBorders>
              <w:bottom w:val="single" w:sz="4" w:space="0" w:color="auto"/>
            </w:tcBorders>
            <w:shd w:val="clear" w:color="auto" w:fill="auto"/>
            <w:vAlign w:val="center"/>
          </w:tcPr>
          <w:p w:rsidR="00D55AB9" w:rsidRPr="00E22E42" w:rsidRDefault="005B744B" w:rsidP="00E22E42">
            <w:pPr>
              <w:pStyle w:val="TableText"/>
              <w:widowControl w:val="0"/>
              <w:rPr>
                <w:rStyle w:val="EndnoteReference"/>
                <w:rFonts w:cs="Tahoma"/>
                <w:b w:val="0"/>
                <w:color w:val="0000FF"/>
                <w:sz w:val="13"/>
                <w:szCs w:val="13"/>
                <w:u w:val="single"/>
              </w:rPr>
            </w:pPr>
            <w:hyperlink w:anchor="_11_Office_Professional" w:history="1">
              <w:r w:rsidR="00316801" w:rsidRPr="00E22E42">
                <w:rPr>
                  <w:rStyle w:val="Hyperlink"/>
                  <w:rFonts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5</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4</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E, P</w:t>
            </w:r>
          </w:p>
        </w:tc>
        <w:tc>
          <w:tcPr>
            <w:tcW w:w="514"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E,ST</w:t>
            </w:r>
          </w:p>
        </w:tc>
        <w:tc>
          <w:tcPr>
            <w:tcW w:w="514"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p>
        </w:tc>
      </w:tr>
      <w:tr w:rsidR="00D55AB9" w:rsidRPr="004D10F1" w:rsidTr="000C5B59">
        <w:trPr>
          <w:cantSplit/>
          <w:trHeight w:val="278"/>
        </w:trPr>
        <w:tc>
          <w:tcPr>
            <w:tcW w:w="2638" w:type="dxa"/>
            <w:tcBorders>
              <w:bottom w:val="single" w:sz="4" w:space="0" w:color="auto"/>
            </w:tcBorders>
            <w:shd w:val="clear" w:color="auto" w:fill="FABF8F"/>
            <w:vAlign w:val="center"/>
          </w:tcPr>
          <w:p w:rsidR="00D55AB9" w:rsidRPr="004D10F1" w:rsidRDefault="00D55AB9" w:rsidP="004D10F1">
            <w:pPr>
              <w:pStyle w:val="Heading3"/>
              <w:spacing w:beforeLines="20" w:before="48" w:afterLines="20" w:after="48"/>
              <w:rPr>
                <w:rFonts w:ascii="Tahoma" w:hAnsi="Tahoma" w:cs="Tahoma"/>
                <w:b w:val="0"/>
                <w:sz w:val="14"/>
                <w:szCs w:val="14"/>
              </w:rPr>
            </w:pPr>
            <w:bookmarkStart w:id="64" w:name="_Toc336337868"/>
            <w:bookmarkStart w:id="65" w:name="_Toc363998622"/>
            <w:r w:rsidRPr="004D10F1">
              <w:rPr>
                <w:rFonts w:ascii="Tahoma" w:hAnsi="Tahoma" w:cs="Tahoma"/>
                <w:b w:val="0"/>
                <w:sz w:val="14"/>
                <w:szCs w:val="14"/>
              </w:rPr>
              <w:t xml:space="preserve">Office Standard </w:t>
            </w:r>
            <w:bookmarkEnd w:id="64"/>
            <w:r w:rsidRPr="004D10F1">
              <w:rPr>
                <w:rFonts w:ascii="Tahoma" w:hAnsi="Tahoma" w:cs="Tahoma"/>
                <w:b w:val="0"/>
                <w:sz w:val="14"/>
                <w:szCs w:val="14"/>
              </w:rPr>
              <w:t>2013</w:t>
            </w:r>
            <w:bookmarkEnd w:id="65"/>
            <w:r w:rsidRPr="004D10F1">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D55AB9" w:rsidRPr="00E22E42" w:rsidRDefault="005B744B" w:rsidP="00E22E42">
            <w:pPr>
              <w:pStyle w:val="TableText"/>
              <w:widowControl w:val="0"/>
              <w:rPr>
                <w:rStyle w:val="EndnoteReference"/>
                <w:rFonts w:cs="Tahoma"/>
                <w:b w:val="0"/>
                <w:color w:val="0000FF"/>
                <w:sz w:val="13"/>
                <w:szCs w:val="13"/>
                <w:u w:val="single"/>
              </w:rPr>
            </w:pPr>
            <w:hyperlink w:anchor="_12_Office_Standard" w:history="1">
              <w:r w:rsidR="00316801" w:rsidRPr="00E22E42">
                <w:rPr>
                  <w:rStyle w:val="Hyperlink"/>
                  <w:rFonts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b/>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5</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4</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r>
      <w:tr w:rsidR="00D55AB9" w:rsidRPr="004D10F1" w:rsidTr="000C5B59">
        <w:trPr>
          <w:cantSplit/>
          <w:trHeight w:val="305"/>
        </w:trPr>
        <w:tc>
          <w:tcPr>
            <w:tcW w:w="2638" w:type="dxa"/>
            <w:tcBorders>
              <w:bottom w:val="single" w:sz="4" w:space="0" w:color="auto"/>
            </w:tcBorders>
            <w:shd w:val="clear" w:color="auto" w:fill="auto"/>
            <w:vAlign w:val="center"/>
          </w:tcPr>
          <w:p w:rsidR="00D55AB9" w:rsidRPr="004D10F1" w:rsidRDefault="00D55AB9" w:rsidP="004D10F1">
            <w:pPr>
              <w:pStyle w:val="Heading2"/>
              <w:spacing w:beforeLines="20" w:before="48" w:afterLines="20" w:after="48"/>
              <w:ind w:left="0"/>
              <w:rPr>
                <w:rFonts w:ascii="Tahoma" w:hAnsi="Tahoma" w:cs="Tahoma"/>
                <w:b w:val="0"/>
                <w:sz w:val="14"/>
                <w:szCs w:val="14"/>
              </w:rPr>
            </w:pPr>
            <w:bookmarkStart w:id="66" w:name="_Toc336337869"/>
            <w:bookmarkStart w:id="67" w:name="_Toc363998623"/>
            <w:r w:rsidRPr="004D10F1">
              <w:rPr>
                <w:rFonts w:ascii="Tahoma" w:hAnsi="Tahoma" w:cs="Tahoma"/>
                <w:b w:val="0"/>
                <w:sz w:val="14"/>
                <w:szCs w:val="14"/>
              </w:rPr>
              <w:t>Office 365 ProPlus (Nutzer-AL)</w:t>
            </w:r>
            <w:bookmarkEnd w:id="66"/>
            <w:bookmarkEnd w:id="67"/>
          </w:p>
        </w:tc>
        <w:tc>
          <w:tcPr>
            <w:tcW w:w="429" w:type="dxa"/>
            <w:tcBorders>
              <w:bottom w:val="single" w:sz="4" w:space="0" w:color="auto"/>
            </w:tcBorders>
            <w:shd w:val="clear" w:color="auto" w:fill="auto"/>
            <w:vAlign w:val="center"/>
          </w:tcPr>
          <w:p w:rsidR="00D55AB9" w:rsidRPr="00E22E42" w:rsidRDefault="005B744B" w:rsidP="00E22E42">
            <w:pPr>
              <w:pStyle w:val="TableText"/>
              <w:widowControl w:val="0"/>
              <w:rPr>
                <w:rFonts w:cs="Tahoma"/>
                <w:b/>
                <w:color w:val="0000FF"/>
                <w:sz w:val="13"/>
                <w:szCs w:val="13"/>
                <w:u w:val="single"/>
              </w:rPr>
            </w:pPr>
            <w:hyperlink w:anchor="_13_Office_365" w:history="1">
              <w:r w:rsidR="00316801" w:rsidRPr="00E22E42">
                <w:rPr>
                  <w:rStyle w:val="Hyperlink"/>
                  <w:rFonts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r>
      <w:tr w:rsidR="00D55AB9" w:rsidRPr="004D10F1" w:rsidTr="000C5B59">
        <w:trPr>
          <w:cantSplit/>
          <w:trHeight w:val="305"/>
        </w:trPr>
        <w:tc>
          <w:tcPr>
            <w:tcW w:w="2638" w:type="dxa"/>
            <w:tcBorders>
              <w:bottom w:val="single" w:sz="4" w:space="0" w:color="auto"/>
            </w:tcBorders>
            <w:shd w:val="clear" w:color="auto" w:fill="FABF8F"/>
            <w:vAlign w:val="center"/>
          </w:tcPr>
          <w:p w:rsidR="00D55AB9" w:rsidRPr="004D10F1" w:rsidRDefault="00D55AB9" w:rsidP="004D10F1">
            <w:pPr>
              <w:pStyle w:val="Heading2"/>
              <w:spacing w:beforeLines="20" w:before="48" w:afterLines="20" w:after="48"/>
              <w:ind w:left="0"/>
              <w:rPr>
                <w:rFonts w:ascii="Tahoma" w:hAnsi="Tahoma" w:cs="Tahoma"/>
                <w:b w:val="0"/>
                <w:sz w:val="14"/>
                <w:szCs w:val="14"/>
                <w:lang w:val="de-DE"/>
              </w:rPr>
            </w:pPr>
            <w:bookmarkStart w:id="68" w:name="_Toc363998624"/>
            <w:r w:rsidRPr="004D10F1">
              <w:rPr>
                <w:rFonts w:ascii="Tahoma" w:hAnsi="Tahoma" w:cs="Tahoma"/>
                <w:b w:val="0"/>
                <w:sz w:val="14"/>
                <w:szCs w:val="14"/>
                <w:lang w:val="de-DE"/>
              </w:rPr>
              <w:t xml:space="preserve">Office 365 ProPlus SA-Übergang </w:t>
            </w:r>
            <w:r w:rsidR="004D10F1">
              <w:rPr>
                <w:rFonts w:ascii="Tahoma" w:hAnsi="Tahoma" w:cs="Tahoma"/>
                <w:b w:val="0"/>
                <w:sz w:val="14"/>
                <w:szCs w:val="14"/>
                <w:lang w:val="de-DE"/>
              </w:rPr>
              <w:br/>
            </w:r>
            <w:r w:rsidRPr="004D10F1">
              <w:rPr>
                <w:rFonts w:ascii="Tahoma" w:hAnsi="Tahoma" w:cs="Tahoma"/>
                <w:b w:val="0"/>
                <w:sz w:val="14"/>
                <w:szCs w:val="14"/>
                <w:lang w:val="de-DE"/>
              </w:rPr>
              <w:t>(Nutzer-AL)</w:t>
            </w:r>
            <w:bookmarkEnd w:id="68"/>
          </w:p>
        </w:tc>
        <w:tc>
          <w:tcPr>
            <w:tcW w:w="429" w:type="dxa"/>
            <w:tcBorders>
              <w:bottom w:val="single" w:sz="4" w:space="0" w:color="auto"/>
            </w:tcBorders>
            <w:shd w:val="clear" w:color="auto" w:fill="FABF8F"/>
            <w:vAlign w:val="center"/>
          </w:tcPr>
          <w:p w:rsidR="00D55AB9" w:rsidRPr="00E22E42" w:rsidRDefault="005B744B" w:rsidP="00E22E42">
            <w:pPr>
              <w:pStyle w:val="TableText"/>
              <w:widowControl w:val="0"/>
              <w:rPr>
                <w:rFonts w:cs="Tahoma"/>
                <w:b/>
                <w:color w:val="0000FF"/>
                <w:sz w:val="13"/>
                <w:szCs w:val="13"/>
                <w:u w:val="single"/>
              </w:rPr>
            </w:pPr>
            <w:hyperlink w:anchor="_110_Office_365" w:history="1">
              <w:r w:rsidR="00316801" w:rsidRPr="00E22E42">
                <w:rPr>
                  <w:rStyle w:val="Hyperlink"/>
                  <w:rFonts w:cs="Tahoma"/>
                  <w:b/>
                  <w:sz w:val="13"/>
                  <w:szCs w:val="13"/>
                </w:rPr>
                <w:t>13</w:t>
              </w:r>
            </w:hyperlink>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r>
      <w:tr w:rsidR="009578A2" w:rsidRPr="004D10F1" w:rsidTr="000C5B59">
        <w:trPr>
          <w:cantSplit/>
          <w:trHeight w:val="305"/>
        </w:trPr>
        <w:tc>
          <w:tcPr>
            <w:tcW w:w="2638" w:type="dxa"/>
            <w:tcBorders>
              <w:bottom w:val="single" w:sz="4" w:space="0" w:color="auto"/>
            </w:tcBorders>
            <w:shd w:val="clear" w:color="auto" w:fill="auto"/>
            <w:vAlign w:val="center"/>
          </w:tcPr>
          <w:p w:rsidR="009578A2" w:rsidRPr="004D10F1" w:rsidRDefault="009578A2" w:rsidP="004D10F1">
            <w:pPr>
              <w:pStyle w:val="Heading2"/>
              <w:spacing w:beforeLines="20" w:before="48" w:afterLines="20" w:after="48"/>
              <w:ind w:left="0"/>
              <w:rPr>
                <w:rFonts w:ascii="Tahoma" w:hAnsi="Tahoma" w:cs="Tahoma"/>
                <w:b w:val="0"/>
                <w:sz w:val="14"/>
                <w:szCs w:val="14"/>
                <w:lang w:val="fr-FR"/>
              </w:rPr>
            </w:pPr>
            <w:bookmarkStart w:id="69" w:name="_Toc336337870"/>
            <w:bookmarkStart w:id="70" w:name="_Toc363998625"/>
            <w:r w:rsidRPr="004D10F1">
              <w:rPr>
                <w:rFonts w:ascii="Tahoma" w:hAnsi="Tahoma" w:cs="Tahoma"/>
                <w:b w:val="0"/>
                <w:sz w:val="14"/>
                <w:szCs w:val="14"/>
                <w:lang w:val="fr-FR"/>
              </w:rPr>
              <w:t>Office Professional Plus-Abonnement A(Nutzer-AL)</w:t>
            </w:r>
            <w:bookmarkEnd w:id="69"/>
            <w:bookmarkEnd w:id="70"/>
          </w:p>
        </w:tc>
        <w:tc>
          <w:tcPr>
            <w:tcW w:w="429" w:type="dxa"/>
            <w:tcBorders>
              <w:bottom w:val="single" w:sz="4" w:space="0" w:color="auto"/>
            </w:tcBorders>
            <w:shd w:val="clear" w:color="auto" w:fill="auto"/>
            <w:vAlign w:val="center"/>
          </w:tcPr>
          <w:p w:rsidR="009578A2" w:rsidRPr="00E22E42" w:rsidRDefault="009578A2" w:rsidP="00E22E42">
            <w:pPr>
              <w:pStyle w:val="TableText"/>
              <w:widowControl w:val="0"/>
              <w:rPr>
                <w:rFonts w:cs="Tahoma"/>
                <w:color w:val="0000FF"/>
                <w:sz w:val="13"/>
                <w:szCs w:val="13"/>
                <w:u w:val="single"/>
                <w:lang w:val="fr-FR"/>
              </w:rPr>
            </w:pPr>
          </w:p>
        </w:tc>
        <w:tc>
          <w:tcPr>
            <w:tcW w:w="429" w:type="dxa"/>
            <w:tcBorders>
              <w:bottom w:val="single" w:sz="4" w:space="0" w:color="auto"/>
            </w:tcBorders>
            <w:shd w:val="clear" w:color="auto" w:fill="auto"/>
            <w:vAlign w:val="center"/>
          </w:tcPr>
          <w:p w:rsidR="009578A2" w:rsidRPr="004D10F1" w:rsidRDefault="009578A2" w:rsidP="000C5B59">
            <w:pPr>
              <w:pStyle w:val="TableText"/>
              <w:rPr>
                <w:rFonts w:ascii="Tahoma" w:hAnsi="Tahoma" w:cs="Tahoma"/>
                <w:sz w:val="13"/>
              </w:rPr>
            </w:pPr>
            <w:r w:rsidRPr="004D10F1">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4D10F1" w:rsidRDefault="009578A2"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4D10F1" w:rsidRDefault="009578A2"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D10F1" w:rsidRDefault="009578A2"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D10F1" w:rsidRDefault="009578A2"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D10F1" w:rsidRDefault="009578A2"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D10F1" w:rsidRDefault="009578A2"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D10F1" w:rsidRDefault="009578A2"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4D10F1" w:rsidRDefault="009578A2" w:rsidP="000C5B5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4D10F1" w:rsidRDefault="009578A2" w:rsidP="000C5B59">
            <w:pPr>
              <w:pStyle w:val="TableText"/>
              <w:rPr>
                <w:rFonts w:ascii="Tahoma" w:hAnsi="Tahoma" w:cs="Tahoma"/>
                <w:sz w:val="13"/>
              </w:rPr>
            </w:pPr>
            <w:r w:rsidRPr="004D10F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578A2" w:rsidRPr="004D10F1" w:rsidRDefault="009578A2"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578A2" w:rsidRPr="004D10F1" w:rsidRDefault="009578A2" w:rsidP="000C5B59">
            <w:pPr>
              <w:pStyle w:val="TableText"/>
              <w:rPr>
                <w:rFonts w:ascii="Tahoma" w:hAnsi="Tahoma" w:cs="Tahoma"/>
                <w:sz w:val="13"/>
              </w:rPr>
            </w:pPr>
            <w:r w:rsidRPr="004D10F1">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578A2" w:rsidRPr="004D10F1" w:rsidRDefault="009578A2"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9578A2" w:rsidRPr="004D10F1" w:rsidRDefault="009578A2" w:rsidP="000C5B59">
            <w:pPr>
              <w:pStyle w:val="TableText"/>
              <w:rPr>
                <w:rFonts w:ascii="Tahoma" w:hAnsi="Tahoma" w:cs="Tahoma"/>
                <w:sz w:val="13"/>
                <w:lang w:val="de-DE"/>
              </w:rPr>
            </w:pPr>
            <w:r w:rsidRPr="004D10F1">
              <w:rPr>
                <w:rFonts w:ascii="Tahoma" w:hAnsi="Tahoma" w:cs="Tahoma"/>
                <w:sz w:val="13"/>
                <w:lang w:val="de-DE"/>
              </w:rPr>
              <w:t>E (nur EES), A (OVS-ES)</w:t>
            </w:r>
          </w:p>
        </w:tc>
        <w:tc>
          <w:tcPr>
            <w:tcW w:w="514" w:type="dxa"/>
            <w:tcBorders>
              <w:bottom w:val="single" w:sz="4" w:space="0" w:color="auto"/>
            </w:tcBorders>
            <w:shd w:val="clear" w:color="auto" w:fill="auto"/>
            <w:vAlign w:val="center"/>
          </w:tcPr>
          <w:p w:rsidR="009578A2" w:rsidRPr="004D10F1" w:rsidRDefault="009578A2" w:rsidP="000C5B59">
            <w:pPr>
              <w:pStyle w:val="TableText"/>
              <w:rPr>
                <w:rFonts w:ascii="Tahoma" w:hAnsi="Tahoma" w:cs="Tahoma"/>
                <w:sz w:val="13"/>
              </w:rPr>
            </w:pPr>
            <w:r w:rsidRPr="004D10F1">
              <w:rPr>
                <w:rFonts w:ascii="Tahoma" w:hAnsi="Tahoma" w:cs="Tahoma"/>
                <w:sz w:val="13"/>
              </w:rPr>
              <w:t>OL</w:t>
            </w:r>
          </w:p>
        </w:tc>
      </w:tr>
      <w:tr w:rsidR="00D55AB9" w:rsidRPr="004D10F1" w:rsidTr="000C5B59">
        <w:trPr>
          <w:cantSplit/>
          <w:trHeight w:val="305"/>
        </w:trPr>
        <w:tc>
          <w:tcPr>
            <w:tcW w:w="2638" w:type="dxa"/>
            <w:tcBorders>
              <w:bottom w:val="single" w:sz="4" w:space="0" w:color="auto"/>
            </w:tcBorders>
            <w:shd w:val="clear" w:color="auto" w:fill="FABF8F"/>
            <w:vAlign w:val="center"/>
          </w:tcPr>
          <w:p w:rsidR="00D55AB9" w:rsidRPr="004D10F1" w:rsidRDefault="00D55AB9" w:rsidP="004D10F1">
            <w:pPr>
              <w:pStyle w:val="Heading2"/>
              <w:spacing w:beforeLines="20" w:before="48" w:afterLines="20" w:after="48"/>
              <w:ind w:left="0"/>
              <w:rPr>
                <w:rFonts w:ascii="Tahoma" w:hAnsi="Tahoma" w:cs="Tahoma"/>
                <w:b w:val="0"/>
                <w:sz w:val="14"/>
                <w:szCs w:val="14"/>
              </w:rPr>
            </w:pPr>
            <w:bookmarkStart w:id="71" w:name="_Toc336337873"/>
            <w:bookmarkStart w:id="72" w:name="_Toc363998626"/>
            <w:r w:rsidRPr="004D10F1">
              <w:rPr>
                <w:rFonts w:ascii="Tahoma" w:hAnsi="Tahoma" w:cs="Tahoma"/>
                <w:b w:val="0"/>
                <w:sz w:val="14"/>
                <w:szCs w:val="14"/>
              </w:rPr>
              <w:t>OneNote</w:t>
            </w:r>
            <w:r w:rsidR="0069040B" w:rsidRPr="0069040B">
              <w:rPr>
                <w:rFonts w:ascii="Tahoma" w:hAnsi="Tahoma" w:cs="Tahoma"/>
                <w:b w:val="0"/>
                <w:sz w:val="14"/>
                <w:szCs w:val="14"/>
                <w:vertAlign w:val="superscript"/>
              </w:rPr>
              <w:t>®</w:t>
            </w:r>
            <w:r w:rsidRPr="004D10F1">
              <w:rPr>
                <w:rFonts w:ascii="Tahoma" w:hAnsi="Tahoma" w:cs="Tahoma"/>
                <w:b w:val="0"/>
                <w:sz w:val="14"/>
                <w:szCs w:val="14"/>
              </w:rPr>
              <w:t xml:space="preserve"> </w:t>
            </w:r>
            <w:bookmarkEnd w:id="71"/>
            <w:r w:rsidRPr="004D10F1">
              <w:rPr>
                <w:rFonts w:ascii="Tahoma" w:hAnsi="Tahoma" w:cs="Tahoma"/>
                <w:b w:val="0"/>
                <w:sz w:val="14"/>
                <w:szCs w:val="14"/>
              </w:rPr>
              <w:t>2013</w:t>
            </w:r>
            <w:bookmarkEnd w:id="72"/>
          </w:p>
        </w:tc>
        <w:tc>
          <w:tcPr>
            <w:tcW w:w="429" w:type="dxa"/>
            <w:tcBorders>
              <w:bottom w:val="single" w:sz="4" w:space="0" w:color="auto"/>
            </w:tcBorders>
            <w:shd w:val="clear" w:color="auto" w:fill="FABF8F"/>
            <w:vAlign w:val="center"/>
          </w:tcPr>
          <w:p w:rsidR="00D55AB9" w:rsidRPr="00E22E42" w:rsidRDefault="00D55AB9" w:rsidP="00E22E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r>
      <w:tr w:rsidR="00D55AB9" w:rsidRPr="004D10F1" w:rsidTr="000C5B59">
        <w:trPr>
          <w:cantSplit/>
          <w:trHeight w:val="350"/>
        </w:trPr>
        <w:tc>
          <w:tcPr>
            <w:tcW w:w="2638" w:type="dxa"/>
            <w:tcBorders>
              <w:bottom w:val="single" w:sz="4" w:space="0" w:color="auto"/>
            </w:tcBorders>
            <w:shd w:val="clear" w:color="auto" w:fill="auto"/>
            <w:vAlign w:val="center"/>
          </w:tcPr>
          <w:p w:rsidR="00D55AB9" w:rsidRPr="004D10F1" w:rsidRDefault="00D55AB9" w:rsidP="004D10F1">
            <w:pPr>
              <w:pStyle w:val="Heading2"/>
              <w:spacing w:beforeLines="20" w:before="48" w:afterLines="20" w:after="48"/>
              <w:ind w:left="0"/>
              <w:rPr>
                <w:rFonts w:ascii="Tahoma" w:hAnsi="Tahoma" w:cs="Tahoma"/>
                <w:b w:val="0"/>
                <w:sz w:val="14"/>
                <w:szCs w:val="14"/>
              </w:rPr>
            </w:pPr>
            <w:bookmarkStart w:id="73" w:name="_Toc336337874"/>
            <w:bookmarkStart w:id="74" w:name="_Toc363998627"/>
            <w:r w:rsidRPr="004D10F1">
              <w:rPr>
                <w:rFonts w:ascii="Tahoma" w:hAnsi="Tahoma" w:cs="Tahoma"/>
                <w:b w:val="0"/>
                <w:sz w:val="14"/>
                <w:szCs w:val="14"/>
              </w:rPr>
              <w:t>Outlook</w:t>
            </w:r>
            <w:r w:rsidR="0069040B" w:rsidRPr="0069040B">
              <w:rPr>
                <w:rFonts w:ascii="Tahoma" w:hAnsi="Tahoma" w:cs="Tahoma"/>
                <w:b w:val="0"/>
                <w:sz w:val="14"/>
                <w:szCs w:val="14"/>
                <w:vertAlign w:val="superscript"/>
              </w:rPr>
              <w:t>®</w:t>
            </w:r>
            <w:r w:rsidRPr="004D10F1">
              <w:rPr>
                <w:rFonts w:ascii="Tahoma" w:hAnsi="Tahoma" w:cs="Tahoma"/>
                <w:b w:val="0"/>
                <w:sz w:val="14"/>
                <w:szCs w:val="14"/>
              </w:rPr>
              <w:t xml:space="preserve"> </w:t>
            </w:r>
            <w:bookmarkEnd w:id="73"/>
            <w:r w:rsidRPr="004D10F1">
              <w:rPr>
                <w:rFonts w:ascii="Tahoma" w:hAnsi="Tahoma" w:cs="Tahoma"/>
                <w:b w:val="0"/>
                <w:sz w:val="14"/>
                <w:szCs w:val="14"/>
              </w:rPr>
              <w:t>2013</w:t>
            </w:r>
            <w:bookmarkEnd w:id="74"/>
          </w:p>
        </w:tc>
        <w:tc>
          <w:tcPr>
            <w:tcW w:w="429" w:type="dxa"/>
            <w:tcBorders>
              <w:bottom w:val="single" w:sz="4" w:space="0" w:color="auto"/>
            </w:tcBorders>
            <w:shd w:val="clear" w:color="auto" w:fill="auto"/>
            <w:vAlign w:val="center"/>
          </w:tcPr>
          <w:p w:rsidR="00D55AB9" w:rsidRPr="00E22E42" w:rsidRDefault="00D55AB9" w:rsidP="00E22E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r>
      <w:tr w:rsidR="00D55AB9" w:rsidRPr="004D10F1" w:rsidTr="000C5B59">
        <w:trPr>
          <w:cantSplit/>
          <w:trHeight w:val="305"/>
        </w:trPr>
        <w:tc>
          <w:tcPr>
            <w:tcW w:w="2638" w:type="dxa"/>
            <w:tcBorders>
              <w:bottom w:val="single" w:sz="4" w:space="0" w:color="auto"/>
            </w:tcBorders>
            <w:shd w:val="clear" w:color="auto" w:fill="FABF8F"/>
            <w:vAlign w:val="center"/>
          </w:tcPr>
          <w:p w:rsidR="00D55AB9" w:rsidRPr="004D10F1" w:rsidRDefault="00D55AB9" w:rsidP="004D10F1">
            <w:pPr>
              <w:pStyle w:val="Heading2"/>
              <w:spacing w:beforeLines="20" w:before="48" w:afterLines="20" w:after="48"/>
              <w:ind w:left="0"/>
              <w:rPr>
                <w:rFonts w:ascii="Tahoma" w:hAnsi="Tahoma" w:cs="Tahoma"/>
                <w:b w:val="0"/>
                <w:sz w:val="14"/>
                <w:szCs w:val="14"/>
              </w:rPr>
            </w:pPr>
            <w:bookmarkStart w:id="75" w:name="_Toc336337875"/>
            <w:bookmarkStart w:id="76" w:name="_Toc363998628"/>
            <w:r w:rsidRPr="004D10F1">
              <w:rPr>
                <w:rFonts w:ascii="Tahoma" w:hAnsi="Tahoma" w:cs="Tahoma"/>
                <w:b w:val="0"/>
                <w:sz w:val="14"/>
                <w:szCs w:val="14"/>
              </w:rPr>
              <w:t xml:space="preserve">Outlook </w:t>
            </w:r>
            <w:bookmarkEnd w:id="75"/>
            <w:r w:rsidRPr="004D10F1">
              <w:rPr>
                <w:rFonts w:ascii="Tahoma" w:hAnsi="Tahoma" w:cs="Tahoma"/>
                <w:b w:val="0"/>
                <w:sz w:val="14"/>
                <w:szCs w:val="14"/>
              </w:rPr>
              <w:t>für Mac 2011</w:t>
            </w:r>
            <w:bookmarkEnd w:id="76"/>
          </w:p>
        </w:tc>
        <w:tc>
          <w:tcPr>
            <w:tcW w:w="429" w:type="dxa"/>
            <w:tcBorders>
              <w:bottom w:val="single" w:sz="4" w:space="0" w:color="auto"/>
            </w:tcBorders>
            <w:shd w:val="clear" w:color="auto" w:fill="FABF8F"/>
            <w:vAlign w:val="center"/>
          </w:tcPr>
          <w:p w:rsidR="00D55AB9" w:rsidRPr="00E22E42" w:rsidRDefault="005B744B" w:rsidP="00E22E42">
            <w:pPr>
              <w:pStyle w:val="TableText"/>
              <w:widowControl w:val="0"/>
              <w:rPr>
                <w:rStyle w:val="EndnoteReference"/>
                <w:rFonts w:cs="Tahoma"/>
                <w:b w:val="0"/>
                <w:color w:val="0000FF"/>
                <w:sz w:val="13"/>
                <w:szCs w:val="13"/>
                <w:u w:val="single"/>
              </w:rPr>
            </w:pPr>
            <w:hyperlink w:anchor="_14_Outlook_für" w:history="1">
              <w:r w:rsidR="00316801" w:rsidRPr="00E22E42">
                <w:rPr>
                  <w:rStyle w:val="Hyperlink"/>
                  <w:rFonts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widowControl w:val="0"/>
              <w:rPr>
                <w:rFonts w:ascii="Tahoma" w:hAnsi="Tahoma" w:cs="Tahoma"/>
                <w:sz w:val="13"/>
              </w:rPr>
            </w:pPr>
          </w:p>
        </w:tc>
      </w:tr>
      <w:tr w:rsidR="00AF7309" w:rsidRPr="004D10F1" w:rsidTr="000C5B59">
        <w:trPr>
          <w:cantSplit/>
          <w:trHeight w:val="305"/>
        </w:trPr>
        <w:tc>
          <w:tcPr>
            <w:tcW w:w="2638" w:type="dxa"/>
            <w:tcBorders>
              <w:bottom w:val="single" w:sz="4" w:space="0" w:color="auto"/>
            </w:tcBorders>
            <w:shd w:val="clear" w:color="auto" w:fill="auto"/>
            <w:vAlign w:val="center"/>
          </w:tcPr>
          <w:p w:rsidR="00D55AB9" w:rsidRPr="004D10F1" w:rsidRDefault="00D55AB9" w:rsidP="004D10F1">
            <w:pPr>
              <w:pStyle w:val="Heading3"/>
              <w:spacing w:beforeLines="20" w:before="48" w:afterLines="20" w:after="48"/>
              <w:rPr>
                <w:rFonts w:ascii="Tahoma" w:hAnsi="Tahoma" w:cs="Tahoma"/>
                <w:b w:val="0"/>
                <w:sz w:val="14"/>
                <w:szCs w:val="14"/>
              </w:rPr>
            </w:pPr>
            <w:bookmarkStart w:id="77" w:name="_Toc363998629"/>
            <w:r w:rsidRPr="004D10F1">
              <w:rPr>
                <w:rFonts w:ascii="Tahoma" w:hAnsi="Tahoma" w:cs="Tahoma"/>
                <w:b w:val="0"/>
                <w:sz w:val="14"/>
                <w:szCs w:val="14"/>
              </w:rPr>
              <w:t>PowerPoint 2013</w:t>
            </w:r>
            <w:bookmarkEnd w:id="77"/>
          </w:p>
        </w:tc>
        <w:tc>
          <w:tcPr>
            <w:tcW w:w="429" w:type="dxa"/>
            <w:tcBorders>
              <w:bottom w:val="single" w:sz="4" w:space="0" w:color="auto"/>
            </w:tcBorders>
            <w:shd w:val="clear" w:color="auto" w:fill="auto"/>
            <w:vAlign w:val="center"/>
          </w:tcPr>
          <w:p w:rsidR="00D55AB9" w:rsidRPr="00E22E42" w:rsidRDefault="00D55AB9" w:rsidP="00E22E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widowControl w:val="0"/>
              <w:rPr>
                <w:rFonts w:ascii="Tahoma" w:hAnsi="Tahoma" w:cs="Tahoma"/>
                <w:sz w:val="13"/>
              </w:rPr>
            </w:pPr>
          </w:p>
        </w:tc>
      </w:tr>
      <w:tr w:rsidR="00D55AB9" w:rsidRPr="004D10F1" w:rsidTr="000C5B59">
        <w:trPr>
          <w:cantSplit/>
          <w:trHeight w:val="145"/>
        </w:trPr>
        <w:tc>
          <w:tcPr>
            <w:tcW w:w="2638" w:type="dxa"/>
            <w:tcBorders>
              <w:bottom w:val="single" w:sz="4" w:space="0" w:color="auto"/>
            </w:tcBorders>
            <w:shd w:val="clear" w:color="auto" w:fill="FABF8F"/>
            <w:vAlign w:val="center"/>
          </w:tcPr>
          <w:p w:rsidR="00D55AB9" w:rsidRPr="004D10F1" w:rsidRDefault="00D55AB9" w:rsidP="004D10F1">
            <w:pPr>
              <w:pStyle w:val="Heading3"/>
              <w:spacing w:beforeLines="20" w:before="48" w:afterLines="20" w:after="48"/>
              <w:rPr>
                <w:rFonts w:ascii="Tahoma" w:hAnsi="Tahoma" w:cs="Tahoma"/>
                <w:b w:val="0"/>
                <w:sz w:val="14"/>
                <w:szCs w:val="14"/>
              </w:rPr>
            </w:pPr>
            <w:bookmarkStart w:id="78" w:name="_Toc336337878"/>
            <w:bookmarkStart w:id="79" w:name="_Toc363998630"/>
            <w:r w:rsidRPr="004D10F1">
              <w:rPr>
                <w:rFonts w:ascii="Tahoma" w:hAnsi="Tahoma" w:cs="Tahoma"/>
                <w:b w:val="0"/>
                <w:sz w:val="14"/>
                <w:szCs w:val="14"/>
              </w:rPr>
              <w:t>PowerPoint für Mac 2011</w:t>
            </w:r>
            <w:bookmarkEnd w:id="78"/>
            <w:bookmarkEnd w:id="79"/>
          </w:p>
        </w:tc>
        <w:tc>
          <w:tcPr>
            <w:tcW w:w="429" w:type="dxa"/>
            <w:tcBorders>
              <w:bottom w:val="single" w:sz="4" w:space="0" w:color="auto"/>
            </w:tcBorders>
            <w:shd w:val="clear" w:color="auto" w:fill="FABF8F"/>
            <w:vAlign w:val="center"/>
          </w:tcPr>
          <w:p w:rsidR="00D55AB9" w:rsidRPr="00E22E42" w:rsidRDefault="00D55AB9" w:rsidP="00E22E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r>
      <w:tr w:rsidR="00AF7309" w:rsidRPr="004D10F1" w:rsidTr="000C5B59">
        <w:trPr>
          <w:cantSplit/>
          <w:trHeight w:val="145"/>
        </w:trPr>
        <w:tc>
          <w:tcPr>
            <w:tcW w:w="2638" w:type="dxa"/>
            <w:tcBorders>
              <w:bottom w:val="single" w:sz="4" w:space="0" w:color="auto"/>
            </w:tcBorders>
            <w:shd w:val="clear" w:color="auto" w:fill="auto"/>
            <w:vAlign w:val="center"/>
          </w:tcPr>
          <w:p w:rsidR="00D55AB9" w:rsidRPr="004D10F1" w:rsidRDefault="00D55AB9" w:rsidP="004D10F1">
            <w:pPr>
              <w:pStyle w:val="Heading3"/>
              <w:spacing w:beforeLines="20" w:before="48" w:afterLines="20" w:after="48"/>
              <w:rPr>
                <w:rFonts w:ascii="Tahoma" w:hAnsi="Tahoma" w:cs="Tahoma"/>
                <w:b w:val="0"/>
                <w:sz w:val="14"/>
                <w:szCs w:val="14"/>
              </w:rPr>
            </w:pPr>
            <w:bookmarkStart w:id="80" w:name="_Toc336337879"/>
            <w:bookmarkStart w:id="81" w:name="_Toc363998631"/>
            <w:r w:rsidRPr="004D10F1">
              <w:rPr>
                <w:rFonts w:ascii="Tahoma" w:hAnsi="Tahoma" w:cs="Tahoma"/>
                <w:b w:val="0"/>
                <w:sz w:val="14"/>
                <w:szCs w:val="14"/>
              </w:rPr>
              <w:t>Project Standard</w:t>
            </w:r>
            <w:bookmarkEnd w:id="80"/>
            <w:r w:rsidRPr="004D10F1">
              <w:rPr>
                <w:rFonts w:ascii="Tahoma" w:hAnsi="Tahoma" w:cs="Tahoma"/>
                <w:b w:val="0"/>
                <w:sz w:val="14"/>
                <w:szCs w:val="14"/>
              </w:rPr>
              <w:t xml:space="preserve"> 2013</w:t>
            </w:r>
            <w:bookmarkEnd w:id="81"/>
            <w:r w:rsidRPr="004D10F1">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D55AB9" w:rsidRPr="00E22E42" w:rsidRDefault="00D55AB9" w:rsidP="00E22E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5</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4</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r>
      <w:tr w:rsidR="00D55AB9" w:rsidRPr="004D10F1" w:rsidTr="000C5B59">
        <w:trPr>
          <w:cantSplit/>
          <w:trHeight w:val="145"/>
        </w:trPr>
        <w:tc>
          <w:tcPr>
            <w:tcW w:w="2638" w:type="dxa"/>
            <w:tcBorders>
              <w:bottom w:val="single" w:sz="4" w:space="0" w:color="auto"/>
            </w:tcBorders>
            <w:shd w:val="clear" w:color="auto" w:fill="FABF8F"/>
            <w:vAlign w:val="center"/>
          </w:tcPr>
          <w:p w:rsidR="00D55AB9" w:rsidRPr="004D10F1" w:rsidRDefault="00D55AB9" w:rsidP="004D10F1">
            <w:pPr>
              <w:pStyle w:val="Heading3"/>
              <w:spacing w:beforeLines="20" w:before="48" w:afterLines="20" w:after="48"/>
              <w:rPr>
                <w:rFonts w:ascii="Tahoma" w:hAnsi="Tahoma" w:cs="Tahoma"/>
                <w:b w:val="0"/>
                <w:sz w:val="14"/>
                <w:szCs w:val="14"/>
              </w:rPr>
            </w:pPr>
            <w:bookmarkStart w:id="82" w:name="_Toc336337880"/>
            <w:bookmarkStart w:id="83" w:name="_Toc363998632"/>
            <w:r w:rsidRPr="004D10F1">
              <w:rPr>
                <w:rFonts w:ascii="Tahoma" w:hAnsi="Tahoma" w:cs="Tahoma"/>
                <w:b w:val="0"/>
                <w:sz w:val="14"/>
                <w:szCs w:val="14"/>
              </w:rPr>
              <w:t>Project Professional 2013</w:t>
            </w:r>
            <w:bookmarkEnd w:id="82"/>
            <w:bookmarkEnd w:id="83"/>
            <w:r w:rsidRPr="004D10F1">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D55AB9" w:rsidRPr="00E22E42" w:rsidRDefault="005B744B" w:rsidP="00E22E42">
            <w:pPr>
              <w:pStyle w:val="TableText"/>
              <w:widowControl w:val="0"/>
              <w:rPr>
                <w:rStyle w:val="EndnoteReference"/>
                <w:rFonts w:cs="Tahoma"/>
                <w:b w:val="0"/>
                <w:color w:val="0000FF"/>
                <w:sz w:val="13"/>
                <w:szCs w:val="13"/>
                <w:u w:val="single"/>
              </w:rPr>
            </w:pPr>
            <w:hyperlink w:anchor="_132_Project_2013" w:history="1">
              <w:r w:rsidR="00316801" w:rsidRPr="00E22E42">
                <w:rPr>
                  <w:rStyle w:val="Hyperlink"/>
                  <w:rFonts w:cs="Tahoma"/>
                  <w:b/>
                  <w:sz w:val="13"/>
                  <w:szCs w:val="13"/>
                </w:rPr>
                <w:t>15</w:t>
              </w:r>
            </w:hyperlink>
          </w:p>
        </w:tc>
        <w:tc>
          <w:tcPr>
            <w:tcW w:w="429" w:type="dxa"/>
            <w:tcBorders>
              <w:bottom w:val="single" w:sz="4" w:space="0" w:color="auto"/>
            </w:tcBorders>
            <w:shd w:val="clear" w:color="auto" w:fill="FABF8F"/>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szCs w:val="13"/>
              </w:rPr>
            </w:pPr>
            <w:r w:rsidRPr="004D10F1">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szCs w:val="13"/>
              </w:rPr>
            </w:pPr>
            <w:r w:rsidRPr="004D10F1">
              <w:rPr>
                <w:rFonts w:ascii="Tahoma" w:hAnsi="Tahoma" w:cs="Tahoma"/>
                <w:sz w:val="13"/>
                <w:szCs w:val="13"/>
              </w:rPr>
              <w:t>10</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szCs w:val="13"/>
              </w:rPr>
            </w:pPr>
            <w:r w:rsidRPr="004D10F1">
              <w:rPr>
                <w:rFonts w:ascii="Tahoma" w:hAnsi="Tahoma" w:cs="Tahoma"/>
                <w:sz w:val="13"/>
                <w:szCs w:val="13"/>
              </w:rPr>
              <w:t>8</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szCs w:val="13"/>
              </w:rPr>
            </w:pPr>
            <w:r w:rsidRPr="004D10F1">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szCs w:val="13"/>
              </w:rPr>
            </w:pPr>
            <w:r w:rsidRPr="004D10F1">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szCs w:val="13"/>
              </w:rPr>
            </w:pPr>
            <w:r w:rsidRPr="004D10F1">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szCs w:val="13"/>
              </w:rPr>
            </w:pPr>
            <w:r w:rsidRPr="004D10F1">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szCs w:val="13"/>
              </w:rPr>
            </w:pPr>
            <w:r w:rsidRPr="004D10F1">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szCs w:val="13"/>
              </w:rPr>
            </w:pPr>
            <w:r w:rsidRPr="004D10F1">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szCs w:val="13"/>
              </w:rPr>
            </w:pPr>
            <w:r w:rsidRPr="004D10F1">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szCs w:val="13"/>
              </w:rPr>
            </w:pPr>
            <w:r w:rsidRPr="004D10F1">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 AO, ST</w:t>
            </w: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r>
      <w:tr w:rsidR="00AF7309" w:rsidRPr="004D10F1" w:rsidTr="000C5B59">
        <w:trPr>
          <w:cantSplit/>
          <w:trHeight w:val="145"/>
        </w:trPr>
        <w:tc>
          <w:tcPr>
            <w:tcW w:w="2638" w:type="dxa"/>
            <w:tcBorders>
              <w:bottom w:val="single" w:sz="4" w:space="0" w:color="auto"/>
            </w:tcBorders>
            <w:shd w:val="clear" w:color="auto" w:fill="auto"/>
            <w:vAlign w:val="center"/>
          </w:tcPr>
          <w:p w:rsidR="00D55AB9" w:rsidRPr="004D10F1" w:rsidRDefault="00D55AB9" w:rsidP="004D10F1">
            <w:pPr>
              <w:pStyle w:val="Heading3"/>
              <w:spacing w:beforeLines="20" w:before="48" w:afterLines="20" w:after="48"/>
              <w:rPr>
                <w:rFonts w:ascii="Tahoma" w:hAnsi="Tahoma" w:cs="Tahoma"/>
                <w:b w:val="0"/>
                <w:sz w:val="14"/>
                <w:szCs w:val="14"/>
              </w:rPr>
            </w:pPr>
            <w:bookmarkStart w:id="84" w:name="_Toc363998633"/>
            <w:r w:rsidRPr="004D10F1">
              <w:rPr>
                <w:rFonts w:ascii="Tahoma" w:hAnsi="Tahoma" w:cs="Tahoma"/>
                <w:b w:val="0"/>
                <w:sz w:val="14"/>
                <w:szCs w:val="14"/>
              </w:rPr>
              <w:t>Project Pro für Office 365</w:t>
            </w:r>
            <w:bookmarkEnd w:id="84"/>
            <w:r w:rsidR="00511436" w:rsidRPr="004D10F1">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D55AB9" w:rsidRPr="00E22E42" w:rsidRDefault="005B744B" w:rsidP="00E22E42">
            <w:pPr>
              <w:pStyle w:val="TableText"/>
              <w:widowControl w:val="0"/>
              <w:rPr>
                <w:rFonts w:cs="Tahoma"/>
                <w:b/>
                <w:color w:val="0000FF"/>
                <w:sz w:val="13"/>
                <w:szCs w:val="13"/>
                <w:u w:val="single"/>
              </w:rPr>
            </w:pPr>
            <w:hyperlink w:anchor="_143_Project_Pro" w:history="1">
              <w:r w:rsidR="00316801" w:rsidRPr="00E22E42">
                <w:rPr>
                  <w:rStyle w:val="Hyperlink"/>
                  <w:rFonts w:cs="Tahoma"/>
                  <w:b/>
                  <w:sz w:val="13"/>
                  <w:szCs w:val="13"/>
                </w:rPr>
                <w:t>16</w:t>
              </w:r>
            </w:hyperlink>
          </w:p>
        </w:tc>
        <w:tc>
          <w:tcPr>
            <w:tcW w:w="429" w:type="dxa"/>
            <w:tcBorders>
              <w:bottom w:val="single" w:sz="4" w:space="0" w:color="auto"/>
            </w:tcBorders>
            <w:shd w:val="clear" w:color="auto" w:fill="auto"/>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r>
      <w:tr w:rsidR="00D55AB9" w:rsidRPr="004D10F1" w:rsidTr="000C5B59">
        <w:trPr>
          <w:cantSplit/>
          <w:trHeight w:val="145"/>
        </w:trPr>
        <w:tc>
          <w:tcPr>
            <w:tcW w:w="2638" w:type="dxa"/>
            <w:tcBorders>
              <w:bottom w:val="single" w:sz="4" w:space="0" w:color="auto"/>
            </w:tcBorders>
            <w:shd w:val="clear" w:color="auto" w:fill="FABF8F"/>
            <w:vAlign w:val="center"/>
          </w:tcPr>
          <w:p w:rsidR="00D55AB9" w:rsidRPr="004D10F1" w:rsidRDefault="00D55AB9" w:rsidP="004D10F1">
            <w:pPr>
              <w:pStyle w:val="Heading3"/>
              <w:spacing w:beforeLines="20" w:before="48" w:afterLines="20" w:after="48"/>
              <w:rPr>
                <w:rFonts w:ascii="Tahoma" w:hAnsi="Tahoma" w:cs="Tahoma"/>
                <w:b w:val="0"/>
                <w:sz w:val="14"/>
                <w:szCs w:val="14"/>
              </w:rPr>
            </w:pPr>
            <w:bookmarkStart w:id="85" w:name="_Toc363998634"/>
            <w:r w:rsidRPr="004D10F1">
              <w:rPr>
                <w:rFonts w:ascii="Tahoma" w:hAnsi="Tahoma" w:cs="Tahoma"/>
                <w:b w:val="0"/>
                <w:sz w:val="14"/>
                <w:szCs w:val="14"/>
              </w:rPr>
              <w:t>Project Pro für Office 365 A</w:t>
            </w:r>
            <w:bookmarkEnd w:id="85"/>
          </w:p>
        </w:tc>
        <w:tc>
          <w:tcPr>
            <w:tcW w:w="429" w:type="dxa"/>
            <w:tcBorders>
              <w:bottom w:val="single" w:sz="4" w:space="0" w:color="auto"/>
            </w:tcBorders>
            <w:shd w:val="clear" w:color="auto" w:fill="FABF8F"/>
            <w:vAlign w:val="center"/>
          </w:tcPr>
          <w:p w:rsidR="00D55AB9" w:rsidRPr="00E22E42" w:rsidRDefault="00D55AB9" w:rsidP="00E22E42">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szCs w:val="13"/>
              </w:rPr>
            </w:pPr>
            <w:r w:rsidRPr="004D10F1">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 ST (nur EES)</w:t>
            </w: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r>
      <w:tr w:rsidR="00AF7309" w:rsidRPr="004D10F1" w:rsidTr="000C5B59">
        <w:trPr>
          <w:cantSplit/>
          <w:trHeight w:val="145"/>
        </w:trPr>
        <w:tc>
          <w:tcPr>
            <w:tcW w:w="2638" w:type="dxa"/>
            <w:tcBorders>
              <w:bottom w:val="single" w:sz="4" w:space="0" w:color="auto"/>
            </w:tcBorders>
            <w:shd w:val="clear" w:color="auto" w:fill="auto"/>
            <w:vAlign w:val="center"/>
          </w:tcPr>
          <w:p w:rsidR="00D55AB9" w:rsidRPr="004D10F1" w:rsidRDefault="00D55AB9" w:rsidP="004D10F1">
            <w:pPr>
              <w:pStyle w:val="Heading3"/>
              <w:spacing w:beforeLines="20" w:before="48" w:afterLines="20" w:after="48"/>
              <w:rPr>
                <w:rFonts w:ascii="Tahoma" w:hAnsi="Tahoma" w:cs="Tahoma"/>
                <w:b w:val="0"/>
                <w:sz w:val="14"/>
                <w:szCs w:val="14"/>
              </w:rPr>
            </w:pPr>
            <w:bookmarkStart w:id="86" w:name="_Toc363998635"/>
            <w:r w:rsidRPr="004D10F1">
              <w:rPr>
                <w:rFonts w:ascii="Tahoma" w:hAnsi="Tahoma" w:cs="Tahoma"/>
                <w:b w:val="0"/>
                <w:sz w:val="14"/>
                <w:szCs w:val="14"/>
              </w:rPr>
              <w:t>Publisher 2013</w:t>
            </w:r>
            <w:bookmarkEnd w:id="86"/>
          </w:p>
        </w:tc>
        <w:tc>
          <w:tcPr>
            <w:tcW w:w="429" w:type="dxa"/>
            <w:tcBorders>
              <w:bottom w:val="single" w:sz="4" w:space="0" w:color="auto"/>
            </w:tcBorders>
            <w:shd w:val="clear" w:color="auto" w:fill="auto"/>
            <w:vAlign w:val="center"/>
          </w:tcPr>
          <w:p w:rsidR="00D55AB9" w:rsidRPr="00E22E42" w:rsidRDefault="00D55AB9" w:rsidP="00E22E42">
            <w:pPr>
              <w:pStyle w:val="TableText"/>
              <w:widowControl w:val="0"/>
              <w:rPr>
                <w:rFonts w:cs="Tahoma"/>
                <w:b/>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rsidR="00D55AB9" w:rsidRPr="004D10F1" w:rsidDel="00527D48" w:rsidRDefault="00D55AB9" w:rsidP="000C5B59">
            <w:pPr>
              <w:pStyle w:val="TableText"/>
              <w:spacing w:before="60" w:after="60"/>
              <w:rPr>
                <w:rFonts w:ascii="Tahoma" w:hAnsi="Tahoma" w:cs="Tahoma"/>
                <w:sz w:val="13"/>
              </w:rPr>
            </w:pPr>
            <w:r w:rsidRPr="004D10F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r w:rsidRPr="004D10F1">
              <w:rPr>
                <w:rFonts w:ascii="Tahoma" w:hAnsi="Tahoma" w:cs="Tahoma"/>
                <w:sz w:val="13"/>
                <w:szCs w:val="13"/>
              </w:rPr>
              <w:t>1</w:t>
            </w: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r w:rsidRPr="004D10F1">
              <w:rPr>
                <w:rFonts w:ascii="Tahoma" w:hAnsi="Tahoma" w:cs="Tahoma"/>
                <w:sz w:val="13"/>
                <w:szCs w:val="13"/>
              </w:rPr>
              <w:t>3</w:t>
            </w: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r w:rsidRPr="004D10F1">
              <w:rPr>
                <w:rFonts w:ascii="Tahoma" w:hAnsi="Tahoma" w:cs="Tahoma"/>
                <w:sz w:val="13"/>
                <w:szCs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r w:rsidRPr="004D10F1">
              <w:rPr>
                <w:rFonts w:ascii="Tahoma" w:hAnsi="Tahoma" w:cs="Tahoma"/>
                <w:sz w:val="13"/>
                <w:szCs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r w:rsidRPr="004D10F1">
              <w:rPr>
                <w:rFonts w:ascii="Tahoma" w:hAnsi="Tahoma" w:cs="Tahoma"/>
                <w:sz w:val="13"/>
                <w:szCs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r w:rsidRPr="004D10F1">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r w:rsidRPr="004D10F1">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r w:rsidRPr="004D10F1">
              <w:rPr>
                <w:rFonts w:ascii="Tahoma" w:hAnsi="Tahoma" w:cs="Tahoma"/>
                <w:sz w:val="13"/>
                <w:szCs w:val="13"/>
              </w:rPr>
              <w:t>1</w:t>
            </w: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r w:rsidRPr="004D10F1">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r w:rsidRPr="004D10F1">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r>
      <w:tr w:rsidR="00D55AB9" w:rsidRPr="004D10F1" w:rsidTr="000C5B59">
        <w:trPr>
          <w:cantSplit/>
          <w:trHeight w:val="145"/>
        </w:trPr>
        <w:tc>
          <w:tcPr>
            <w:tcW w:w="2638" w:type="dxa"/>
            <w:tcBorders>
              <w:bottom w:val="single" w:sz="4" w:space="0" w:color="auto"/>
            </w:tcBorders>
            <w:shd w:val="clear" w:color="auto" w:fill="FABF8F"/>
            <w:vAlign w:val="center"/>
          </w:tcPr>
          <w:p w:rsidR="00D55AB9" w:rsidRPr="004D10F1" w:rsidRDefault="00D55AB9" w:rsidP="004D10F1">
            <w:pPr>
              <w:pStyle w:val="Heading3"/>
              <w:spacing w:beforeLines="20" w:before="48" w:afterLines="20" w:after="48"/>
              <w:rPr>
                <w:rFonts w:ascii="Tahoma" w:hAnsi="Tahoma" w:cs="Tahoma"/>
                <w:b w:val="0"/>
                <w:sz w:val="14"/>
                <w:szCs w:val="14"/>
              </w:rPr>
            </w:pPr>
            <w:bookmarkStart w:id="88" w:name="_Toc336337882"/>
            <w:bookmarkStart w:id="89" w:name="_Toc363998636"/>
            <w:r w:rsidRPr="004D10F1">
              <w:rPr>
                <w:rFonts w:ascii="Tahoma" w:hAnsi="Tahoma" w:cs="Tahoma"/>
                <w:b w:val="0"/>
                <w:sz w:val="14"/>
                <w:szCs w:val="14"/>
              </w:rPr>
              <w:t xml:space="preserve">Vermietungsrechte für Office </w:t>
            </w:r>
            <w:bookmarkEnd w:id="88"/>
            <w:r w:rsidRPr="004D10F1">
              <w:rPr>
                <w:rFonts w:ascii="Tahoma" w:hAnsi="Tahoma" w:cs="Tahoma"/>
                <w:b w:val="0"/>
                <w:sz w:val="14"/>
                <w:szCs w:val="14"/>
              </w:rPr>
              <w:t>Standard</w:t>
            </w:r>
            <w:bookmarkEnd w:id="89"/>
          </w:p>
        </w:tc>
        <w:tc>
          <w:tcPr>
            <w:tcW w:w="429" w:type="dxa"/>
            <w:tcBorders>
              <w:bottom w:val="single" w:sz="4" w:space="0" w:color="auto"/>
            </w:tcBorders>
            <w:shd w:val="clear" w:color="auto" w:fill="FABF8F"/>
            <w:vAlign w:val="center"/>
          </w:tcPr>
          <w:p w:rsidR="00D55AB9" w:rsidRPr="00E22E42" w:rsidRDefault="005B744B" w:rsidP="00E22E42">
            <w:pPr>
              <w:pStyle w:val="TableText"/>
              <w:widowControl w:val="0"/>
              <w:rPr>
                <w:rStyle w:val="EndnoteReference"/>
                <w:rFonts w:cs="Tahoma"/>
                <w:b w:val="0"/>
                <w:color w:val="0000FF"/>
                <w:sz w:val="13"/>
                <w:szCs w:val="13"/>
                <w:u w:val="single"/>
              </w:rPr>
            </w:pPr>
            <w:hyperlink w:anchor="_17_Vermietungsrechte_für" w:history="1">
              <w:r w:rsidR="00316801" w:rsidRPr="00E22E42">
                <w:rPr>
                  <w:rStyle w:val="Hyperlink"/>
                  <w:rFonts w:cs="Tahoma"/>
                  <w:b/>
                  <w:sz w:val="13"/>
                  <w:szCs w:val="13"/>
                </w:rPr>
                <w:t>17</w:t>
              </w:r>
            </w:hyperlink>
          </w:p>
        </w:tc>
        <w:tc>
          <w:tcPr>
            <w:tcW w:w="429" w:type="dxa"/>
            <w:tcBorders>
              <w:bottom w:val="single" w:sz="4" w:space="0" w:color="auto"/>
            </w:tcBorders>
            <w:shd w:val="clear" w:color="auto" w:fill="FABF8F"/>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r>
      <w:tr w:rsidR="00AF7309" w:rsidRPr="004D10F1" w:rsidTr="000C5B59">
        <w:trPr>
          <w:cantSplit/>
          <w:trHeight w:val="145"/>
        </w:trPr>
        <w:tc>
          <w:tcPr>
            <w:tcW w:w="2638" w:type="dxa"/>
            <w:tcBorders>
              <w:bottom w:val="single" w:sz="4" w:space="0" w:color="auto"/>
            </w:tcBorders>
            <w:shd w:val="clear" w:color="auto" w:fill="auto"/>
            <w:vAlign w:val="center"/>
          </w:tcPr>
          <w:p w:rsidR="00D55AB9" w:rsidRPr="004D10F1" w:rsidRDefault="00D55AB9" w:rsidP="004D10F1">
            <w:pPr>
              <w:pStyle w:val="Heading3"/>
              <w:spacing w:beforeLines="20" w:before="48" w:afterLines="20" w:after="48"/>
              <w:rPr>
                <w:rFonts w:ascii="Tahoma" w:hAnsi="Tahoma" w:cs="Tahoma"/>
                <w:b w:val="0"/>
                <w:sz w:val="14"/>
                <w:szCs w:val="14"/>
                <w:lang w:val="de-DE"/>
              </w:rPr>
            </w:pPr>
            <w:bookmarkStart w:id="90" w:name="_Toc363998637"/>
            <w:r w:rsidRPr="004D10F1">
              <w:rPr>
                <w:rFonts w:ascii="Tahoma" w:hAnsi="Tahoma" w:cs="Tahoma"/>
                <w:b w:val="0"/>
                <w:sz w:val="14"/>
                <w:szCs w:val="14"/>
                <w:lang w:val="de-DE"/>
              </w:rPr>
              <w:t>Vermietungsrechte für Office ProfessionalPlus</w:t>
            </w:r>
            <w:bookmarkEnd w:id="90"/>
          </w:p>
        </w:tc>
        <w:tc>
          <w:tcPr>
            <w:tcW w:w="429" w:type="dxa"/>
            <w:tcBorders>
              <w:bottom w:val="single" w:sz="4" w:space="0" w:color="auto"/>
            </w:tcBorders>
            <w:shd w:val="clear" w:color="auto" w:fill="auto"/>
            <w:vAlign w:val="center"/>
          </w:tcPr>
          <w:p w:rsidR="00D55AB9" w:rsidRPr="00E22E42" w:rsidRDefault="005B744B" w:rsidP="00E22E42">
            <w:pPr>
              <w:pStyle w:val="TableText"/>
              <w:widowControl w:val="0"/>
              <w:rPr>
                <w:rStyle w:val="EndnoteReference"/>
                <w:rFonts w:cs="Tahoma"/>
                <w:b w:val="0"/>
                <w:color w:val="0000FF"/>
                <w:sz w:val="13"/>
                <w:szCs w:val="13"/>
                <w:u w:val="single"/>
              </w:rPr>
            </w:pPr>
            <w:hyperlink w:anchor="_16_Rental_Rights" w:history="1">
              <w:r w:rsidR="008849B7" w:rsidRPr="00E22E42">
                <w:rPr>
                  <w:rStyle w:val="Hyperlink"/>
                  <w:rFonts w:cs="Tahoma"/>
                  <w:b/>
                  <w:sz w:val="13"/>
                  <w:szCs w:val="13"/>
                </w:rPr>
                <w:t>17</w:t>
              </w:r>
            </w:hyperlink>
          </w:p>
        </w:tc>
        <w:tc>
          <w:tcPr>
            <w:tcW w:w="429" w:type="dxa"/>
            <w:tcBorders>
              <w:bottom w:val="single" w:sz="4" w:space="0" w:color="auto"/>
            </w:tcBorders>
            <w:shd w:val="clear" w:color="auto" w:fill="auto"/>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r>
      <w:tr w:rsidR="00D55AB9" w:rsidRPr="004D10F1" w:rsidTr="000C5B59">
        <w:trPr>
          <w:cantSplit/>
          <w:trHeight w:val="145"/>
        </w:trPr>
        <w:tc>
          <w:tcPr>
            <w:tcW w:w="2638" w:type="dxa"/>
            <w:tcBorders>
              <w:bottom w:val="single" w:sz="4" w:space="0" w:color="auto"/>
            </w:tcBorders>
            <w:shd w:val="clear" w:color="auto" w:fill="FABF8F"/>
            <w:vAlign w:val="center"/>
          </w:tcPr>
          <w:p w:rsidR="00D55AB9" w:rsidRPr="004D10F1" w:rsidRDefault="00D55AB9" w:rsidP="004D10F1">
            <w:pPr>
              <w:pStyle w:val="Heading3"/>
              <w:spacing w:beforeLines="20" w:before="48" w:afterLines="20" w:after="48"/>
              <w:rPr>
                <w:rFonts w:ascii="Tahoma" w:hAnsi="Tahoma" w:cs="Tahoma"/>
                <w:b w:val="0"/>
                <w:sz w:val="14"/>
                <w:szCs w:val="14"/>
              </w:rPr>
            </w:pPr>
            <w:bookmarkStart w:id="91" w:name="_Toc336337884"/>
            <w:bookmarkStart w:id="92" w:name="_Toc363998638"/>
            <w:r w:rsidRPr="004D10F1">
              <w:rPr>
                <w:rFonts w:ascii="Tahoma" w:hAnsi="Tahoma" w:cs="Tahoma"/>
                <w:b w:val="0"/>
                <w:sz w:val="14"/>
                <w:szCs w:val="14"/>
              </w:rPr>
              <w:t>Streets and Trips 2013</w:t>
            </w:r>
            <w:bookmarkEnd w:id="91"/>
            <w:bookmarkEnd w:id="92"/>
          </w:p>
        </w:tc>
        <w:tc>
          <w:tcPr>
            <w:tcW w:w="429" w:type="dxa"/>
            <w:tcBorders>
              <w:bottom w:val="single" w:sz="4" w:space="0" w:color="auto"/>
            </w:tcBorders>
            <w:shd w:val="clear" w:color="auto" w:fill="FABF8F"/>
            <w:vAlign w:val="center"/>
          </w:tcPr>
          <w:p w:rsidR="00D55AB9" w:rsidRPr="00E22E42" w:rsidRDefault="00D55AB9" w:rsidP="00E22E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 ST</w:t>
            </w: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r>
      <w:tr w:rsidR="00D55AB9" w:rsidRPr="004D10F1" w:rsidTr="000C5B59">
        <w:trPr>
          <w:cantSplit/>
          <w:trHeight w:val="145"/>
        </w:trPr>
        <w:tc>
          <w:tcPr>
            <w:tcW w:w="2638" w:type="dxa"/>
            <w:tcBorders>
              <w:bottom w:val="single" w:sz="4" w:space="0" w:color="auto"/>
            </w:tcBorders>
            <w:shd w:val="clear" w:color="auto" w:fill="auto"/>
            <w:vAlign w:val="center"/>
          </w:tcPr>
          <w:p w:rsidR="00D55AB9" w:rsidRPr="004D10F1" w:rsidRDefault="00D55AB9" w:rsidP="004D10F1">
            <w:pPr>
              <w:pStyle w:val="Heading3"/>
              <w:spacing w:beforeLines="20" w:before="48" w:afterLines="20" w:after="48"/>
              <w:rPr>
                <w:rFonts w:ascii="Tahoma" w:hAnsi="Tahoma" w:cs="Tahoma"/>
                <w:b w:val="0"/>
                <w:sz w:val="14"/>
                <w:szCs w:val="14"/>
              </w:rPr>
            </w:pPr>
            <w:bookmarkStart w:id="93" w:name="_Toc336337886"/>
            <w:bookmarkStart w:id="94" w:name="_Toc363998639"/>
            <w:r w:rsidRPr="004D10F1">
              <w:rPr>
                <w:rFonts w:ascii="Tahoma" w:hAnsi="Tahoma" w:cs="Tahoma"/>
                <w:b w:val="0"/>
                <w:sz w:val="14"/>
                <w:szCs w:val="14"/>
              </w:rPr>
              <w:t>Visio</w:t>
            </w:r>
            <w:r w:rsidR="0069040B" w:rsidRPr="0069040B">
              <w:rPr>
                <w:rFonts w:ascii="Tahoma" w:hAnsi="Tahoma" w:cs="Tahoma"/>
                <w:b w:val="0"/>
                <w:sz w:val="14"/>
                <w:szCs w:val="14"/>
                <w:vertAlign w:val="superscript"/>
              </w:rPr>
              <w:t>®</w:t>
            </w:r>
            <w:r w:rsidRPr="004D10F1">
              <w:rPr>
                <w:rFonts w:ascii="Tahoma" w:hAnsi="Tahoma" w:cs="Tahoma"/>
                <w:b w:val="0"/>
                <w:sz w:val="14"/>
                <w:szCs w:val="14"/>
              </w:rPr>
              <w:t xml:space="preserve"> 2013 Professional</w:t>
            </w:r>
            <w:bookmarkEnd w:id="93"/>
            <w:bookmarkEnd w:id="94"/>
            <w:r w:rsidR="00511436" w:rsidRPr="004D10F1">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rsidR="00D55AB9" w:rsidRPr="00E22E42" w:rsidRDefault="005B744B" w:rsidP="00E22E42">
            <w:pPr>
              <w:pStyle w:val="TableText"/>
              <w:widowControl w:val="0"/>
              <w:rPr>
                <w:rStyle w:val="EndnoteReference"/>
                <w:rFonts w:cs="Tahoma"/>
                <w:b w:val="0"/>
                <w:color w:val="0000FF"/>
                <w:sz w:val="13"/>
                <w:szCs w:val="13"/>
                <w:u w:val="single"/>
              </w:rPr>
            </w:pPr>
            <w:hyperlink w:anchor="_18_Visio_Professional" w:history="1">
              <w:r w:rsidR="00316801" w:rsidRPr="00E22E42">
                <w:rPr>
                  <w:rStyle w:val="Hyperlink"/>
                  <w:rFonts w:cs="Tahoma"/>
                  <w:b/>
                  <w:sz w:val="13"/>
                  <w:szCs w:val="13"/>
                </w:rPr>
                <w:t>18</w:t>
              </w:r>
            </w:hyperlink>
          </w:p>
        </w:tc>
        <w:tc>
          <w:tcPr>
            <w:tcW w:w="429" w:type="dxa"/>
            <w:tcBorders>
              <w:bottom w:val="single" w:sz="4" w:space="0" w:color="auto"/>
            </w:tcBorders>
            <w:shd w:val="clear" w:color="auto" w:fill="auto"/>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5</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4</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r>
      <w:tr w:rsidR="00D55AB9" w:rsidRPr="004D10F1" w:rsidTr="000C5B59">
        <w:trPr>
          <w:cantSplit/>
          <w:trHeight w:val="145"/>
        </w:trPr>
        <w:tc>
          <w:tcPr>
            <w:tcW w:w="2638" w:type="dxa"/>
            <w:tcBorders>
              <w:bottom w:val="single" w:sz="4" w:space="0" w:color="auto"/>
            </w:tcBorders>
            <w:shd w:val="clear" w:color="auto" w:fill="FABF8F"/>
            <w:vAlign w:val="center"/>
          </w:tcPr>
          <w:p w:rsidR="00D55AB9" w:rsidRPr="004D10F1" w:rsidRDefault="00D55AB9" w:rsidP="004D10F1">
            <w:pPr>
              <w:pStyle w:val="Heading3"/>
              <w:spacing w:beforeLines="20" w:before="48" w:afterLines="20" w:after="48"/>
              <w:rPr>
                <w:rFonts w:ascii="Tahoma" w:hAnsi="Tahoma" w:cs="Tahoma"/>
                <w:b w:val="0"/>
                <w:sz w:val="14"/>
                <w:szCs w:val="14"/>
              </w:rPr>
            </w:pPr>
            <w:bookmarkStart w:id="95" w:name="_Toc336337887"/>
            <w:bookmarkStart w:id="96" w:name="_Toc363998640"/>
            <w:r w:rsidRPr="004D10F1">
              <w:rPr>
                <w:rFonts w:ascii="Tahoma" w:hAnsi="Tahoma" w:cs="Tahoma"/>
                <w:b w:val="0"/>
                <w:sz w:val="14"/>
                <w:szCs w:val="14"/>
              </w:rPr>
              <w:t>Visio</w:t>
            </w:r>
            <w:r w:rsidR="0069040B" w:rsidRPr="0069040B">
              <w:rPr>
                <w:rFonts w:ascii="Tahoma" w:hAnsi="Tahoma" w:cs="Tahoma"/>
                <w:b w:val="0"/>
                <w:sz w:val="14"/>
                <w:szCs w:val="14"/>
                <w:vertAlign w:val="superscript"/>
              </w:rPr>
              <w:t>®</w:t>
            </w:r>
            <w:r w:rsidRPr="004D10F1">
              <w:rPr>
                <w:rFonts w:ascii="Tahoma" w:hAnsi="Tahoma" w:cs="Tahoma"/>
                <w:b w:val="0"/>
                <w:sz w:val="14"/>
                <w:szCs w:val="14"/>
              </w:rPr>
              <w:t xml:space="preserve"> 2013 Standard</w:t>
            </w:r>
            <w:bookmarkEnd w:id="95"/>
            <w:bookmarkEnd w:id="96"/>
            <w:r w:rsidRPr="004D10F1">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rsidR="00D55AB9" w:rsidRPr="00E22E42" w:rsidRDefault="00D55AB9" w:rsidP="00E22E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r>
      <w:tr w:rsidR="00D55AB9" w:rsidRPr="004D10F1" w:rsidTr="000C5B59">
        <w:trPr>
          <w:cantSplit/>
          <w:trHeight w:val="145"/>
        </w:trPr>
        <w:tc>
          <w:tcPr>
            <w:tcW w:w="2638" w:type="dxa"/>
            <w:tcBorders>
              <w:bottom w:val="single" w:sz="4" w:space="0" w:color="auto"/>
            </w:tcBorders>
            <w:shd w:val="clear" w:color="auto" w:fill="auto"/>
            <w:vAlign w:val="center"/>
          </w:tcPr>
          <w:p w:rsidR="00D55AB9" w:rsidRPr="004D10F1" w:rsidRDefault="00D55AB9" w:rsidP="004D10F1">
            <w:pPr>
              <w:pStyle w:val="ProductNames"/>
              <w:spacing w:beforeLines="20" w:before="48" w:afterLines="20" w:after="48"/>
              <w:rPr>
                <w:rFonts w:ascii="Tahoma" w:hAnsi="Tahoma" w:cs="Tahoma"/>
                <w:sz w:val="14"/>
                <w:szCs w:val="14"/>
              </w:rPr>
            </w:pPr>
            <w:bookmarkStart w:id="97" w:name="_Toc363998641"/>
            <w:r w:rsidRPr="004D10F1">
              <w:rPr>
                <w:rFonts w:ascii="Tahoma" w:hAnsi="Tahoma" w:cs="Tahoma"/>
                <w:sz w:val="14"/>
                <w:szCs w:val="14"/>
              </w:rPr>
              <w:t>Visio Pro für Office 365</w:t>
            </w:r>
            <w:bookmarkEnd w:id="97"/>
          </w:p>
        </w:tc>
        <w:tc>
          <w:tcPr>
            <w:tcW w:w="429" w:type="dxa"/>
            <w:tcBorders>
              <w:bottom w:val="single" w:sz="4" w:space="0" w:color="auto"/>
            </w:tcBorders>
            <w:shd w:val="clear" w:color="auto" w:fill="auto"/>
            <w:vAlign w:val="center"/>
          </w:tcPr>
          <w:p w:rsidR="00D55AB9" w:rsidRPr="00E22E42" w:rsidRDefault="005B744B" w:rsidP="00E22E42">
            <w:pPr>
              <w:pStyle w:val="TableText"/>
              <w:widowControl w:val="0"/>
              <w:rPr>
                <w:rStyle w:val="EndnoteReference"/>
                <w:rFonts w:cs="Tahoma"/>
                <w:b w:val="0"/>
                <w:color w:val="0000FF"/>
                <w:sz w:val="13"/>
                <w:szCs w:val="13"/>
                <w:u w:val="single"/>
              </w:rPr>
            </w:pPr>
            <w:hyperlink w:anchor="_19_Visio_Pro" w:history="1">
              <w:r w:rsidR="00316801" w:rsidRPr="00E22E42">
                <w:rPr>
                  <w:rStyle w:val="Hyperlink"/>
                  <w:rFonts w:cs="Tahoma"/>
                  <w:b/>
                  <w:sz w:val="13"/>
                  <w:szCs w:val="13"/>
                </w:rPr>
                <w:t>19</w:t>
              </w:r>
            </w:hyperlink>
          </w:p>
        </w:tc>
        <w:tc>
          <w:tcPr>
            <w:tcW w:w="429" w:type="dxa"/>
            <w:tcBorders>
              <w:bottom w:val="single" w:sz="4" w:space="0" w:color="auto"/>
            </w:tcBorders>
            <w:shd w:val="clear" w:color="auto" w:fill="auto"/>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r>
      <w:tr w:rsidR="00D55AB9" w:rsidRPr="004D10F1" w:rsidTr="000C5B59">
        <w:trPr>
          <w:cantSplit/>
          <w:trHeight w:val="145"/>
        </w:trPr>
        <w:tc>
          <w:tcPr>
            <w:tcW w:w="2638" w:type="dxa"/>
            <w:tcBorders>
              <w:bottom w:val="single" w:sz="4" w:space="0" w:color="auto"/>
            </w:tcBorders>
            <w:shd w:val="clear" w:color="auto" w:fill="FABF8F"/>
            <w:vAlign w:val="center"/>
          </w:tcPr>
          <w:p w:rsidR="00D55AB9" w:rsidRPr="004D10F1" w:rsidRDefault="00D55AB9" w:rsidP="004D10F1">
            <w:pPr>
              <w:pStyle w:val="ProductNames"/>
              <w:spacing w:beforeLines="20" w:before="48" w:afterLines="20" w:after="48"/>
              <w:rPr>
                <w:rFonts w:ascii="Tahoma" w:hAnsi="Tahoma" w:cs="Tahoma"/>
                <w:sz w:val="14"/>
                <w:szCs w:val="14"/>
                <w:lang w:val="it-IT"/>
              </w:rPr>
            </w:pPr>
            <w:bookmarkStart w:id="98" w:name="_Toc363998642"/>
            <w:r w:rsidRPr="004D10F1">
              <w:rPr>
                <w:rFonts w:ascii="Tahoma" w:hAnsi="Tahoma" w:cs="Tahoma"/>
                <w:sz w:val="14"/>
                <w:szCs w:val="14"/>
                <w:lang w:val="it-IT"/>
              </w:rPr>
              <w:t>Visio Pro für Office 365 A</w:t>
            </w:r>
            <w:bookmarkEnd w:id="98"/>
          </w:p>
        </w:tc>
        <w:tc>
          <w:tcPr>
            <w:tcW w:w="429" w:type="dxa"/>
            <w:tcBorders>
              <w:bottom w:val="single" w:sz="4" w:space="0" w:color="auto"/>
            </w:tcBorders>
            <w:shd w:val="clear" w:color="auto" w:fill="FABF8F"/>
            <w:vAlign w:val="center"/>
          </w:tcPr>
          <w:p w:rsidR="00D55AB9" w:rsidRPr="00E22E42" w:rsidRDefault="00D55AB9" w:rsidP="00E22E42">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FABF8F"/>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 ST (nur EES)</w:t>
            </w: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r>
      <w:tr w:rsidR="00D55AB9" w:rsidRPr="004D10F1" w:rsidTr="000C5B59">
        <w:trPr>
          <w:cantSplit/>
          <w:trHeight w:val="145"/>
        </w:trPr>
        <w:tc>
          <w:tcPr>
            <w:tcW w:w="2638" w:type="dxa"/>
            <w:tcBorders>
              <w:bottom w:val="single" w:sz="4" w:space="0" w:color="auto"/>
            </w:tcBorders>
            <w:shd w:val="clear" w:color="auto" w:fill="auto"/>
            <w:vAlign w:val="center"/>
          </w:tcPr>
          <w:p w:rsidR="00D55AB9" w:rsidRPr="004D10F1" w:rsidRDefault="00D55AB9" w:rsidP="004D10F1">
            <w:pPr>
              <w:pStyle w:val="ProductNames"/>
              <w:spacing w:beforeLines="20" w:before="48" w:afterLines="20" w:after="48"/>
              <w:rPr>
                <w:rFonts w:ascii="Tahoma" w:hAnsi="Tahoma" w:cs="Tahoma"/>
                <w:sz w:val="14"/>
                <w:szCs w:val="14"/>
              </w:rPr>
            </w:pPr>
            <w:bookmarkStart w:id="99" w:name="_Toc336337889"/>
            <w:bookmarkStart w:id="100" w:name="_Toc363998643"/>
            <w:r w:rsidRPr="004D10F1">
              <w:rPr>
                <w:rFonts w:ascii="Tahoma" w:hAnsi="Tahoma" w:cs="Tahoma"/>
                <w:sz w:val="14"/>
                <w:szCs w:val="14"/>
              </w:rPr>
              <w:t>Visual Studio</w:t>
            </w:r>
            <w:r w:rsidR="0069040B" w:rsidRPr="0069040B">
              <w:rPr>
                <w:rFonts w:ascii="Tahoma" w:hAnsi="Tahoma" w:cs="Tahoma"/>
                <w:sz w:val="14"/>
                <w:szCs w:val="14"/>
                <w:vertAlign w:val="superscript"/>
              </w:rPr>
              <w:t>®</w:t>
            </w:r>
            <w:r w:rsidRPr="004D10F1">
              <w:rPr>
                <w:rFonts w:ascii="Tahoma" w:hAnsi="Tahoma" w:cs="Tahoma"/>
                <w:sz w:val="14"/>
                <w:szCs w:val="14"/>
              </w:rPr>
              <w:t xml:space="preserve"> Professional 2012</w:t>
            </w:r>
            <w:bookmarkEnd w:id="99"/>
            <w:bookmarkEnd w:id="100"/>
          </w:p>
        </w:tc>
        <w:tc>
          <w:tcPr>
            <w:tcW w:w="429" w:type="dxa"/>
            <w:tcBorders>
              <w:bottom w:val="single" w:sz="4" w:space="0" w:color="auto"/>
            </w:tcBorders>
            <w:shd w:val="clear" w:color="auto" w:fill="auto"/>
            <w:vAlign w:val="center"/>
          </w:tcPr>
          <w:p w:rsidR="00D55AB9" w:rsidRPr="00E22E42" w:rsidRDefault="005B744B" w:rsidP="00E22E42">
            <w:pPr>
              <w:pStyle w:val="TableText"/>
              <w:widowControl w:val="0"/>
              <w:rPr>
                <w:rFonts w:cs="Tahoma"/>
                <w:b/>
                <w:color w:val="0000FF"/>
                <w:sz w:val="13"/>
                <w:szCs w:val="13"/>
                <w:u w:val="single"/>
              </w:rPr>
            </w:pPr>
            <w:hyperlink w:anchor="_19_Visual_Studio" w:history="1">
              <w:r w:rsidR="00316801" w:rsidRPr="00E22E42">
                <w:rPr>
                  <w:rStyle w:val="Hyperlink"/>
                  <w:rFonts w:cs="Tahoma"/>
                  <w:b/>
                  <w:sz w:val="13"/>
                  <w:szCs w:val="13"/>
                </w:rPr>
                <w:t>20</w:t>
              </w:r>
            </w:hyperlink>
          </w:p>
        </w:tc>
        <w:tc>
          <w:tcPr>
            <w:tcW w:w="429" w:type="dxa"/>
            <w:tcBorders>
              <w:bottom w:val="single" w:sz="4" w:space="0" w:color="auto"/>
            </w:tcBorders>
            <w:shd w:val="clear" w:color="auto" w:fill="auto"/>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r>
      <w:tr w:rsidR="00D55AB9" w:rsidRPr="004D10F1" w:rsidTr="000C5B59">
        <w:trPr>
          <w:cantSplit/>
          <w:trHeight w:val="145"/>
        </w:trPr>
        <w:tc>
          <w:tcPr>
            <w:tcW w:w="2638" w:type="dxa"/>
            <w:tcBorders>
              <w:bottom w:val="single" w:sz="4" w:space="0" w:color="auto"/>
            </w:tcBorders>
            <w:shd w:val="clear" w:color="auto" w:fill="FABF8F"/>
            <w:vAlign w:val="center"/>
          </w:tcPr>
          <w:p w:rsidR="00D55AB9" w:rsidRPr="004D10F1" w:rsidRDefault="00D55AB9" w:rsidP="005A76F9">
            <w:pPr>
              <w:pStyle w:val="ProductNames"/>
              <w:spacing w:beforeLines="20" w:before="48" w:afterLines="20" w:after="48"/>
              <w:rPr>
                <w:rFonts w:ascii="Tahoma" w:hAnsi="Tahoma" w:cs="Tahoma"/>
                <w:sz w:val="14"/>
                <w:szCs w:val="14"/>
              </w:rPr>
            </w:pPr>
            <w:bookmarkStart w:id="101" w:name="_Toc336337890"/>
            <w:bookmarkStart w:id="102" w:name="_Toc363998644"/>
            <w:r w:rsidRPr="004D10F1">
              <w:rPr>
                <w:rFonts w:ascii="Tahoma" w:hAnsi="Tahoma" w:cs="Tahoma"/>
                <w:sz w:val="14"/>
                <w:szCs w:val="14"/>
              </w:rPr>
              <w:t>Visual Studio</w:t>
            </w:r>
            <w:r w:rsidR="0069040B" w:rsidRPr="0069040B">
              <w:rPr>
                <w:rFonts w:ascii="Tahoma" w:hAnsi="Tahoma" w:cs="Tahoma"/>
                <w:sz w:val="14"/>
                <w:szCs w:val="14"/>
                <w:vertAlign w:val="superscript"/>
              </w:rPr>
              <w:t>®</w:t>
            </w:r>
            <w:r w:rsidRPr="004D10F1">
              <w:rPr>
                <w:rFonts w:ascii="Tahoma" w:hAnsi="Tahoma" w:cs="Tahoma"/>
                <w:sz w:val="14"/>
                <w:szCs w:val="14"/>
              </w:rPr>
              <w:t xml:space="preserve"> Professional 2012 mit</w:t>
            </w:r>
            <w:r w:rsidR="005A76F9">
              <w:rPr>
                <w:rFonts w:ascii="Tahoma" w:hAnsi="Tahoma" w:cs="Tahoma"/>
                <w:sz w:val="14"/>
                <w:szCs w:val="14"/>
              </w:rPr>
              <w:t> </w:t>
            </w:r>
            <w:r w:rsidRPr="004D10F1">
              <w:rPr>
                <w:rFonts w:ascii="Tahoma" w:hAnsi="Tahoma" w:cs="Tahoma"/>
                <w:sz w:val="14"/>
                <w:szCs w:val="14"/>
              </w:rPr>
              <w:t>MSDN</w:t>
            </w:r>
            <w:bookmarkEnd w:id="101"/>
            <w:bookmarkEnd w:id="102"/>
            <w:r w:rsidRPr="004D10F1">
              <w:rPr>
                <w:rFonts w:ascii="Tahoma" w:hAnsi="Tahoma" w:cs="Tahoma"/>
                <w:sz w:val="14"/>
                <w:szCs w:val="14"/>
              </w:rPr>
              <w:t xml:space="preserve"> </w:t>
            </w:r>
          </w:p>
        </w:tc>
        <w:tc>
          <w:tcPr>
            <w:tcW w:w="429" w:type="dxa"/>
            <w:tcBorders>
              <w:bottom w:val="single" w:sz="4" w:space="0" w:color="auto"/>
            </w:tcBorders>
            <w:shd w:val="clear" w:color="auto" w:fill="FABF8F"/>
            <w:vAlign w:val="center"/>
          </w:tcPr>
          <w:p w:rsidR="00D55AB9" w:rsidRPr="00E22E42" w:rsidRDefault="005B744B" w:rsidP="00E22E42">
            <w:pPr>
              <w:pStyle w:val="TableText"/>
              <w:widowControl w:val="0"/>
              <w:rPr>
                <w:rStyle w:val="EndnoteReference"/>
                <w:rFonts w:cs="Tahoma"/>
                <w:b w:val="0"/>
                <w:color w:val="0000FF"/>
                <w:sz w:val="13"/>
                <w:szCs w:val="13"/>
                <w:u w:val="single"/>
              </w:rPr>
            </w:pPr>
            <w:hyperlink w:anchor="_20_Visual_Studio" w:history="1">
              <w:r w:rsidR="00316801" w:rsidRPr="00E22E42">
                <w:rPr>
                  <w:rStyle w:val="Hyperlink"/>
                  <w:rFonts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w:t>
            </w: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rPr>
            </w:pPr>
            <w:r w:rsidRPr="004D10F1">
              <w:rPr>
                <w:rFonts w:ascii="Tahoma" w:hAnsi="Tahoma" w:cs="Tahoma"/>
                <w:sz w:val="13"/>
              </w:rPr>
              <w:t>OL/SA/</w:t>
            </w:r>
          </w:p>
          <w:p w:rsidR="00D55AB9" w:rsidRPr="004D10F1" w:rsidRDefault="00D55AB9" w:rsidP="000C5B59">
            <w:pPr>
              <w:pStyle w:val="TableText"/>
              <w:rPr>
                <w:rFonts w:ascii="Tahoma" w:hAnsi="Tahoma" w:cs="Tahoma"/>
                <w:sz w:val="13"/>
              </w:rPr>
            </w:pPr>
            <w:r w:rsidRPr="004D10F1">
              <w:rPr>
                <w:rFonts w:ascii="Tahoma" w:hAnsi="Tahoma" w:cs="Tahoma"/>
                <w:sz w:val="13"/>
              </w:rPr>
              <w:t>OV</w:t>
            </w:r>
          </w:p>
        </w:tc>
      </w:tr>
      <w:tr w:rsidR="00D55AB9" w:rsidRPr="004D10F1" w:rsidTr="000C5B59">
        <w:trPr>
          <w:cantSplit/>
          <w:trHeight w:val="145"/>
        </w:trPr>
        <w:tc>
          <w:tcPr>
            <w:tcW w:w="2638" w:type="dxa"/>
            <w:tcBorders>
              <w:bottom w:val="single" w:sz="4" w:space="0" w:color="auto"/>
            </w:tcBorders>
            <w:shd w:val="clear" w:color="auto" w:fill="auto"/>
            <w:vAlign w:val="center"/>
          </w:tcPr>
          <w:p w:rsidR="00D55AB9" w:rsidRPr="004D10F1" w:rsidRDefault="00D55AB9" w:rsidP="004D10F1">
            <w:pPr>
              <w:pStyle w:val="Heading2"/>
              <w:spacing w:beforeLines="20" w:before="48" w:afterLines="20" w:after="48"/>
              <w:ind w:left="0"/>
              <w:rPr>
                <w:rFonts w:ascii="Tahoma" w:hAnsi="Tahoma" w:cs="Tahoma"/>
                <w:b w:val="0"/>
                <w:sz w:val="14"/>
                <w:szCs w:val="14"/>
              </w:rPr>
            </w:pPr>
            <w:bookmarkStart w:id="103" w:name="_Toc336337891"/>
            <w:bookmarkStart w:id="104" w:name="_Toc363998645"/>
            <w:r w:rsidRPr="004D10F1">
              <w:rPr>
                <w:rFonts w:ascii="Tahoma" w:hAnsi="Tahoma" w:cs="Tahoma"/>
                <w:b w:val="0"/>
                <w:sz w:val="14"/>
                <w:szCs w:val="14"/>
              </w:rPr>
              <w:t>Visual Studio</w:t>
            </w:r>
            <w:r w:rsidR="0069040B" w:rsidRPr="0069040B">
              <w:rPr>
                <w:rFonts w:ascii="Tahoma" w:hAnsi="Tahoma" w:cs="Tahoma"/>
                <w:sz w:val="14"/>
                <w:szCs w:val="14"/>
                <w:vertAlign w:val="superscript"/>
              </w:rPr>
              <w:t>®</w:t>
            </w:r>
            <w:r w:rsidRPr="004D10F1">
              <w:rPr>
                <w:rFonts w:ascii="Tahoma" w:hAnsi="Tahoma" w:cs="Tahoma"/>
                <w:b w:val="0"/>
                <w:sz w:val="14"/>
                <w:szCs w:val="14"/>
              </w:rPr>
              <w:t xml:space="preserve"> Premium 2012 mit MSDN</w:t>
            </w:r>
            <w:bookmarkEnd w:id="103"/>
            <w:bookmarkEnd w:id="104"/>
          </w:p>
        </w:tc>
        <w:tc>
          <w:tcPr>
            <w:tcW w:w="429" w:type="dxa"/>
            <w:tcBorders>
              <w:bottom w:val="single" w:sz="4" w:space="0" w:color="auto"/>
            </w:tcBorders>
            <w:shd w:val="clear" w:color="auto" w:fill="auto"/>
            <w:vAlign w:val="center"/>
          </w:tcPr>
          <w:p w:rsidR="00D55AB9" w:rsidRPr="00E22E42" w:rsidRDefault="005B744B" w:rsidP="00E22E42">
            <w:pPr>
              <w:pStyle w:val="TableText"/>
              <w:widowControl w:val="0"/>
              <w:rPr>
                <w:rFonts w:cs="Tahoma"/>
                <w:b/>
                <w:sz w:val="13"/>
                <w:szCs w:val="13"/>
                <w:u w:val="single"/>
              </w:rPr>
            </w:pPr>
            <w:hyperlink w:anchor="_21_Visual_Studio" w:history="1">
              <w:r w:rsidR="00316801" w:rsidRPr="00E22E42">
                <w:rPr>
                  <w:rStyle w:val="Hyperlink"/>
                  <w:rFonts w:cs="Tahoma"/>
                  <w:b/>
                  <w:sz w:val="13"/>
                  <w:szCs w:val="13"/>
                </w:rPr>
                <w:t>22</w:t>
              </w:r>
            </w:hyperlink>
          </w:p>
        </w:tc>
        <w:tc>
          <w:tcPr>
            <w:tcW w:w="429" w:type="dxa"/>
            <w:tcBorders>
              <w:bottom w:val="single" w:sz="4" w:space="0" w:color="auto"/>
            </w:tcBorders>
            <w:shd w:val="clear" w:color="auto" w:fill="auto"/>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40</w:t>
            </w: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32</w:t>
            </w: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24</w:t>
            </w: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24</w:t>
            </w: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w:t>
            </w: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rPr>
            </w:pPr>
            <w:r w:rsidRPr="004D10F1">
              <w:rPr>
                <w:rFonts w:ascii="Tahoma" w:hAnsi="Tahoma" w:cs="Tahoma"/>
                <w:sz w:val="13"/>
              </w:rPr>
              <w:t>OL/SA/</w:t>
            </w:r>
          </w:p>
          <w:p w:rsidR="00D55AB9" w:rsidRPr="004D10F1" w:rsidRDefault="00D55AB9" w:rsidP="000C5B59">
            <w:pPr>
              <w:pStyle w:val="TableText"/>
              <w:rPr>
                <w:rFonts w:ascii="Tahoma" w:hAnsi="Tahoma" w:cs="Tahoma"/>
                <w:sz w:val="13"/>
              </w:rPr>
            </w:pPr>
            <w:r w:rsidRPr="004D10F1">
              <w:rPr>
                <w:rFonts w:ascii="Tahoma" w:hAnsi="Tahoma" w:cs="Tahoma"/>
                <w:sz w:val="13"/>
              </w:rPr>
              <w:t>OV</w:t>
            </w:r>
          </w:p>
        </w:tc>
      </w:tr>
      <w:tr w:rsidR="00D55AB9" w:rsidRPr="004D10F1" w:rsidTr="000C5B59">
        <w:trPr>
          <w:cantSplit/>
          <w:trHeight w:val="145"/>
        </w:trPr>
        <w:tc>
          <w:tcPr>
            <w:tcW w:w="2638" w:type="dxa"/>
            <w:tcBorders>
              <w:bottom w:val="single" w:sz="4" w:space="0" w:color="auto"/>
            </w:tcBorders>
            <w:shd w:val="clear" w:color="auto" w:fill="FABF8F"/>
            <w:vAlign w:val="center"/>
          </w:tcPr>
          <w:p w:rsidR="00D55AB9" w:rsidRPr="004D10F1" w:rsidRDefault="00D55AB9" w:rsidP="004D10F1">
            <w:pPr>
              <w:pStyle w:val="Heading2"/>
              <w:spacing w:beforeLines="20" w:before="48" w:afterLines="20" w:after="48"/>
              <w:ind w:left="0"/>
              <w:rPr>
                <w:rFonts w:ascii="Tahoma" w:hAnsi="Tahoma" w:cs="Tahoma"/>
                <w:b w:val="0"/>
                <w:sz w:val="14"/>
                <w:szCs w:val="14"/>
              </w:rPr>
            </w:pPr>
            <w:bookmarkStart w:id="105" w:name="_Toc336337892"/>
            <w:bookmarkStart w:id="106" w:name="_Toc363998646"/>
            <w:r w:rsidRPr="004D10F1">
              <w:rPr>
                <w:rFonts w:ascii="Tahoma" w:hAnsi="Tahoma" w:cs="Tahoma"/>
                <w:b w:val="0"/>
                <w:sz w:val="14"/>
                <w:szCs w:val="14"/>
              </w:rPr>
              <w:t>Visual Studio</w:t>
            </w:r>
            <w:r w:rsidR="0069040B" w:rsidRPr="0069040B">
              <w:rPr>
                <w:rFonts w:ascii="Tahoma" w:hAnsi="Tahoma" w:cs="Tahoma"/>
                <w:sz w:val="14"/>
                <w:szCs w:val="14"/>
                <w:vertAlign w:val="superscript"/>
              </w:rPr>
              <w:t>®</w:t>
            </w:r>
            <w:r w:rsidRPr="004D10F1">
              <w:rPr>
                <w:rFonts w:ascii="Tahoma" w:hAnsi="Tahoma" w:cs="Tahoma"/>
                <w:b w:val="0"/>
                <w:sz w:val="14"/>
                <w:szCs w:val="14"/>
              </w:rPr>
              <w:t xml:space="preserve"> Ultimate 2012 mit MSDN</w:t>
            </w:r>
            <w:bookmarkEnd w:id="105"/>
            <w:bookmarkEnd w:id="106"/>
          </w:p>
        </w:tc>
        <w:tc>
          <w:tcPr>
            <w:tcW w:w="429" w:type="dxa"/>
            <w:tcBorders>
              <w:bottom w:val="single" w:sz="4" w:space="0" w:color="auto"/>
            </w:tcBorders>
            <w:shd w:val="clear" w:color="auto" w:fill="FABF8F"/>
            <w:vAlign w:val="center"/>
          </w:tcPr>
          <w:p w:rsidR="00D55AB9" w:rsidRPr="00E22E42" w:rsidRDefault="005B744B" w:rsidP="00E22E42">
            <w:pPr>
              <w:pStyle w:val="TableText"/>
              <w:widowControl w:val="0"/>
              <w:rPr>
                <w:rFonts w:cs="Tahoma"/>
                <w:b/>
                <w:sz w:val="13"/>
                <w:szCs w:val="13"/>
                <w:u w:val="single"/>
              </w:rPr>
            </w:pPr>
            <w:hyperlink w:anchor="_21_Visual_Studio" w:history="1">
              <w:r w:rsidR="00316801" w:rsidRPr="00E22E42">
                <w:rPr>
                  <w:rStyle w:val="Hyperlink"/>
                  <w:rFonts w:cs="Tahoma"/>
                  <w:b/>
                  <w:sz w:val="13"/>
                  <w:szCs w:val="13"/>
                </w:rPr>
                <w:t>23</w:t>
              </w:r>
            </w:hyperlink>
          </w:p>
        </w:tc>
        <w:tc>
          <w:tcPr>
            <w:tcW w:w="429" w:type="dxa"/>
            <w:tcBorders>
              <w:bottom w:val="single" w:sz="4" w:space="0" w:color="auto"/>
            </w:tcBorders>
            <w:shd w:val="clear" w:color="auto" w:fill="FABF8F"/>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85</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68</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51</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51</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w:t>
            </w: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rPr>
            </w:pPr>
            <w:r w:rsidRPr="004D10F1">
              <w:rPr>
                <w:rFonts w:ascii="Tahoma" w:hAnsi="Tahoma" w:cs="Tahoma"/>
                <w:sz w:val="13"/>
              </w:rPr>
              <w:t>OL/SA/</w:t>
            </w:r>
          </w:p>
          <w:p w:rsidR="00D55AB9" w:rsidRPr="004D10F1" w:rsidRDefault="00D55AB9" w:rsidP="000C5B59">
            <w:pPr>
              <w:pStyle w:val="TableText"/>
              <w:rPr>
                <w:rFonts w:ascii="Tahoma" w:hAnsi="Tahoma" w:cs="Tahoma"/>
                <w:sz w:val="13"/>
              </w:rPr>
            </w:pPr>
            <w:r w:rsidRPr="004D10F1">
              <w:rPr>
                <w:rFonts w:ascii="Tahoma" w:hAnsi="Tahoma" w:cs="Tahoma"/>
                <w:sz w:val="13"/>
              </w:rPr>
              <w:t>OV</w:t>
            </w:r>
          </w:p>
        </w:tc>
      </w:tr>
      <w:tr w:rsidR="00D55AB9" w:rsidRPr="004D10F1" w:rsidTr="000C5B59">
        <w:trPr>
          <w:cantSplit/>
          <w:trHeight w:val="145"/>
        </w:trPr>
        <w:tc>
          <w:tcPr>
            <w:tcW w:w="2638" w:type="dxa"/>
            <w:tcBorders>
              <w:bottom w:val="single" w:sz="4" w:space="0" w:color="auto"/>
            </w:tcBorders>
            <w:shd w:val="clear" w:color="auto" w:fill="auto"/>
            <w:vAlign w:val="center"/>
          </w:tcPr>
          <w:p w:rsidR="00D55AB9" w:rsidRPr="004D10F1" w:rsidRDefault="00D55AB9" w:rsidP="005A76F9">
            <w:pPr>
              <w:pStyle w:val="Heading2"/>
              <w:spacing w:beforeLines="20" w:before="48" w:afterLines="20" w:after="48"/>
              <w:ind w:left="0"/>
              <w:rPr>
                <w:rFonts w:ascii="Tahoma" w:hAnsi="Tahoma" w:cs="Tahoma"/>
                <w:b w:val="0"/>
                <w:sz w:val="14"/>
                <w:szCs w:val="14"/>
              </w:rPr>
            </w:pPr>
            <w:bookmarkStart w:id="107" w:name="_Toc336337893"/>
            <w:bookmarkStart w:id="108" w:name="_Toc363998647"/>
            <w:r w:rsidRPr="004D10F1">
              <w:rPr>
                <w:rFonts w:ascii="Tahoma" w:hAnsi="Tahoma" w:cs="Tahoma"/>
                <w:b w:val="0"/>
                <w:sz w:val="14"/>
                <w:szCs w:val="14"/>
              </w:rPr>
              <w:t>Visual Studio</w:t>
            </w:r>
            <w:r w:rsidR="0069040B" w:rsidRPr="0069040B">
              <w:rPr>
                <w:rFonts w:ascii="Tahoma" w:hAnsi="Tahoma" w:cs="Tahoma"/>
                <w:sz w:val="14"/>
                <w:szCs w:val="14"/>
                <w:vertAlign w:val="superscript"/>
              </w:rPr>
              <w:t>®</w:t>
            </w:r>
            <w:r w:rsidRPr="004D10F1">
              <w:rPr>
                <w:rFonts w:ascii="Tahoma" w:hAnsi="Tahoma" w:cs="Tahoma"/>
                <w:b w:val="0"/>
                <w:sz w:val="14"/>
                <w:szCs w:val="14"/>
              </w:rPr>
              <w:t xml:space="preserve"> Test Professional 2012 mit</w:t>
            </w:r>
            <w:r w:rsidR="005A76F9">
              <w:rPr>
                <w:rFonts w:ascii="Tahoma" w:hAnsi="Tahoma" w:cs="Tahoma"/>
                <w:b w:val="0"/>
                <w:sz w:val="14"/>
                <w:szCs w:val="14"/>
              </w:rPr>
              <w:t> </w:t>
            </w:r>
            <w:r w:rsidRPr="004D10F1">
              <w:rPr>
                <w:rFonts w:ascii="Tahoma" w:hAnsi="Tahoma" w:cs="Tahoma"/>
                <w:b w:val="0"/>
                <w:sz w:val="14"/>
                <w:szCs w:val="14"/>
              </w:rPr>
              <w:t>MSDN</w:t>
            </w:r>
            <w:bookmarkEnd w:id="107"/>
            <w:bookmarkEnd w:id="108"/>
          </w:p>
        </w:tc>
        <w:tc>
          <w:tcPr>
            <w:tcW w:w="429" w:type="dxa"/>
            <w:tcBorders>
              <w:bottom w:val="single" w:sz="4" w:space="0" w:color="auto"/>
            </w:tcBorders>
            <w:shd w:val="clear" w:color="auto" w:fill="auto"/>
            <w:vAlign w:val="center"/>
          </w:tcPr>
          <w:p w:rsidR="00D55AB9" w:rsidRPr="00E22E42" w:rsidRDefault="005B744B" w:rsidP="00E22E42">
            <w:pPr>
              <w:pStyle w:val="TableText"/>
              <w:widowControl w:val="0"/>
              <w:rPr>
                <w:rFonts w:cs="Tahoma"/>
                <w:b/>
                <w:sz w:val="13"/>
                <w:szCs w:val="13"/>
                <w:u w:val="single"/>
              </w:rPr>
            </w:pPr>
            <w:hyperlink w:anchor="_24_Visual_Studio" w:history="1">
              <w:r w:rsidR="00316801" w:rsidRPr="00E22E42">
                <w:rPr>
                  <w:rStyle w:val="Hyperlink"/>
                  <w:rFonts w:cs="Tahoma"/>
                  <w:b/>
                  <w:sz w:val="13"/>
                  <w:szCs w:val="13"/>
                </w:rPr>
                <w:t>24</w:t>
              </w:r>
            </w:hyperlink>
          </w:p>
        </w:tc>
        <w:tc>
          <w:tcPr>
            <w:tcW w:w="429" w:type="dxa"/>
            <w:tcBorders>
              <w:bottom w:val="single" w:sz="4" w:space="0" w:color="auto"/>
            </w:tcBorders>
            <w:shd w:val="clear" w:color="auto" w:fill="auto"/>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15</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12</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9</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9</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A</w:t>
            </w: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rPr>
            </w:pPr>
            <w:r w:rsidRPr="004D10F1">
              <w:rPr>
                <w:rFonts w:ascii="Tahoma" w:hAnsi="Tahoma" w:cs="Tahoma"/>
                <w:sz w:val="13"/>
              </w:rPr>
              <w:t>OL/SA/</w:t>
            </w:r>
          </w:p>
          <w:p w:rsidR="00D55AB9" w:rsidRPr="004D10F1" w:rsidRDefault="00D55AB9" w:rsidP="000C5B59">
            <w:pPr>
              <w:pStyle w:val="TableText"/>
              <w:rPr>
                <w:rFonts w:ascii="Tahoma" w:hAnsi="Tahoma" w:cs="Tahoma"/>
                <w:sz w:val="13"/>
              </w:rPr>
            </w:pPr>
            <w:r w:rsidRPr="004D10F1">
              <w:rPr>
                <w:rFonts w:ascii="Tahoma" w:hAnsi="Tahoma" w:cs="Tahoma"/>
                <w:sz w:val="13"/>
              </w:rPr>
              <w:t>OV</w:t>
            </w:r>
          </w:p>
        </w:tc>
      </w:tr>
      <w:tr w:rsidR="00D55AB9" w:rsidRPr="004D10F1" w:rsidTr="000C5B59">
        <w:trPr>
          <w:cantSplit/>
          <w:trHeight w:val="70"/>
        </w:trPr>
        <w:tc>
          <w:tcPr>
            <w:tcW w:w="2638" w:type="dxa"/>
            <w:tcBorders>
              <w:bottom w:val="single" w:sz="4" w:space="0" w:color="auto"/>
            </w:tcBorders>
            <w:shd w:val="clear" w:color="auto" w:fill="FABF8F"/>
            <w:vAlign w:val="center"/>
          </w:tcPr>
          <w:p w:rsidR="00D55AB9" w:rsidRPr="004D10F1" w:rsidRDefault="00D55AB9" w:rsidP="004D10F1">
            <w:pPr>
              <w:pStyle w:val="Heading2"/>
              <w:spacing w:beforeLines="20" w:before="48" w:afterLines="20" w:after="48"/>
              <w:ind w:left="0"/>
              <w:rPr>
                <w:rFonts w:ascii="Tahoma" w:hAnsi="Tahoma" w:cs="Tahoma"/>
                <w:b w:val="0"/>
                <w:sz w:val="14"/>
                <w:szCs w:val="14"/>
              </w:rPr>
            </w:pPr>
            <w:bookmarkStart w:id="109" w:name="_Toc336337894"/>
            <w:bookmarkStart w:id="110" w:name="_Toc363998648"/>
            <w:r w:rsidRPr="004D10F1">
              <w:rPr>
                <w:rFonts w:ascii="Tahoma" w:hAnsi="Tahoma" w:cs="Tahoma"/>
                <w:b w:val="0"/>
                <w:sz w:val="14"/>
                <w:szCs w:val="14"/>
              </w:rPr>
              <w:t xml:space="preserve">Word </w:t>
            </w:r>
            <w:bookmarkEnd w:id="109"/>
            <w:r w:rsidRPr="004D10F1">
              <w:rPr>
                <w:rFonts w:ascii="Tahoma" w:hAnsi="Tahoma" w:cs="Tahoma"/>
                <w:b w:val="0"/>
                <w:sz w:val="14"/>
                <w:szCs w:val="14"/>
              </w:rPr>
              <w:t>2013</w:t>
            </w:r>
            <w:bookmarkEnd w:id="110"/>
          </w:p>
        </w:tc>
        <w:tc>
          <w:tcPr>
            <w:tcW w:w="429" w:type="dxa"/>
            <w:tcBorders>
              <w:bottom w:val="single" w:sz="4" w:space="0" w:color="auto"/>
            </w:tcBorders>
            <w:shd w:val="clear" w:color="auto" w:fill="FABF8F"/>
            <w:vAlign w:val="center"/>
          </w:tcPr>
          <w:p w:rsidR="00D55AB9" w:rsidRPr="00E22E42" w:rsidRDefault="00D55AB9" w:rsidP="00E22E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D10F1" w:rsidRDefault="00D55AB9" w:rsidP="000C5B59">
            <w:pPr>
              <w:pStyle w:val="TableText"/>
              <w:rPr>
                <w:rFonts w:ascii="Tahoma" w:hAnsi="Tahoma" w:cs="Tahoma"/>
                <w:sz w:val="13"/>
              </w:rPr>
            </w:pPr>
          </w:p>
        </w:tc>
      </w:tr>
      <w:tr w:rsidR="00D55AB9" w:rsidRPr="004D10F1" w:rsidTr="000C5B59">
        <w:trPr>
          <w:cantSplit/>
          <w:trHeight w:val="323"/>
        </w:trPr>
        <w:tc>
          <w:tcPr>
            <w:tcW w:w="2638" w:type="dxa"/>
            <w:tcBorders>
              <w:bottom w:val="single" w:sz="4" w:space="0" w:color="auto"/>
            </w:tcBorders>
            <w:shd w:val="clear" w:color="auto" w:fill="auto"/>
            <w:vAlign w:val="center"/>
          </w:tcPr>
          <w:p w:rsidR="00D55AB9" w:rsidRPr="004D10F1" w:rsidRDefault="00D55AB9" w:rsidP="004D10F1">
            <w:pPr>
              <w:pStyle w:val="Heading2"/>
              <w:spacing w:beforeLines="20" w:before="48" w:afterLines="20" w:after="48"/>
              <w:ind w:left="0"/>
              <w:rPr>
                <w:rFonts w:ascii="Tahoma" w:hAnsi="Tahoma" w:cs="Tahoma"/>
                <w:b w:val="0"/>
                <w:sz w:val="14"/>
                <w:szCs w:val="14"/>
              </w:rPr>
            </w:pPr>
            <w:bookmarkStart w:id="111" w:name="_Toc336337895"/>
            <w:bookmarkStart w:id="112" w:name="_Toc363998649"/>
            <w:r w:rsidRPr="004D10F1">
              <w:rPr>
                <w:rFonts w:ascii="Tahoma" w:hAnsi="Tahoma" w:cs="Tahoma"/>
                <w:b w:val="0"/>
                <w:sz w:val="14"/>
                <w:szCs w:val="14"/>
              </w:rPr>
              <w:t>Word für Mac 2011</w:t>
            </w:r>
            <w:bookmarkEnd w:id="111"/>
            <w:bookmarkEnd w:id="112"/>
          </w:p>
        </w:tc>
        <w:tc>
          <w:tcPr>
            <w:tcW w:w="429" w:type="dxa"/>
            <w:tcBorders>
              <w:bottom w:val="single" w:sz="4" w:space="0" w:color="auto"/>
            </w:tcBorders>
            <w:shd w:val="clear" w:color="auto" w:fill="auto"/>
            <w:vAlign w:val="center"/>
          </w:tcPr>
          <w:p w:rsidR="00D55AB9" w:rsidRPr="00E22E42" w:rsidRDefault="00D55AB9" w:rsidP="00E22E42">
            <w:pPr>
              <w:pStyle w:val="TableText"/>
              <w:widowControl w:val="0"/>
              <w:rPr>
                <w:rStyle w:val="EndnoteReference"/>
                <w:rFonts w:cs="Tahoma"/>
                <w:color w:val="0000FF"/>
                <w:sz w:val="13"/>
                <w:szCs w:val="13"/>
              </w:rPr>
            </w:pPr>
          </w:p>
        </w:tc>
        <w:tc>
          <w:tcPr>
            <w:tcW w:w="429" w:type="dxa"/>
            <w:tcBorders>
              <w:bottom w:val="single" w:sz="4" w:space="0" w:color="auto"/>
            </w:tcBorders>
            <w:shd w:val="clear" w:color="auto" w:fill="auto"/>
            <w:vAlign w:val="center"/>
          </w:tcPr>
          <w:p w:rsidR="00D55AB9" w:rsidRPr="004D10F1" w:rsidRDefault="00D55AB9" w:rsidP="000C5B59">
            <w:pPr>
              <w:pStyle w:val="TableText"/>
              <w:spacing w:before="60" w:after="60"/>
              <w:rPr>
                <w:rFonts w:ascii="Tahoma" w:hAnsi="Tahoma" w:cs="Tahoma"/>
                <w:sz w:val="13"/>
              </w:rPr>
            </w:pPr>
            <w:r w:rsidRPr="004D10F1">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spacing w:after="120"/>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3</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4D10F1" w:rsidRDefault="00D55AB9" w:rsidP="000C5B59">
            <w:pPr>
              <w:pStyle w:val="TableText"/>
              <w:rPr>
                <w:rFonts w:ascii="Tahoma" w:hAnsi="Tahoma" w:cs="Tahoma"/>
                <w:sz w:val="13"/>
              </w:rPr>
            </w:pPr>
            <w:r w:rsidRPr="004D10F1">
              <w:rPr>
                <w:rFonts w:ascii="Tahoma" w:hAnsi="Tahoma" w:cs="Tahoma"/>
                <w:sz w:val="13"/>
              </w:rPr>
              <w:t>P</w:t>
            </w: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D10F1" w:rsidRDefault="00D55AB9" w:rsidP="000C5B59">
            <w:pPr>
              <w:pStyle w:val="TableText"/>
              <w:rPr>
                <w:rFonts w:ascii="Tahoma" w:hAnsi="Tahoma" w:cs="Tahoma"/>
                <w:sz w:val="13"/>
              </w:rPr>
            </w:pPr>
          </w:p>
        </w:tc>
      </w:tr>
    </w:tbl>
    <w:p w:rsidR="00023FE7" w:rsidRPr="004D10F1" w:rsidRDefault="00AB4ADA">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69D6" w:rsidRPr="00C02B5C" w:rsidRDefault="00E869D6">
                            <w:pPr>
                              <w:rPr>
                                <w:rFonts w:cs="Tahoma"/>
                                <w:i/>
                                <w:color w:val="000000"/>
                                <w:sz w:val="14"/>
                                <w:szCs w:val="14"/>
                                <w:lang w:val="de-DE"/>
                              </w:rPr>
                            </w:pPr>
                            <w:r w:rsidRPr="00C02B5C">
                              <w:rPr>
                                <w:rFonts w:cs="Tahoma"/>
                                <w:i/>
                                <w:color w:val="000000"/>
                                <w:sz w:val="14"/>
                                <w:szCs w:val="14"/>
                                <w:lang w:val="de-DE"/>
                              </w:rPr>
                              <w:t>Anmerkung: Wenn die Zelle für das Produkt leer ist, wird das Produkt derzeit nicht im Rahmen des Programms angeboten</w:t>
                            </w:r>
                            <w:r>
                              <w:rPr>
                                <w:rFonts w:cs="Tahoma"/>
                                <w:i/>
                                <w:color w:val="000000"/>
                                <w:sz w:val="14"/>
                                <w:szCs w:val="14"/>
                                <w:lang w:val="de-DE"/>
                              </w:rPr>
                              <w:t xml:space="preserve">. </w:t>
                            </w:r>
                          </w:p>
                          <w:p w:rsidR="00E869D6" w:rsidRPr="00C02B5C" w:rsidRDefault="00E869D6" w:rsidP="00F674A6">
                            <w:pPr>
                              <w:ind w:hanging="45"/>
                              <w:rPr>
                                <w:rFonts w:cs="Tahoma"/>
                                <w:i/>
                                <w:color w:val="000000"/>
                                <w:sz w:val="14"/>
                                <w:szCs w:val="14"/>
                                <w:lang w:val="de-DE"/>
                              </w:rPr>
                            </w:pPr>
                            <w:r w:rsidRPr="00C02B5C">
                              <w:rPr>
                                <w:rFonts w:cs="Tahoma"/>
                                <w:i/>
                                <w:color w:val="000000"/>
                                <w:sz w:val="14"/>
                                <w:szCs w:val="14"/>
                                <w:lang w:val="de-DE"/>
                              </w:rPr>
                              <w:t>*Bei Select Plus werden nur die Werte „L“ und die Dreijahreswerte für „L&amp;SA“/„SA“ verwendet</w:t>
                            </w:r>
                            <w:r>
                              <w:rPr>
                                <w:rFonts w:cs="Tahoma"/>
                                <w:i/>
                                <w:color w:val="000000"/>
                                <w:sz w:val="14"/>
                                <w:szCs w:val="14"/>
                                <w:lang w:val="de-DE"/>
                              </w:rPr>
                              <w:t xml:space="preserve">. </w:t>
                            </w:r>
                          </w:p>
                          <w:p w:rsidR="00E869D6" w:rsidRPr="00C02B5C" w:rsidRDefault="00E869D6">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E869D6" w:rsidRPr="00C02B5C" w:rsidRDefault="00E869D6">
                      <w:pPr>
                        <w:rPr>
                          <w:rFonts w:cs="Tahoma"/>
                          <w:i/>
                          <w:color w:val="000000"/>
                          <w:sz w:val="14"/>
                          <w:szCs w:val="14"/>
                          <w:lang w:val="de-DE"/>
                        </w:rPr>
                      </w:pPr>
                      <w:r w:rsidRPr="00C02B5C">
                        <w:rPr>
                          <w:rFonts w:cs="Tahoma"/>
                          <w:i/>
                          <w:color w:val="000000"/>
                          <w:sz w:val="14"/>
                          <w:szCs w:val="14"/>
                          <w:lang w:val="de-DE"/>
                        </w:rPr>
                        <w:t>Anmerkung: Wenn die Zelle für das Produkt leer ist, wird das Produkt derzeit nicht im Rahmen des Programms angeboten</w:t>
                      </w:r>
                      <w:r>
                        <w:rPr>
                          <w:rFonts w:cs="Tahoma"/>
                          <w:i/>
                          <w:color w:val="000000"/>
                          <w:sz w:val="14"/>
                          <w:szCs w:val="14"/>
                          <w:lang w:val="de-DE"/>
                        </w:rPr>
                        <w:t xml:space="preserve">. </w:t>
                      </w:r>
                    </w:p>
                    <w:p w:rsidR="00E869D6" w:rsidRPr="00C02B5C" w:rsidRDefault="00E869D6" w:rsidP="00F674A6">
                      <w:pPr>
                        <w:ind w:hanging="45"/>
                        <w:rPr>
                          <w:rFonts w:cs="Tahoma"/>
                          <w:i/>
                          <w:color w:val="000000"/>
                          <w:sz w:val="14"/>
                          <w:szCs w:val="14"/>
                          <w:lang w:val="de-DE"/>
                        </w:rPr>
                      </w:pPr>
                      <w:r w:rsidRPr="00C02B5C">
                        <w:rPr>
                          <w:rFonts w:cs="Tahoma"/>
                          <w:i/>
                          <w:color w:val="000000"/>
                          <w:sz w:val="14"/>
                          <w:szCs w:val="14"/>
                          <w:lang w:val="de-DE"/>
                        </w:rPr>
                        <w:t>*Bei Select Plus werden nur die Werte „L“ und die Dreijahreswerte für „L&amp;SA“/„SA“ verwendet</w:t>
                      </w:r>
                      <w:r>
                        <w:rPr>
                          <w:rFonts w:cs="Tahoma"/>
                          <w:i/>
                          <w:color w:val="000000"/>
                          <w:sz w:val="14"/>
                          <w:szCs w:val="14"/>
                          <w:lang w:val="de-DE"/>
                        </w:rPr>
                        <w:t xml:space="preserve">. </w:t>
                      </w:r>
                    </w:p>
                    <w:p w:rsidR="00E869D6" w:rsidRPr="00C02B5C" w:rsidRDefault="00E869D6">
                      <w:pPr>
                        <w:rPr>
                          <w:lang w:val="de-DE"/>
                        </w:rPr>
                      </w:pPr>
                    </w:p>
                  </w:txbxContent>
                </v:textbox>
              </v:shape>
            </w:pict>
          </mc:Fallback>
        </mc:AlternateContent>
      </w:r>
    </w:p>
    <w:p w:rsidR="00023FE7" w:rsidRPr="004D10F1" w:rsidRDefault="00023FE7">
      <w:pPr>
        <w:pStyle w:val="ProductPool"/>
        <w:rPr>
          <w:rFonts w:ascii="Tahoma" w:hAnsi="Tahoma" w:cs="Tahoma"/>
        </w:rPr>
      </w:pPr>
    </w:p>
    <w:p w:rsidR="00E5334D" w:rsidRPr="004D10F1" w:rsidRDefault="00E5334D">
      <w:pPr>
        <w:rPr>
          <w:rFonts w:cs="Tahoma"/>
        </w:rPr>
      </w:pPr>
      <w:r w:rsidRPr="004D10F1">
        <w:rPr>
          <w:rFonts w:cs="Tahoma"/>
        </w:rPr>
        <w:br w:type="page"/>
      </w:r>
    </w:p>
    <w:p w:rsidR="00023FE7" w:rsidRPr="004D10F1" w:rsidRDefault="00023FE7" w:rsidP="004E292A">
      <w:pPr>
        <w:pStyle w:val="Heading3"/>
        <w:rPr>
          <w:rFonts w:ascii="Tahoma" w:hAnsi="Tahoma" w:cs="Tahoma"/>
        </w:rPr>
      </w:pPr>
      <w:bookmarkStart w:id="113" w:name="_Toc336337896"/>
      <w:bookmarkStart w:id="114" w:name="_Toc363998650"/>
      <w:r w:rsidRPr="004D10F1">
        <w:rPr>
          <w:rFonts w:ascii="Tahoma" w:hAnsi="Tahoma" w:cs="Tahoma"/>
          <w:sz w:val="22"/>
        </w:rPr>
        <w:t>SYSTEM-POOL</w:t>
      </w:r>
      <w:bookmarkEnd w:id="113"/>
      <w:bookmarkEnd w:id="114"/>
    </w:p>
    <w:p w:rsidR="00023FE7" w:rsidRPr="004D10F1"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405"/>
        <w:gridCol w:w="468"/>
        <w:gridCol w:w="297"/>
        <w:gridCol w:w="416"/>
        <w:gridCol w:w="450"/>
        <w:gridCol w:w="450"/>
        <w:gridCol w:w="450"/>
        <w:gridCol w:w="450"/>
        <w:gridCol w:w="450"/>
        <w:gridCol w:w="394"/>
        <w:gridCol w:w="450"/>
        <w:gridCol w:w="450"/>
        <w:gridCol w:w="450"/>
        <w:gridCol w:w="450"/>
        <w:gridCol w:w="450"/>
        <w:gridCol w:w="450"/>
        <w:gridCol w:w="450"/>
        <w:gridCol w:w="540"/>
      </w:tblGrid>
      <w:tr w:rsidR="00AF4B30" w:rsidRPr="004D10F1" w:rsidTr="00ED50C8">
        <w:trPr>
          <w:cantSplit/>
          <w:trHeight w:val="389"/>
          <w:tblHeader/>
        </w:trPr>
        <w:tc>
          <w:tcPr>
            <w:tcW w:w="2610" w:type="dxa"/>
            <w:vMerge w:val="restart"/>
            <w:tcBorders>
              <w:top w:val="single" w:sz="4" w:space="0" w:color="FFFFFF"/>
              <w:left w:val="single" w:sz="4" w:space="0" w:color="FFFFFF"/>
            </w:tcBorders>
          </w:tcPr>
          <w:p w:rsidR="00B27742" w:rsidRPr="004D10F1" w:rsidRDefault="00AB4ADA">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1583055</wp:posOffset>
                      </wp:positionH>
                      <wp:positionV relativeFrom="paragraph">
                        <wp:posOffset>621030</wp:posOffset>
                      </wp:positionV>
                      <wp:extent cx="495935"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935"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69D6" w:rsidRDefault="00E869D6">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4.65pt;margin-top:48.9pt;width:39.05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" filled="f" stroked="f">
                      <v:textbox style="mso-fit-shape-to-text:t">
                        <w:txbxContent>
                          <w:p w:rsidR="00E869D6" w:rsidRDefault="00E869D6">
                            <w:pPr>
                              <w:rPr>
                                <w:color w:val="0000FF"/>
                                <w:sz w:val="20"/>
                              </w:rPr>
                            </w:pPr>
                            <w:r>
                              <w:rPr>
                                <w:rFonts w:cs="Tahoma"/>
                                <w:b/>
                                <w:color w:val="0000FF"/>
                                <w:sz w:val="8"/>
                              </w:rPr>
                              <w:t>(Strg + Klick)</w:t>
                            </w:r>
                          </w:p>
                        </w:txbxContent>
                      </v:textbox>
                    </v:shape>
                  </w:pict>
                </mc:Fallback>
              </mc:AlternateContent>
            </w:r>
          </w:p>
        </w:tc>
        <w:tc>
          <w:tcPr>
            <w:tcW w:w="405" w:type="dxa"/>
            <w:vMerge w:val="restart"/>
            <w:tcBorders>
              <w:top w:val="single" w:sz="12" w:space="0" w:color="auto"/>
            </w:tcBorders>
            <w:textDirection w:val="btLr"/>
            <w:vAlign w:val="center"/>
          </w:tcPr>
          <w:p w:rsidR="00B27742" w:rsidRPr="004D10F1" w:rsidRDefault="00B27742" w:rsidP="00C02B5C">
            <w:pPr>
              <w:pStyle w:val="TableVerticalText"/>
              <w:rPr>
                <w:rFonts w:ascii="Tahoma" w:hAnsi="Tahoma" w:cs="Tahoma"/>
                <w:sz w:val="9"/>
              </w:rPr>
            </w:pPr>
            <w:r w:rsidRPr="004D10F1">
              <w:rPr>
                <w:rFonts w:ascii="Tahoma" w:hAnsi="Tahoma" w:cs="Tahoma"/>
                <w:sz w:val="9"/>
              </w:rPr>
              <w:t>Produkthinweise</w:t>
            </w:r>
          </w:p>
        </w:tc>
        <w:tc>
          <w:tcPr>
            <w:tcW w:w="468" w:type="dxa"/>
            <w:vMerge w:val="restart"/>
            <w:tcBorders>
              <w:top w:val="single" w:sz="12" w:space="0" w:color="auto"/>
            </w:tcBorders>
            <w:textDirection w:val="btLr"/>
            <w:vAlign w:val="center"/>
          </w:tcPr>
          <w:p w:rsidR="00B27742" w:rsidRPr="004D10F1" w:rsidRDefault="00B27742" w:rsidP="00C02B5C">
            <w:pPr>
              <w:pStyle w:val="TableVerticalText"/>
              <w:rPr>
                <w:rFonts w:ascii="Tahoma" w:hAnsi="Tahoma" w:cs="Tahoma"/>
                <w:sz w:val="9"/>
              </w:rPr>
            </w:pPr>
            <w:r w:rsidRPr="004D10F1">
              <w:rPr>
                <w:rFonts w:ascii="Tahoma" w:hAnsi="Tahoma" w:cs="Tahoma"/>
                <w:sz w:val="9"/>
              </w:rPr>
              <w:t>Verfügbarkeitsdatum</w:t>
            </w:r>
          </w:p>
        </w:tc>
        <w:tc>
          <w:tcPr>
            <w:tcW w:w="297" w:type="dxa"/>
            <w:vMerge w:val="restart"/>
            <w:tcBorders>
              <w:top w:val="single" w:sz="12" w:space="0" w:color="auto"/>
              <w:right w:val="single" w:sz="18" w:space="0" w:color="auto"/>
            </w:tcBorders>
            <w:textDirection w:val="btLr"/>
            <w:vAlign w:val="center"/>
          </w:tcPr>
          <w:p w:rsidR="00B27742" w:rsidRPr="004D10F1" w:rsidRDefault="00B27742" w:rsidP="00C02B5C">
            <w:pPr>
              <w:pStyle w:val="TableVerticalText"/>
              <w:rPr>
                <w:rFonts w:ascii="Tahoma" w:hAnsi="Tahoma" w:cs="Tahoma"/>
                <w:sz w:val="9"/>
              </w:rPr>
            </w:pPr>
            <w:r w:rsidRPr="004D10F1">
              <w:rPr>
                <w:rFonts w:ascii="Tahoma" w:hAnsi="Tahoma" w:cs="Tahoma"/>
                <w:sz w:val="9"/>
              </w:rPr>
              <w:t>SAV</w:t>
            </w:r>
          </w:p>
        </w:tc>
        <w:tc>
          <w:tcPr>
            <w:tcW w:w="3060" w:type="dxa"/>
            <w:gridSpan w:val="7"/>
            <w:tcBorders>
              <w:top w:val="single" w:sz="12" w:space="0" w:color="auto"/>
              <w:left w:val="single" w:sz="18" w:space="0" w:color="auto"/>
              <w:right w:val="single" w:sz="18" w:space="0" w:color="auto"/>
            </w:tcBorders>
            <w:vAlign w:val="center"/>
          </w:tcPr>
          <w:p w:rsidR="00B27742" w:rsidRPr="004D10F1" w:rsidRDefault="00B27742" w:rsidP="00C02B5C">
            <w:pPr>
              <w:pStyle w:val="TableHeadingsBlack"/>
              <w:spacing w:before="0"/>
              <w:rPr>
                <w:rFonts w:ascii="Tahoma" w:hAnsi="Tahoma" w:cs="Tahoma"/>
                <w:sz w:val="9"/>
              </w:rPr>
            </w:pPr>
            <w:r w:rsidRPr="004D10F1">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4D10F1" w:rsidRDefault="00B27742" w:rsidP="00C02B5C">
            <w:pPr>
              <w:pStyle w:val="TableHeadingsBlack"/>
              <w:spacing w:before="0"/>
              <w:rPr>
                <w:rFonts w:ascii="Tahoma" w:hAnsi="Tahoma" w:cs="Tahoma"/>
                <w:sz w:val="9"/>
              </w:rPr>
            </w:pPr>
            <w:r w:rsidRPr="004D10F1">
              <w:rPr>
                <w:rFonts w:ascii="Tahoma" w:hAnsi="Tahoma" w:cs="Tahoma"/>
                <w:sz w:val="9"/>
              </w:rPr>
              <w:t>Open-Lizenz</w:t>
            </w:r>
          </w:p>
        </w:tc>
        <w:tc>
          <w:tcPr>
            <w:tcW w:w="450" w:type="dxa"/>
            <w:vMerge w:val="restart"/>
            <w:tcBorders>
              <w:top w:val="single" w:sz="12" w:space="0" w:color="auto"/>
              <w:left w:val="single" w:sz="18" w:space="0" w:color="auto"/>
            </w:tcBorders>
            <w:textDirection w:val="btLr"/>
            <w:vAlign w:val="center"/>
          </w:tcPr>
          <w:p w:rsidR="00B27742" w:rsidRPr="004D10F1" w:rsidRDefault="00B27742" w:rsidP="00C02B5C">
            <w:pPr>
              <w:pStyle w:val="TableVerticalText"/>
              <w:rPr>
                <w:rFonts w:ascii="Tahoma" w:hAnsi="Tahoma" w:cs="Tahoma"/>
                <w:sz w:val="9"/>
              </w:rPr>
            </w:pPr>
            <w:r w:rsidRPr="004D10F1">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rsidR="00B27742" w:rsidRPr="004D10F1" w:rsidRDefault="00B27742" w:rsidP="00C02B5C">
            <w:pPr>
              <w:pStyle w:val="TableVerticalText"/>
              <w:rPr>
                <w:rFonts w:ascii="Tahoma" w:hAnsi="Tahoma" w:cs="Tahoma"/>
                <w:sz w:val="9"/>
              </w:rPr>
            </w:pPr>
            <w:r w:rsidRPr="004D10F1">
              <w:rPr>
                <w:rFonts w:ascii="Tahoma" w:hAnsi="Tahoma" w:cs="Tahoma"/>
                <w:sz w:val="9"/>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4D10F1" w:rsidRDefault="00B27742" w:rsidP="00C02B5C">
            <w:pPr>
              <w:pStyle w:val="TableVerticalText"/>
              <w:rPr>
                <w:rFonts w:ascii="Tahoma" w:hAnsi="Tahoma" w:cs="Tahoma"/>
                <w:sz w:val="9"/>
              </w:rPr>
            </w:pPr>
            <w:r w:rsidRPr="004D10F1">
              <w:rPr>
                <w:rFonts w:ascii="Tahoma" w:hAnsi="Tahoma" w:cs="Tahoma"/>
                <w:sz w:val="9"/>
              </w:rPr>
              <w:t>OV/OVS</w:t>
            </w:r>
          </w:p>
        </w:tc>
        <w:tc>
          <w:tcPr>
            <w:tcW w:w="450" w:type="dxa"/>
            <w:vMerge w:val="restart"/>
            <w:tcBorders>
              <w:top w:val="single" w:sz="12" w:space="0" w:color="auto"/>
            </w:tcBorders>
            <w:textDirection w:val="btLr"/>
            <w:vAlign w:val="center"/>
          </w:tcPr>
          <w:p w:rsidR="00B27742" w:rsidRPr="004D10F1" w:rsidRDefault="00B0036E" w:rsidP="00C02B5C">
            <w:pPr>
              <w:pStyle w:val="TableVerticalText"/>
              <w:rPr>
                <w:rFonts w:ascii="Tahoma" w:hAnsi="Tahoma" w:cs="Tahoma"/>
                <w:sz w:val="9"/>
              </w:rPr>
            </w:pPr>
            <w:r w:rsidRPr="004D10F1">
              <w:rPr>
                <w:rFonts w:ascii="Tahoma" w:hAnsi="Tahoma" w:cs="Tahoma"/>
                <w:sz w:val="9"/>
              </w:rPr>
              <w:t>EES / OVS-ES</w:t>
            </w:r>
          </w:p>
        </w:tc>
        <w:tc>
          <w:tcPr>
            <w:tcW w:w="540" w:type="dxa"/>
            <w:vMerge w:val="restart"/>
            <w:tcBorders>
              <w:top w:val="single" w:sz="12" w:space="0" w:color="auto"/>
            </w:tcBorders>
            <w:textDirection w:val="btLr"/>
            <w:vAlign w:val="center"/>
          </w:tcPr>
          <w:p w:rsidR="00B27742" w:rsidRPr="004D10F1" w:rsidRDefault="00B27742" w:rsidP="00C02B5C">
            <w:pPr>
              <w:pStyle w:val="TableVerticalText"/>
              <w:rPr>
                <w:rFonts w:ascii="Tahoma" w:hAnsi="Tahoma" w:cs="Tahoma"/>
                <w:sz w:val="9"/>
              </w:rPr>
            </w:pPr>
            <w:r w:rsidRPr="004D10F1">
              <w:rPr>
                <w:rFonts w:ascii="Tahoma" w:hAnsi="Tahoma" w:cs="Tahoma"/>
                <w:sz w:val="9"/>
              </w:rPr>
              <w:t>Mindestmenge bei Open-Programmen</w:t>
            </w:r>
          </w:p>
        </w:tc>
      </w:tr>
      <w:tr w:rsidR="00CE5AB1" w:rsidRPr="004D10F1" w:rsidTr="00ED50C8">
        <w:trPr>
          <w:cantSplit/>
          <w:trHeight w:val="262"/>
          <w:tblHeader/>
        </w:trPr>
        <w:tc>
          <w:tcPr>
            <w:tcW w:w="2610" w:type="dxa"/>
            <w:vMerge/>
            <w:tcBorders>
              <w:left w:val="single" w:sz="4" w:space="0" w:color="FFFFFF"/>
            </w:tcBorders>
          </w:tcPr>
          <w:p w:rsidR="00B27742" w:rsidRPr="004D10F1" w:rsidRDefault="00B27742">
            <w:pPr>
              <w:rPr>
                <w:rFonts w:cs="Tahoma"/>
                <w:sz w:val="20"/>
              </w:rPr>
            </w:pPr>
          </w:p>
        </w:tc>
        <w:tc>
          <w:tcPr>
            <w:tcW w:w="405" w:type="dxa"/>
            <w:vMerge/>
          </w:tcPr>
          <w:p w:rsidR="00B27742" w:rsidRPr="004D10F1" w:rsidRDefault="00B27742">
            <w:pPr>
              <w:rPr>
                <w:rFonts w:cs="Tahoma"/>
                <w:b/>
                <w:sz w:val="20"/>
              </w:rPr>
            </w:pPr>
          </w:p>
        </w:tc>
        <w:tc>
          <w:tcPr>
            <w:tcW w:w="468" w:type="dxa"/>
            <w:vMerge/>
          </w:tcPr>
          <w:p w:rsidR="00B27742" w:rsidRPr="004D10F1" w:rsidRDefault="00B27742">
            <w:pPr>
              <w:rPr>
                <w:rFonts w:cs="Tahoma"/>
                <w:sz w:val="20"/>
              </w:rPr>
            </w:pPr>
          </w:p>
        </w:tc>
        <w:tc>
          <w:tcPr>
            <w:tcW w:w="297" w:type="dxa"/>
            <w:vMerge/>
            <w:tcBorders>
              <w:right w:val="single" w:sz="18" w:space="0" w:color="auto"/>
            </w:tcBorders>
          </w:tcPr>
          <w:p w:rsidR="00B27742" w:rsidRPr="004D10F1" w:rsidRDefault="00B27742">
            <w:pPr>
              <w:rPr>
                <w:rFonts w:cs="Tahoma"/>
                <w:sz w:val="20"/>
              </w:rPr>
            </w:pPr>
          </w:p>
        </w:tc>
        <w:tc>
          <w:tcPr>
            <w:tcW w:w="416" w:type="dxa"/>
            <w:vMerge w:val="restart"/>
            <w:tcBorders>
              <w:left w:val="single" w:sz="18" w:space="0" w:color="auto"/>
            </w:tcBorders>
            <w:vAlign w:val="center"/>
          </w:tcPr>
          <w:p w:rsidR="00B27742" w:rsidRPr="004D10F1" w:rsidRDefault="00B27742">
            <w:pPr>
              <w:pStyle w:val="TableHeadingsRed"/>
              <w:rPr>
                <w:rFonts w:ascii="Tahoma" w:hAnsi="Tahoma" w:cs="Tahoma"/>
                <w:sz w:val="9"/>
              </w:rPr>
            </w:pPr>
            <w:r w:rsidRPr="004D10F1">
              <w:rPr>
                <w:rFonts w:ascii="Tahoma" w:hAnsi="Tahoma" w:cs="Tahoma"/>
                <w:sz w:val="9"/>
              </w:rPr>
              <w:t>L</w:t>
            </w:r>
          </w:p>
        </w:tc>
        <w:tc>
          <w:tcPr>
            <w:tcW w:w="1350" w:type="dxa"/>
            <w:gridSpan w:val="3"/>
            <w:vAlign w:val="center"/>
          </w:tcPr>
          <w:p w:rsidR="00B27742" w:rsidRPr="004D10F1" w:rsidRDefault="00B27742">
            <w:pPr>
              <w:pStyle w:val="TableHeadingsGreen"/>
              <w:rPr>
                <w:rFonts w:ascii="Tahoma" w:hAnsi="Tahoma" w:cs="Tahoma"/>
                <w:sz w:val="9"/>
              </w:rPr>
            </w:pPr>
            <w:r w:rsidRPr="004D10F1">
              <w:rPr>
                <w:rFonts w:ascii="Tahoma" w:hAnsi="Tahoma" w:cs="Tahoma"/>
                <w:sz w:val="9"/>
              </w:rPr>
              <w:t>L&amp;SA</w:t>
            </w:r>
          </w:p>
        </w:tc>
        <w:tc>
          <w:tcPr>
            <w:tcW w:w="1294" w:type="dxa"/>
            <w:gridSpan w:val="3"/>
            <w:tcBorders>
              <w:right w:val="single" w:sz="18" w:space="0" w:color="auto"/>
            </w:tcBorders>
            <w:vAlign w:val="center"/>
          </w:tcPr>
          <w:p w:rsidR="00B27742" w:rsidRPr="004D10F1" w:rsidRDefault="00B27742">
            <w:pPr>
              <w:pStyle w:val="TableHeadingsBlue"/>
              <w:rPr>
                <w:rFonts w:ascii="Tahoma" w:hAnsi="Tahoma" w:cs="Tahoma"/>
                <w:sz w:val="9"/>
              </w:rPr>
            </w:pPr>
            <w:r w:rsidRPr="004D10F1">
              <w:rPr>
                <w:rFonts w:ascii="Tahoma" w:hAnsi="Tahoma" w:cs="Tahoma"/>
                <w:sz w:val="9"/>
              </w:rPr>
              <w:t>SA</w:t>
            </w:r>
          </w:p>
        </w:tc>
        <w:tc>
          <w:tcPr>
            <w:tcW w:w="450" w:type="dxa"/>
            <w:vMerge w:val="restart"/>
            <w:tcBorders>
              <w:left w:val="single" w:sz="18" w:space="0" w:color="auto"/>
            </w:tcBorders>
            <w:vAlign w:val="center"/>
          </w:tcPr>
          <w:p w:rsidR="00B27742" w:rsidRPr="004D10F1" w:rsidRDefault="00B27742">
            <w:pPr>
              <w:pStyle w:val="TableHeadingsRed"/>
              <w:rPr>
                <w:rFonts w:ascii="Tahoma" w:hAnsi="Tahoma" w:cs="Tahoma"/>
                <w:sz w:val="9"/>
              </w:rPr>
            </w:pPr>
            <w:r w:rsidRPr="004D10F1">
              <w:rPr>
                <w:rFonts w:ascii="Tahoma" w:hAnsi="Tahoma" w:cs="Tahoma"/>
                <w:sz w:val="9"/>
              </w:rPr>
              <w:t>L</w:t>
            </w:r>
          </w:p>
        </w:tc>
        <w:tc>
          <w:tcPr>
            <w:tcW w:w="450" w:type="dxa"/>
            <w:vAlign w:val="center"/>
          </w:tcPr>
          <w:p w:rsidR="00B27742" w:rsidRPr="004D10F1" w:rsidRDefault="00B27742">
            <w:pPr>
              <w:pStyle w:val="TableHeadingsGreen"/>
              <w:rPr>
                <w:rFonts w:ascii="Tahoma" w:hAnsi="Tahoma" w:cs="Tahoma"/>
                <w:sz w:val="9"/>
              </w:rPr>
            </w:pPr>
            <w:r w:rsidRPr="004D10F1">
              <w:rPr>
                <w:rFonts w:ascii="Tahoma" w:hAnsi="Tahoma" w:cs="Tahoma"/>
                <w:sz w:val="9"/>
              </w:rPr>
              <w:t>L&amp;SA</w:t>
            </w:r>
          </w:p>
        </w:tc>
        <w:tc>
          <w:tcPr>
            <w:tcW w:w="450" w:type="dxa"/>
            <w:vMerge w:val="restart"/>
            <w:tcBorders>
              <w:right w:val="single" w:sz="18" w:space="0" w:color="auto"/>
            </w:tcBorders>
            <w:vAlign w:val="center"/>
          </w:tcPr>
          <w:p w:rsidR="00B27742" w:rsidRPr="004D10F1" w:rsidRDefault="00B27742">
            <w:pPr>
              <w:pStyle w:val="TableHeadingsBlue"/>
              <w:rPr>
                <w:rFonts w:ascii="Tahoma" w:hAnsi="Tahoma" w:cs="Tahoma"/>
                <w:sz w:val="9"/>
              </w:rPr>
            </w:pPr>
            <w:r w:rsidRPr="004D10F1">
              <w:rPr>
                <w:rFonts w:ascii="Tahoma" w:hAnsi="Tahoma" w:cs="Tahoma"/>
                <w:sz w:val="9"/>
              </w:rPr>
              <w:t>SA</w:t>
            </w:r>
          </w:p>
        </w:tc>
        <w:tc>
          <w:tcPr>
            <w:tcW w:w="450" w:type="dxa"/>
            <w:vMerge/>
            <w:tcBorders>
              <w:left w:val="single" w:sz="18" w:space="0" w:color="auto"/>
            </w:tcBorders>
          </w:tcPr>
          <w:p w:rsidR="00B27742" w:rsidRPr="004D10F1" w:rsidRDefault="00B27742">
            <w:pPr>
              <w:rPr>
                <w:rFonts w:cs="Tahoma"/>
                <w:sz w:val="20"/>
              </w:rPr>
            </w:pPr>
          </w:p>
        </w:tc>
        <w:tc>
          <w:tcPr>
            <w:tcW w:w="450" w:type="dxa"/>
            <w:vMerge/>
            <w:tcBorders>
              <w:right w:val="single" w:sz="18" w:space="0" w:color="auto"/>
            </w:tcBorders>
          </w:tcPr>
          <w:p w:rsidR="00B27742" w:rsidRPr="004D10F1" w:rsidRDefault="00B27742">
            <w:pPr>
              <w:rPr>
                <w:rFonts w:cs="Tahoma"/>
                <w:sz w:val="20"/>
              </w:rPr>
            </w:pPr>
          </w:p>
        </w:tc>
        <w:tc>
          <w:tcPr>
            <w:tcW w:w="450" w:type="dxa"/>
            <w:vMerge/>
            <w:tcBorders>
              <w:left w:val="single" w:sz="18" w:space="0" w:color="auto"/>
              <w:right w:val="single" w:sz="18" w:space="0" w:color="auto"/>
            </w:tcBorders>
          </w:tcPr>
          <w:p w:rsidR="00B27742" w:rsidRPr="004D10F1" w:rsidRDefault="00B27742">
            <w:pPr>
              <w:rPr>
                <w:rFonts w:cs="Tahoma"/>
                <w:sz w:val="20"/>
              </w:rPr>
            </w:pPr>
          </w:p>
        </w:tc>
        <w:tc>
          <w:tcPr>
            <w:tcW w:w="450" w:type="dxa"/>
            <w:vMerge/>
          </w:tcPr>
          <w:p w:rsidR="00B27742" w:rsidRPr="004D10F1" w:rsidRDefault="00B27742">
            <w:pPr>
              <w:rPr>
                <w:rFonts w:cs="Tahoma"/>
                <w:sz w:val="20"/>
              </w:rPr>
            </w:pPr>
          </w:p>
        </w:tc>
        <w:tc>
          <w:tcPr>
            <w:tcW w:w="540" w:type="dxa"/>
            <w:vMerge/>
          </w:tcPr>
          <w:p w:rsidR="00B27742" w:rsidRPr="004D10F1" w:rsidRDefault="00B27742">
            <w:pPr>
              <w:rPr>
                <w:rFonts w:cs="Tahoma"/>
                <w:sz w:val="20"/>
              </w:rPr>
            </w:pPr>
          </w:p>
        </w:tc>
      </w:tr>
      <w:tr w:rsidR="00AF4B30" w:rsidRPr="004D10F1" w:rsidTr="00ED50C8">
        <w:trPr>
          <w:cantSplit/>
          <w:trHeight w:val="638"/>
          <w:tblHeader/>
        </w:trPr>
        <w:tc>
          <w:tcPr>
            <w:tcW w:w="2610" w:type="dxa"/>
            <w:vMerge/>
            <w:tcBorders>
              <w:left w:val="single" w:sz="4" w:space="0" w:color="FFFFFF"/>
              <w:bottom w:val="single" w:sz="4" w:space="0" w:color="auto"/>
            </w:tcBorders>
          </w:tcPr>
          <w:p w:rsidR="00B27742" w:rsidRPr="004D10F1" w:rsidRDefault="00B27742">
            <w:pPr>
              <w:rPr>
                <w:rFonts w:cs="Tahoma"/>
                <w:sz w:val="20"/>
              </w:rPr>
            </w:pPr>
          </w:p>
        </w:tc>
        <w:tc>
          <w:tcPr>
            <w:tcW w:w="405" w:type="dxa"/>
            <w:vMerge/>
            <w:tcBorders>
              <w:bottom w:val="single" w:sz="4" w:space="0" w:color="auto"/>
            </w:tcBorders>
          </w:tcPr>
          <w:p w:rsidR="00B27742" w:rsidRPr="004D10F1" w:rsidRDefault="00B27742">
            <w:pPr>
              <w:rPr>
                <w:rFonts w:cs="Tahoma"/>
                <w:b/>
                <w:sz w:val="20"/>
              </w:rPr>
            </w:pPr>
          </w:p>
        </w:tc>
        <w:tc>
          <w:tcPr>
            <w:tcW w:w="468" w:type="dxa"/>
            <w:vMerge/>
            <w:tcBorders>
              <w:bottom w:val="single" w:sz="4" w:space="0" w:color="auto"/>
            </w:tcBorders>
          </w:tcPr>
          <w:p w:rsidR="00B27742" w:rsidRPr="004D10F1" w:rsidRDefault="00B27742">
            <w:pPr>
              <w:rPr>
                <w:rFonts w:cs="Tahoma"/>
                <w:sz w:val="20"/>
              </w:rPr>
            </w:pPr>
          </w:p>
        </w:tc>
        <w:tc>
          <w:tcPr>
            <w:tcW w:w="297" w:type="dxa"/>
            <w:vMerge/>
            <w:tcBorders>
              <w:bottom w:val="single" w:sz="4" w:space="0" w:color="auto"/>
              <w:right w:val="single" w:sz="18" w:space="0" w:color="auto"/>
            </w:tcBorders>
          </w:tcPr>
          <w:p w:rsidR="00B27742" w:rsidRPr="004D10F1" w:rsidRDefault="00B27742">
            <w:pPr>
              <w:rPr>
                <w:rFonts w:cs="Tahoma"/>
                <w:sz w:val="20"/>
              </w:rPr>
            </w:pPr>
          </w:p>
        </w:tc>
        <w:tc>
          <w:tcPr>
            <w:tcW w:w="416" w:type="dxa"/>
            <w:vMerge/>
            <w:tcBorders>
              <w:left w:val="single" w:sz="18" w:space="0" w:color="auto"/>
              <w:bottom w:val="single" w:sz="4" w:space="0" w:color="auto"/>
            </w:tcBorders>
            <w:vAlign w:val="center"/>
          </w:tcPr>
          <w:p w:rsidR="00B27742" w:rsidRPr="004D10F1" w:rsidRDefault="00B27742">
            <w:pPr>
              <w:jc w:val="center"/>
              <w:rPr>
                <w:rFonts w:cs="Tahoma"/>
                <w:sz w:val="20"/>
              </w:rPr>
            </w:pPr>
          </w:p>
        </w:tc>
        <w:tc>
          <w:tcPr>
            <w:tcW w:w="450" w:type="dxa"/>
            <w:tcBorders>
              <w:bottom w:val="single" w:sz="4" w:space="0" w:color="auto"/>
            </w:tcBorders>
            <w:vAlign w:val="center"/>
          </w:tcPr>
          <w:p w:rsidR="00B27742" w:rsidRPr="004D10F1" w:rsidRDefault="00B27742">
            <w:pPr>
              <w:pStyle w:val="TableHeadingsGreen"/>
              <w:rPr>
                <w:rFonts w:ascii="Tahoma" w:hAnsi="Tahoma" w:cs="Tahoma"/>
                <w:sz w:val="9"/>
              </w:rPr>
            </w:pPr>
            <w:r w:rsidRPr="004D10F1">
              <w:rPr>
                <w:rFonts w:ascii="Tahoma" w:hAnsi="Tahoma" w:cs="Tahoma"/>
                <w:sz w:val="9"/>
              </w:rPr>
              <w:t>3 Jahre</w:t>
            </w:r>
          </w:p>
        </w:tc>
        <w:tc>
          <w:tcPr>
            <w:tcW w:w="450" w:type="dxa"/>
            <w:tcBorders>
              <w:bottom w:val="single" w:sz="4" w:space="0" w:color="auto"/>
            </w:tcBorders>
            <w:vAlign w:val="center"/>
          </w:tcPr>
          <w:p w:rsidR="00B27742" w:rsidRPr="004D10F1" w:rsidRDefault="00B27742">
            <w:pPr>
              <w:pStyle w:val="TableHeadingsGreen"/>
              <w:rPr>
                <w:rFonts w:ascii="Tahoma" w:hAnsi="Tahoma" w:cs="Tahoma"/>
                <w:sz w:val="9"/>
              </w:rPr>
            </w:pPr>
            <w:r w:rsidRPr="004D10F1">
              <w:rPr>
                <w:rFonts w:ascii="Tahoma" w:hAnsi="Tahoma" w:cs="Tahoma"/>
                <w:sz w:val="9"/>
              </w:rPr>
              <w:t>2 Jahre</w:t>
            </w:r>
          </w:p>
        </w:tc>
        <w:tc>
          <w:tcPr>
            <w:tcW w:w="450" w:type="dxa"/>
            <w:tcBorders>
              <w:bottom w:val="single" w:sz="4" w:space="0" w:color="auto"/>
            </w:tcBorders>
            <w:vAlign w:val="center"/>
          </w:tcPr>
          <w:p w:rsidR="00B27742" w:rsidRPr="004D10F1" w:rsidRDefault="00B27742">
            <w:pPr>
              <w:pStyle w:val="TableHeadingsGreen"/>
              <w:rPr>
                <w:rFonts w:ascii="Tahoma" w:hAnsi="Tahoma" w:cs="Tahoma"/>
                <w:sz w:val="9"/>
              </w:rPr>
            </w:pPr>
            <w:r w:rsidRPr="004D10F1">
              <w:rPr>
                <w:rFonts w:ascii="Tahoma" w:hAnsi="Tahoma" w:cs="Tahoma"/>
                <w:sz w:val="9"/>
              </w:rPr>
              <w:t>1 Jahr</w:t>
            </w:r>
          </w:p>
        </w:tc>
        <w:tc>
          <w:tcPr>
            <w:tcW w:w="450" w:type="dxa"/>
            <w:tcBorders>
              <w:bottom w:val="single" w:sz="4" w:space="0" w:color="auto"/>
            </w:tcBorders>
            <w:vAlign w:val="center"/>
          </w:tcPr>
          <w:p w:rsidR="00B27742" w:rsidRPr="004D10F1" w:rsidRDefault="00B27742">
            <w:pPr>
              <w:pStyle w:val="TableHeadingsBlue"/>
              <w:rPr>
                <w:rFonts w:ascii="Tahoma" w:hAnsi="Tahoma" w:cs="Tahoma"/>
                <w:sz w:val="9"/>
              </w:rPr>
            </w:pPr>
            <w:r w:rsidRPr="004D10F1">
              <w:rPr>
                <w:rFonts w:ascii="Tahoma" w:hAnsi="Tahoma" w:cs="Tahoma"/>
                <w:sz w:val="9"/>
              </w:rPr>
              <w:t>3 Jahre</w:t>
            </w:r>
          </w:p>
        </w:tc>
        <w:tc>
          <w:tcPr>
            <w:tcW w:w="450" w:type="dxa"/>
            <w:tcBorders>
              <w:bottom w:val="single" w:sz="4" w:space="0" w:color="auto"/>
            </w:tcBorders>
            <w:vAlign w:val="center"/>
          </w:tcPr>
          <w:p w:rsidR="00B27742" w:rsidRPr="004D10F1" w:rsidRDefault="00B27742">
            <w:pPr>
              <w:pStyle w:val="TableHeadingsBlue"/>
              <w:rPr>
                <w:rFonts w:ascii="Tahoma" w:hAnsi="Tahoma" w:cs="Tahoma"/>
                <w:sz w:val="9"/>
              </w:rPr>
            </w:pPr>
            <w:r w:rsidRPr="004D10F1">
              <w:rPr>
                <w:rFonts w:ascii="Tahoma" w:hAnsi="Tahoma" w:cs="Tahoma"/>
                <w:sz w:val="9"/>
              </w:rPr>
              <w:t>2 Jahre</w:t>
            </w:r>
          </w:p>
        </w:tc>
        <w:tc>
          <w:tcPr>
            <w:tcW w:w="394" w:type="dxa"/>
            <w:tcBorders>
              <w:bottom w:val="single" w:sz="4" w:space="0" w:color="auto"/>
              <w:right w:val="single" w:sz="18" w:space="0" w:color="auto"/>
            </w:tcBorders>
            <w:vAlign w:val="center"/>
          </w:tcPr>
          <w:p w:rsidR="00B27742" w:rsidRPr="004D10F1" w:rsidRDefault="00B27742">
            <w:pPr>
              <w:pStyle w:val="TableHeadingsBlue"/>
              <w:rPr>
                <w:rFonts w:ascii="Tahoma" w:hAnsi="Tahoma" w:cs="Tahoma"/>
                <w:sz w:val="9"/>
              </w:rPr>
            </w:pPr>
            <w:r w:rsidRPr="004D10F1">
              <w:rPr>
                <w:rFonts w:ascii="Tahoma" w:hAnsi="Tahoma" w:cs="Tahoma"/>
                <w:sz w:val="9"/>
              </w:rPr>
              <w:t>1 Jahr</w:t>
            </w:r>
          </w:p>
        </w:tc>
        <w:tc>
          <w:tcPr>
            <w:tcW w:w="450" w:type="dxa"/>
            <w:vMerge/>
            <w:tcBorders>
              <w:left w:val="single" w:sz="18" w:space="0" w:color="auto"/>
              <w:bottom w:val="single" w:sz="4" w:space="0" w:color="auto"/>
            </w:tcBorders>
            <w:vAlign w:val="center"/>
          </w:tcPr>
          <w:p w:rsidR="00B27742" w:rsidRPr="004D10F1" w:rsidRDefault="00B27742">
            <w:pPr>
              <w:jc w:val="center"/>
              <w:rPr>
                <w:rFonts w:cs="Tahoma"/>
                <w:sz w:val="20"/>
              </w:rPr>
            </w:pPr>
          </w:p>
        </w:tc>
        <w:tc>
          <w:tcPr>
            <w:tcW w:w="450" w:type="dxa"/>
            <w:tcBorders>
              <w:bottom w:val="single" w:sz="4" w:space="0" w:color="auto"/>
            </w:tcBorders>
            <w:vAlign w:val="center"/>
          </w:tcPr>
          <w:p w:rsidR="00B27742" w:rsidRPr="004D10F1" w:rsidRDefault="00B27742">
            <w:pPr>
              <w:pStyle w:val="TableHeadingsGreen"/>
              <w:rPr>
                <w:rFonts w:ascii="Tahoma" w:hAnsi="Tahoma" w:cs="Tahoma"/>
                <w:sz w:val="9"/>
              </w:rPr>
            </w:pPr>
            <w:r w:rsidRPr="004D10F1">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4D10F1" w:rsidRDefault="00B27742">
            <w:pPr>
              <w:jc w:val="center"/>
              <w:rPr>
                <w:rFonts w:cs="Tahoma"/>
                <w:sz w:val="20"/>
              </w:rPr>
            </w:pPr>
          </w:p>
        </w:tc>
        <w:tc>
          <w:tcPr>
            <w:tcW w:w="450" w:type="dxa"/>
            <w:vMerge/>
            <w:tcBorders>
              <w:left w:val="single" w:sz="18" w:space="0" w:color="auto"/>
              <w:bottom w:val="single" w:sz="4" w:space="0" w:color="auto"/>
            </w:tcBorders>
          </w:tcPr>
          <w:p w:rsidR="00B27742" w:rsidRPr="004D10F1" w:rsidRDefault="00B27742">
            <w:pPr>
              <w:rPr>
                <w:rFonts w:cs="Tahoma"/>
                <w:sz w:val="20"/>
              </w:rPr>
            </w:pPr>
          </w:p>
        </w:tc>
        <w:tc>
          <w:tcPr>
            <w:tcW w:w="450" w:type="dxa"/>
            <w:vMerge/>
            <w:tcBorders>
              <w:bottom w:val="single" w:sz="4" w:space="0" w:color="auto"/>
              <w:right w:val="single" w:sz="18" w:space="0" w:color="auto"/>
            </w:tcBorders>
          </w:tcPr>
          <w:p w:rsidR="00B27742" w:rsidRPr="004D10F1"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4D10F1" w:rsidRDefault="00B27742">
            <w:pPr>
              <w:rPr>
                <w:rFonts w:cs="Tahoma"/>
                <w:sz w:val="20"/>
              </w:rPr>
            </w:pPr>
          </w:p>
        </w:tc>
        <w:tc>
          <w:tcPr>
            <w:tcW w:w="450" w:type="dxa"/>
            <w:vMerge/>
            <w:tcBorders>
              <w:bottom w:val="single" w:sz="4" w:space="0" w:color="auto"/>
            </w:tcBorders>
          </w:tcPr>
          <w:p w:rsidR="00B27742" w:rsidRPr="004D10F1" w:rsidRDefault="00B27742">
            <w:pPr>
              <w:rPr>
                <w:rFonts w:cs="Tahoma"/>
                <w:sz w:val="20"/>
              </w:rPr>
            </w:pPr>
          </w:p>
        </w:tc>
        <w:tc>
          <w:tcPr>
            <w:tcW w:w="540" w:type="dxa"/>
            <w:vMerge/>
            <w:tcBorders>
              <w:bottom w:val="single" w:sz="4" w:space="0" w:color="auto"/>
            </w:tcBorders>
          </w:tcPr>
          <w:p w:rsidR="00B27742" w:rsidRPr="004D10F1" w:rsidRDefault="00B27742">
            <w:pPr>
              <w:rPr>
                <w:rFonts w:cs="Tahoma"/>
                <w:sz w:val="20"/>
              </w:rPr>
            </w:pPr>
          </w:p>
        </w:tc>
      </w:tr>
      <w:tr w:rsidR="001A63C6" w:rsidRPr="004D10F1" w:rsidTr="00ED50C8">
        <w:trPr>
          <w:trHeight w:val="145"/>
        </w:trPr>
        <w:tc>
          <w:tcPr>
            <w:tcW w:w="2610" w:type="dxa"/>
            <w:tcBorders>
              <w:bottom w:val="single" w:sz="4" w:space="0" w:color="auto"/>
            </w:tcBorders>
            <w:shd w:val="clear" w:color="auto" w:fill="FABF8F"/>
          </w:tcPr>
          <w:p w:rsidR="001A63C6" w:rsidRPr="004D10F1" w:rsidRDefault="001A63C6" w:rsidP="00C02B5C">
            <w:pPr>
              <w:pStyle w:val="ProductNames"/>
              <w:rPr>
                <w:rFonts w:ascii="Tahoma" w:hAnsi="Tahoma" w:cs="Tahoma"/>
                <w:sz w:val="14"/>
              </w:rPr>
            </w:pPr>
            <w:bookmarkStart w:id="115" w:name="_Toc363998651"/>
            <w:r w:rsidRPr="004D10F1">
              <w:rPr>
                <w:rFonts w:ascii="Tahoma" w:hAnsi="Tahoma" w:cs="Tahoma"/>
                <w:sz w:val="14"/>
              </w:rPr>
              <w:t>Microsoft Desktop Optimization Pack für Software Assurance</w:t>
            </w:r>
            <w:bookmarkEnd w:id="115"/>
          </w:p>
        </w:tc>
        <w:tc>
          <w:tcPr>
            <w:tcW w:w="405" w:type="dxa"/>
            <w:tcBorders>
              <w:bottom w:val="single" w:sz="4" w:space="0" w:color="auto"/>
            </w:tcBorders>
            <w:shd w:val="clear" w:color="auto" w:fill="FABF8F"/>
            <w:vAlign w:val="center"/>
          </w:tcPr>
          <w:p w:rsidR="001A63C6" w:rsidRPr="00C02B5C" w:rsidRDefault="005B744B" w:rsidP="009D43FB">
            <w:pPr>
              <w:pStyle w:val="TableText"/>
              <w:widowControl w:val="0"/>
              <w:rPr>
                <w:rFonts w:cs="Tahoma"/>
                <w:b/>
                <w:color w:val="0000FF"/>
                <w:sz w:val="13"/>
                <w:szCs w:val="13"/>
                <w:u w:val="single"/>
              </w:rPr>
            </w:pPr>
            <w:hyperlink w:anchor="_25_Microsoft_Desktop" w:history="1">
              <w:r w:rsidR="00316801" w:rsidRPr="00C02B5C">
                <w:rPr>
                  <w:rStyle w:val="Hyperlink"/>
                  <w:rFonts w:cs="Tahoma"/>
                  <w:b/>
                  <w:sz w:val="13"/>
                  <w:szCs w:val="13"/>
                </w:rPr>
                <w:t>25</w:t>
              </w:r>
            </w:hyperlink>
          </w:p>
        </w:tc>
        <w:tc>
          <w:tcPr>
            <w:tcW w:w="468" w:type="dxa"/>
            <w:tcBorders>
              <w:bottom w:val="single" w:sz="4" w:space="0" w:color="auto"/>
            </w:tcBorders>
            <w:shd w:val="clear" w:color="auto" w:fill="FABF8F"/>
            <w:vAlign w:val="center"/>
          </w:tcPr>
          <w:p w:rsidR="001A63C6" w:rsidRPr="004D10F1" w:rsidRDefault="004D199A" w:rsidP="000C5B59">
            <w:pPr>
              <w:pStyle w:val="TableText"/>
              <w:rPr>
                <w:rFonts w:ascii="Tahoma" w:hAnsi="Tahoma" w:cs="Tahoma"/>
                <w:sz w:val="13"/>
              </w:rPr>
            </w:pPr>
            <w:r w:rsidRPr="004D10F1">
              <w:rPr>
                <w:rFonts w:ascii="Tahoma" w:hAnsi="Tahoma" w:cs="Tahoma"/>
                <w:sz w:val="13"/>
              </w:rPr>
              <w:t>11/12</w:t>
            </w:r>
          </w:p>
        </w:tc>
        <w:tc>
          <w:tcPr>
            <w:tcW w:w="297"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4D10F1" w:rsidRDefault="009A015E" w:rsidP="000C5B59">
            <w:pPr>
              <w:pStyle w:val="TableText"/>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4D199A" w:rsidP="000C5B59">
            <w:pPr>
              <w:pStyle w:val="TableText"/>
              <w:rPr>
                <w:rFonts w:ascii="Tahoma" w:hAnsi="Tahoma" w:cs="Tahoma"/>
                <w:sz w:val="13"/>
              </w:rPr>
            </w:pPr>
            <w:r w:rsidRPr="004D10F1">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rsidR="001A63C6" w:rsidRPr="004D10F1" w:rsidRDefault="004D199A" w:rsidP="000C5B59">
            <w:pPr>
              <w:pStyle w:val="TableText"/>
              <w:rPr>
                <w:rFonts w:ascii="Tahoma" w:hAnsi="Tahoma" w:cs="Tahoma"/>
                <w:sz w:val="13"/>
              </w:rPr>
            </w:pPr>
            <w:r w:rsidRPr="004D10F1">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D10F1" w:rsidRDefault="004D199A" w:rsidP="000C5B59">
            <w:pPr>
              <w:pStyle w:val="TableText"/>
              <w:rPr>
                <w:rFonts w:ascii="Tahoma" w:hAnsi="Tahoma" w:cs="Tahoma"/>
                <w:sz w:val="13"/>
              </w:rPr>
            </w:pPr>
            <w:r w:rsidRPr="004D10F1">
              <w:rPr>
                <w:rFonts w:ascii="Tahoma" w:hAnsi="Tahoma" w:cs="Tahoma"/>
                <w:sz w:val="13"/>
              </w:rPr>
              <w:t>P</w:t>
            </w:r>
          </w:p>
        </w:tc>
        <w:tc>
          <w:tcPr>
            <w:tcW w:w="450" w:type="dxa"/>
            <w:tcBorders>
              <w:bottom w:val="single" w:sz="4" w:space="0" w:color="auto"/>
            </w:tcBorders>
            <w:shd w:val="clear" w:color="auto" w:fill="FABF8F"/>
            <w:vAlign w:val="center"/>
          </w:tcPr>
          <w:p w:rsidR="001A63C6" w:rsidRPr="004D10F1" w:rsidRDefault="009A015E" w:rsidP="000C5B59">
            <w:pPr>
              <w:pStyle w:val="TableText"/>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FABF8F"/>
            <w:vAlign w:val="center"/>
          </w:tcPr>
          <w:p w:rsidR="001A63C6" w:rsidRPr="004D10F1" w:rsidRDefault="001A63C6" w:rsidP="000C5B59">
            <w:pPr>
              <w:pStyle w:val="TableText"/>
              <w:rPr>
                <w:rFonts w:ascii="Tahoma" w:hAnsi="Tahoma" w:cs="Tahoma"/>
                <w:sz w:val="13"/>
              </w:rPr>
            </w:pPr>
          </w:p>
        </w:tc>
      </w:tr>
      <w:tr w:rsidR="002854D4" w:rsidRPr="004D10F1" w:rsidTr="00ED50C8">
        <w:trPr>
          <w:trHeight w:val="145"/>
        </w:trPr>
        <w:tc>
          <w:tcPr>
            <w:tcW w:w="2610" w:type="dxa"/>
            <w:tcBorders>
              <w:bottom w:val="single" w:sz="4" w:space="0" w:color="auto"/>
            </w:tcBorders>
            <w:shd w:val="clear" w:color="auto" w:fill="auto"/>
          </w:tcPr>
          <w:p w:rsidR="002854D4" w:rsidRPr="004D10F1" w:rsidRDefault="002854D4" w:rsidP="00C02B5C">
            <w:pPr>
              <w:pStyle w:val="ProductNames"/>
              <w:rPr>
                <w:rFonts w:ascii="Tahoma" w:hAnsi="Tahoma" w:cs="Tahoma"/>
                <w:sz w:val="14"/>
              </w:rPr>
            </w:pPr>
            <w:bookmarkStart w:id="116" w:name="_Toc336337897"/>
            <w:bookmarkStart w:id="117" w:name="_Toc363998652"/>
            <w:r w:rsidRPr="004D10F1">
              <w:rPr>
                <w:rFonts w:ascii="Tahoma" w:hAnsi="Tahoma" w:cs="Tahoma"/>
                <w:sz w:val="14"/>
              </w:rPr>
              <w:t>Windows Companion-Abonnementlizenz</w:t>
            </w:r>
            <w:bookmarkEnd w:id="116"/>
            <w:bookmarkEnd w:id="117"/>
          </w:p>
        </w:tc>
        <w:tc>
          <w:tcPr>
            <w:tcW w:w="405" w:type="dxa"/>
            <w:tcBorders>
              <w:bottom w:val="single" w:sz="4" w:space="0" w:color="auto"/>
            </w:tcBorders>
            <w:shd w:val="clear" w:color="auto" w:fill="auto"/>
            <w:vAlign w:val="center"/>
          </w:tcPr>
          <w:p w:rsidR="002854D4" w:rsidRPr="00C02B5C" w:rsidRDefault="005B744B" w:rsidP="006D5161">
            <w:pPr>
              <w:pStyle w:val="TableText"/>
              <w:widowControl w:val="0"/>
              <w:rPr>
                <w:rFonts w:cs="Tahoma"/>
                <w:b/>
                <w:color w:val="0000FF"/>
                <w:sz w:val="13"/>
                <w:szCs w:val="13"/>
                <w:u w:val="single"/>
              </w:rPr>
            </w:pPr>
            <w:hyperlink w:anchor="_29_Windows®_Companion-Abonnementliz" w:history="1">
              <w:r w:rsidR="00316801" w:rsidRPr="00C02B5C">
                <w:rPr>
                  <w:rStyle w:val="Hyperlink"/>
                  <w:rFonts w:cs="Tahoma"/>
                  <w:b/>
                  <w:sz w:val="13"/>
                  <w:szCs w:val="13"/>
                </w:rPr>
                <w:t>29</w:t>
              </w:r>
            </w:hyperlink>
            <w:hyperlink w:anchor="_25_Windows®_Companion" w:history="1"/>
          </w:p>
        </w:tc>
        <w:tc>
          <w:tcPr>
            <w:tcW w:w="468" w:type="dxa"/>
            <w:tcBorders>
              <w:bottom w:val="single" w:sz="4" w:space="0" w:color="auto"/>
            </w:tcBorders>
            <w:shd w:val="clear" w:color="auto" w:fill="auto"/>
            <w:vAlign w:val="center"/>
          </w:tcPr>
          <w:p w:rsidR="002854D4" w:rsidRPr="004D10F1" w:rsidRDefault="002854D4" w:rsidP="000C5B59">
            <w:pPr>
              <w:pStyle w:val="TableText"/>
              <w:rPr>
                <w:rFonts w:ascii="Tahoma" w:hAnsi="Tahoma" w:cs="Tahoma"/>
                <w:sz w:val="13"/>
              </w:rPr>
            </w:pPr>
            <w:r w:rsidRPr="004D10F1">
              <w:rPr>
                <w:rFonts w:ascii="Tahoma" w:hAnsi="Tahoma" w:cs="Tahoma"/>
                <w:sz w:val="13"/>
              </w:rPr>
              <w:t>10/12</w:t>
            </w:r>
          </w:p>
        </w:tc>
        <w:tc>
          <w:tcPr>
            <w:tcW w:w="297" w:type="dxa"/>
            <w:tcBorders>
              <w:bottom w:val="single" w:sz="4" w:space="0" w:color="auto"/>
              <w:right w:val="single" w:sz="18" w:space="0" w:color="auto"/>
            </w:tcBorders>
            <w:shd w:val="clear" w:color="auto" w:fill="auto"/>
            <w:vAlign w:val="center"/>
          </w:tcPr>
          <w:p w:rsidR="002854D4" w:rsidRPr="004D10F1" w:rsidRDefault="002854D4" w:rsidP="000C5B59">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4D10F1" w:rsidRDefault="002854D4" w:rsidP="000C5B59">
            <w:pPr>
              <w:pStyle w:val="TableText"/>
              <w:rPr>
                <w:rFonts w:ascii="Tahoma" w:hAnsi="Tahoma" w:cs="Tahoma"/>
                <w:sz w:val="13"/>
              </w:rPr>
            </w:pPr>
            <w:r w:rsidRPr="004D10F1">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4D10F1" w:rsidRDefault="002854D4" w:rsidP="000C5B59">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4D10F1" w:rsidRDefault="002854D4"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4D10F1" w:rsidRDefault="002854D4"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4D10F1" w:rsidRDefault="002854D4" w:rsidP="000C5B59">
            <w:pPr>
              <w:pStyle w:val="TableText"/>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4D10F1" w:rsidRDefault="002854D4" w:rsidP="000C5B59">
            <w:pPr>
              <w:pStyle w:val="TableText"/>
              <w:rPr>
                <w:rFonts w:ascii="Tahoma" w:hAnsi="Tahoma" w:cs="Tahoma"/>
                <w:sz w:val="13"/>
              </w:rPr>
            </w:pPr>
            <w:r w:rsidRPr="004D10F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4D10F1" w:rsidRDefault="002854D4" w:rsidP="000C5B59">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4D10F1" w:rsidRDefault="002854D4" w:rsidP="000C5B59">
            <w:pPr>
              <w:pStyle w:val="TableText"/>
              <w:rPr>
                <w:rFonts w:ascii="Tahoma" w:hAnsi="Tahoma" w:cs="Tahoma"/>
                <w:sz w:val="13"/>
              </w:rPr>
            </w:pPr>
            <w:r w:rsidRPr="004D10F1">
              <w:rPr>
                <w:rFonts w:ascii="Tahoma" w:hAnsi="Tahoma" w:cs="Tahoma"/>
                <w:sz w:val="13"/>
              </w:rPr>
              <w:t>A (nur EES)</w:t>
            </w:r>
          </w:p>
        </w:tc>
        <w:tc>
          <w:tcPr>
            <w:tcW w:w="540" w:type="dxa"/>
            <w:tcBorders>
              <w:bottom w:val="single" w:sz="4" w:space="0" w:color="auto"/>
            </w:tcBorders>
            <w:shd w:val="clear" w:color="auto" w:fill="auto"/>
            <w:vAlign w:val="center"/>
          </w:tcPr>
          <w:p w:rsidR="002854D4" w:rsidRPr="004D10F1" w:rsidRDefault="002854D4" w:rsidP="000C5B59">
            <w:pPr>
              <w:pStyle w:val="TableText"/>
              <w:rPr>
                <w:rFonts w:ascii="Tahoma" w:hAnsi="Tahoma" w:cs="Tahoma"/>
                <w:sz w:val="13"/>
              </w:rPr>
            </w:pPr>
          </w:p>
        </w:tc>
      </w:tr>
      <w:tr w:rsidR="00365DF7" w:rsidRPr="004D10F1" w:rsidTr="00ED50C8">
        <w:trPr>
          <w:trHeight w:val="145"/>
        </w:trPr>
        <w:tc>
          <w:tcPr>
            <w:tcW w:w="2610" w:type="dxa"/>
            <w:tcBorders>
              <w:bottom w:val="single" w:sz="4" w:space="0" w:color="auto"/>
            </w:tcBorders>
            <w:shd w:val="clear" w:color="auto" w:fill="FABF8F"/>
          </w:tcPr>
          <w:p w:rsidR="00365DF7" w:rsidRPr="004D10F1" w:rsidRDefault="00365DF7" w:rsidP="00C02B5C">
            <w:pPr>
              <w:pStyle w:val="ProductNames"/>
              <w:rPr>
                <w:rFonts w:ascii="Tahoma" w:hAnsi="Tahoma" w:cs="Tahoma"/>
                <w:sz w:val="14"/>
              </w:rPr>
            </w:pPr>
            <w:bookmarkStart w:id="118" w:name="_Toc363998653"/>
            <w:r w:rsidRPr="004D10F1">
              <w:rPr>
                <w:rFonts w:ascii="Tahoma" w:hAnsi="Tahoma" w:cs="Tahoma"/>
                <w:sz w:val="14"/>
              </w:rPr>
              <w:t>Windows</w:t>
            </w:r>
            <w:r w:rsidR="0069040B" w:rsidRPr="0069040B">
              <w:rPr>
                <w:rFonts w:ascii="Tahoma" w:hAnsi="Tahoma" w:cs="Tahoma"/>
                <w:sz w:val="14"/>
                <w:vertAlign w:val="superscript"/>
              </w:rPr>
              <w:t>®</w:t>
            </w:r>
            <w:r w:rsidRPr="004D10F1">
              <w:rPr>
                <w:rFonts w:ascii="Tahoma" w:hAnsi="Tahoma" w:cs="Tahoma"/>
                <w:sz w:val="14"/>
              </w:rPr>
              <w:t xml:space="preserve"> Embedded 8 Industry Pro</w:t>
            </w:r>
            <w:bookmarkEnd w:id="118"/>
          </w:p>
        </w:tc>
        <w:tc>
          <w:tcPr>
            <w:tcW w:w="405" w:type="dxa"/>
            <w:tcBorders>
              <w:bottom w:val="single" w:sz="4" w:space="0" w:color="auto"/>
            </w:tcBorders>
            <w:shd w:val="clear" w:color="auto" w:fill="FABF8F"/>
            <w:vAlign w:val="center"/>
          </w:tcPr>
          <w:p w:rsidR="00365DF7" w:rsidRPr="00C02B5C" w:rsidRDefault="005B744B" w:rsidP="003D5C46">
            <w:pPr>
              <w:pStyle w:val="TableText"/>
              <w:widowControl w:val="0"/>
              <w:rPr>
                <w:rFonts w:cs="Tahoma"/>
                <w:b/>
                <w:sz w:val="13"/>
                <w:szCs w:val="13"/>
              </w:rPr>
            </w:pPr>
            <w:hyperlink w:anchor="_28_Windows®_Embedded" w:history="1">
              <w:r w:rsidR="00316801" w:rsidRPr="00C02B5C">
                <w:rPr>
                  <w:rStyle w:val="Hyperlink"/>
                  <w:rFonts w:cs="Tahoma"/>
                  <w:b/>
                  <w:sz w:val="13"/>
                  <w:szCs w:val="13"/>
                </w:rPr>
                <w:t>28</w:t>
              </w:r>
            </w:hyperlink>
          </w:p>
        </w:tc>
        <w:tc>
          <w:tcPr>
            <w:tcW w:w="468" w:type="dxa"/>
            <w:tcBorders>
              <w:bottom w:val="single" w:sz="4" w:space="0" w:color="auto"/>
            </w:tcBorders>
            <w:shd w:val="clear" w:color="auto" w:fill="FABF8F"/>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07/13</w:t>
            </w:r>
          </w:p>
        </w:tc>
        <w:tc>
          <w:tcPr>
            <w:tcW w:w="297" w:type="dxa"/>
            <w:tcBorders>
              <w:bottom w:val="single" w:sz="4" w:space="0" w:color="auto"/>
              <w:right w:val="single" w:sz="18" w:space="0" w:color="auto"/>
            </w:tcBorders>
            <w:shd w:val="clear" w:color="auto" w:fill="FABF8F"/>
            <w:vAlign w:val="center"/>
          </w:tcPr>
          <w:p w:rsidR="00365DF7" w:rsidRPr="004D10F1" w:rsidRDefault="00365DF7" w:rsidP="000C5B59">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2</w:t>
            </w:r>
          </w:p>
        </w:tc>
        <w:tc>
          <w:tcPr>
            <w:tcW w:w="450" w:type="dxa"/>
            <w:tcBorders>
              <w:bottom w:val="single" w:sz="4" w:space="0" w:color="auto"/>
            </w:tcBorders>
            <w:shd w:val="clear" w:color="auto" w:fill="FABF8F"/>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P</w:t>
            </w:r>
          </w:p>
        </w:tc>
        <w:tc>
          <w:tcPr>
            <w:tcW w:w="450" w:type="dxa"/>
            <w:tcBorders>
              <w:bottom w:val="single" w:sz="4" w:space="0" w:color="auto"/>
            </w:tcBorders>
            <w:shd w:val="clear" w:color="auto" w:fill="FABF8F"/>
            <w:vAlign w:val="center"/>
          </w:tcPr>
          <w:p w:rsidR="00365DF7" w:rsidRPr="004D10F1" w:rsidRDefault="00365DF7" w:rsidP="000C5B59">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4D10F1" w:rsidRDefault="00365DF7" w:rsidP="000C5B59">
            <w:pPr>
              <w:pStyle w:val="TableText"/>
              <w:rPr>
                <w:rFonts w:ascii="Tahoma" w:hAnsi="Tahoma" w:cs="Tahoma"/>
                <w:sz w:val="13"/>
              </w:rPr>
            </w:pPr>
          </w:p>
        </w:tc>
      </w:tr>
      <w:tr w:rsidR="00365DF7" w:rsidRPr="004D10F1" w:rsidTr="00ED50C8">
        <w:trPr>
          <w:trHeight w:val="145"/>
        </w:trPr>
        <w:tc>
          <w:tcPr>
            <w:tcW w:w="2610" w:type="dxa"/>
            <w:tcBorders>
              <w:bottom w:val="single" w:sz="4" w:space="0" w:color="auto"/>
            </w:tcBorders>
            <w:shd w:val="clear" w:color="auto" w:fill="auto"/>
          </w:tcPr>
          <w:p w:rsidR="00365DF7" w:rsidRPr="004D10F1" w:rsidRDefault="003234A7" w:rsidP="00C02B5C">
            <w:pPr>
              <w:pStyle w:val="ProductNames"/>
              <w:rPr>
                <w:rFonts w:ascii="Tahoma" w:hAnsi="Tahoma" w:cs="Tahoma"/>
                <w:sz w:val="14"/>
              </w:rPr>
            </w:pPr>
            <w:bookmarkStart w:id="119" w:name="_Toc363998654"/>
            <w:r w:rsidRPr="004D10F1">
              <w:rPr>
                <w:rFonts w:ascii="Tahoma" w:hAnsi="Tahoma" w:cs="Tahoma"/>
                <w:sz w:val="14"/>
              </w:rPr>
              <w:t>Windows</w:t>
            </w:r>
            <w:r w:rsidR="0069040B" w:rsidRPr="0069040B">
              <w:rPr>
                <w:rFonts w:ascii="Tahoma" w:hAnsi="Tahoma" w:cs="Tahoma"/>
                <w:sz w:val="14"/>
                <w:vertAlign w:val="superscript"/>
              </w:rPr>
              <w:t>®</w:t>
            </w:r>
            <w:r w:rsidRPr="004D10F1">
              <w:rPr>
                <w:rFonts w:ascii="Tahoma" w:hAnsi="Tahoma" w:cs="Tahoma"/>
                <w:sz w:val="14"/>
              </w:rPr>
              <w:t xml:space="preserve"> Embedded 8 Industry Pro Side</w:t>
            </w:r>
            <w:r w:rsidR="005A76F9">
              <w:rPr>
                <w:rFonts w:ascii="Tahoma" w:hAnsi="Tahoma" w:cs="Tahoma"/>
                <w:sz w:val="14"/>
              </w:rPr>
              <w:t xml:space="preserve"> </w:t>
            </w:r>
            <w:r w:rsidRPr="004D10F1">
              <w:rPr>
                <w:rFonts w:ascii="Tahoma" w:hAnsi="Tahoma" w:cs="Tahoma"/>
                <w:sz w:val="14"/>
              </w:rPr>
              <w:t>loading</w:t>
            </w:r>
            <w:bookmarkEnd w:id="119"/>
          </w:p>
        </w:tc>
        <w:tc>
          <w:tcPr>
            <w:tcW w:w="405" w:type="dxa"/>
            <w:tcBorders>
              <w:bottom w:val="single" w:sz="4" w:space="0" w:color="auto"/>
            </w:tcBorders>
            <w:shd w:val="clear" w:color="auto" w:fill="auto"/>
            <w:vAlign w:val="center"/>
          </w:tcPr>
          <w:p w:rsidR="00365DF7" w:rsidRPr="00C02B5C" w:rsidRDefault="005B744B" w:rsidP="003D5C46">
            <w:pPr>
              <w:pStyle w:val="TableText"/>
              <w:widowControl w:val="0"/>
              <w:rPr>
                <w:rFonts w:cs="Tahoma"/>
                <w:b/>
                <w:sz w:val="13"/>
                <w:szCs w:val="13"/>
              </w:rPr>
            </w:pPr>
            <w:hyperlink w:anchor="_27_Windows_Embedded" w:history="1">
              <w:r w:rsidR="00316801" w:rsidRPr="00C02B5C">
                <w:rPr>
                  <w:rStyle w:val="Hyperlink"/>
                  <w:rFonts w:cs="Tahoma"/>
                  <w:b/>
                  <w:sz w:val="13"/>
                  <w:szCs w:val="13"/>
                </w:rPr>
                <w:t>27</w:t>
              </w:r>
            </w:hyperlink>
          </w:p>
        </w:tc>
        <w:tc>
          <w:tcPr>
            <w:tcW w:w="468" w:type="dxa"/>
            <w:tcBorders>
              <w:bottom w:val="single" w:sz="4" w:space="0" w:color="auto"/>
            </w:tcBorders>
            <w:shd w:val="clear" w:color="auto" w:fill="auto"/>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07/13</w:t>
            </w:r>
          </w:p>
        </w:tc>
        <w:tc>
          <w:tcPr>
            <w:tcW w:w="297" w:type="dxa"/>
            <w:tcBorders>
              <w:bottom w:val="single" w:sz="4" w:space="0" w:color="auto"/>
              <w:right w:val="single" w:sz="18" w:space="0" w:color="auto"/>
            </w:tcBorders>
            <w:shd w:val="clear" w:color="auto" w:fill="auto"/>
            <w:vAlign w:val="center"/>
          </w:tcPr>
          <w:p w:rsidR="00365DF7" w:rsidRPr="004D10F1" w:rsidRDefault="00365DF7" w:rsidP="000C5B59">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4D10F1" w:rsidRDefault="00365DF7" w:rsidP="000C5B59">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D10F1" w:rsidRDefault="00365DF7" w:rsidP="000C5B59">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D10F1" w:rsidRDefault="00365DF7" w:rsidP="000C5B59">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D10F1" w:rsidRDefault="00365DF7" w:rsidP="000C5B59">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D10F1" w:rsidRDefault="00365DF7" w:rsidP="000C5B59">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4D10F1" w:rsidRDefault="00365DF7"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4D10F1" w:rsidRDefault="00365DF7" w:rsidP="000C5B59">
            <w:pPr>
              <w:pStyle w:val="TableText"/>
              <w:rPr>
                <w:rFonts w:ascii="Tahoma" w:hAnsi="Tahoma" w:cs="Tahoma"/>
                <w:sz w:val="13"/>
              </w:rPr>
            </w:pPr>
            <w:r w:rsidRPr="004D10F1">
              <w:rPr>
                <w:rFonts w:ascii="Tahoma" w:hAnsi="Tahoma" w:cs="Tahoma"/>
                <w:sz w:val="13"/>
              </w:rPr>
              <w:t>2</w:t>
            </w:r>
          </w:p>
        </w:tc>
        <w:tc>
          <w:tcPr>
            <w:tcW w:w="450" w:type="dxa"/>
            <w:tcBorders>
              <w:bottom w:val="single" w:sz="4" w:space="0" w:color="auto"/>
            </w:tcBorders>
            <w:shd w:val="clear" w:color="auto" w:fill="auto"/>
            <w:vAlign w:val="center"/>
          </w:tcPr>
          <w:p w:rsidR="00365DF7" w:rsidRPr="004D10F1" w:rsidRDefault="00365DF7"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4D10F1" w:rsidRDefault="00365DF7"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4D10F1" w:rsidRDefault="00365DF7"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4D10F1" w:rsidRDefault="00365DF7" w:rsidP="000C5B5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4D10F1" w:rsidRDefault="00365DF7" w:rsidP="000C5B59">
            <w:pPr>
              <w:pStyle w:val="TableText"/>
              <w:rPr>
                <w:rFonts w:ascii="Tahoma" w:hAnsi="Tahoma" w:cs="Tahoma"/>
                <w:sz w:val="13"/>
              </w:rPr>
            </w:pPr>
          </w:p>
        </w:tc>
        <w:tc>
          <w:tcPr>
            <w:tcW w:w="450" w:type="dxa"/>
            <w:tcBorders>
              <w:bottom w:val="single" w:sz="4" w:space="0" w:color="auto"/>
            </w:tcBorders>
            <w:shd w:val="clear" w:color="auto" w:fill="auto"/>
            <w:vAlign w:val="center"/>
          </w:tcPr>
          <w:p w:rsidR="00365DF7" w:rsidRPr="004D10F1" w:rsidRDefault="00365DF7" w:rsidP="000C5B59">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4D10F1" w:rsidRDefault="00365DF7" w:rsidP="000C5B59">
            <w:pPr>
              <w:pStyle w:val="TableText"/>
              <w:rPr>
                <w:rFonts w:ascii="Tahoma" w:hAnsi="Tahoma" w:cs="Tahoma"/>
                <w:sz w:val="13"/>
              </w:rPr>
            </w:pPr>
          </w:p>
        </w:tc>
      </w:tr>
      <w:tr w:rsidR="00637914" w:rsidRPr="004D10F1" w:rsidTr="00ED50C8">
        <w:trPr>
          <w:trHeight w:val="145"/>
        </w:trPr>
        <w:tc>
          <w:tcPr>
            <w:tcW w:w="2610" w:type="dxa"/>
            <w:tcBorders>
              <w:bottom w:val="single" w:sz="4" w:space="0" w:color="auto"/>
            </w:tcBorders>
            <w:shd w:val="clear" w:color="auto" w:fill="FABF8F"/>
          </w:tcPr>
          <w:p w:rsidR="00637914" w:rsidRPr="004D10F1" w:rsidRDefault="00637914" w:rsidP="00C02B5C">
            <w:pPr>
              <w:pStyle w:val="ProductNames"/>
              <w:rPr>
                <w:rFonts w:ascii="Tahoma" w:hAnsi="Tahoma" w:cs="Tahoma"/>
                <w:sz w:val="14"/>
              </w:rPr>
            </w:pPr>
            <w:bookmarkStart w:id="120" w:name="_Toc363998655"/>
            <w:r w:rsidRPr="004D10F1">
              <w:rPr>
                <w:rFonts w:ascii="Tahoma" w:hAnsi="Tahoma" w:cs="Tahoma"/>
                <w:sz w:val="14"/>
              </w:rPr>
              <w:t>Windows</w:t>
            </w:r>
            <w:r w:rsidR="0069040B" w:rsidRPr="0069040B">
              <w:rPr>
                <w:rFonts w:ascii="Tahoma" w:hAnsi="Tahoma" w:cs="Tahoma"/>
                <w:sz w:val="14"/>
                <w:vertAlign w:val="superscript"/>
              </w:rPr>
              <w:t>®</w:t>
            </w:r>
            <w:r w:rsidRPr="004D10F1">
              <w:rPr>
                <w:rFonts w:ascii="Tahoma" w:hAnsi="Tahoma" w:cs="Tahoma"/>
                <w:sz w:val="14"/>
              </w:rPr>
              <w:t xml:space="preserve"> Embedded 8 Standard Enterprise Kit</w:t>
            </w:r>
            <w:bookmarkEnd w:id="120"/>
          </w:p>
        </w:tc>
        <w:tc>
          <w:tcPr>
            <w:tcW w:w="405" w:type="dxa"/>
            <w:tcBorders>
              <w:bottom w:val="single" w:sz="4" w:space="0" w:color="auto"/>
            </w:tcBorders>
            <w:shd w:val="clear" w:color="auto" w:fill="FABF8F"/>
            <w:vAlign w:val="center"/>
          </w:tcPr>
          <w:p w:rsidR="00637914" w:rsidRPr="00C02B5C" w:rsidRDefault="005B744B" w:rsidP="003D5C46">
            <w:pPr>
              <w:pStyle w:val="TableText"/>
              <w:widowControl w:val="0"/>
              <w:rPr>
                <w:rFonts w:cs="Tahoma"/>
                <w:b/>
                <w:sz w:val="13"/>
                <w:szCs w:val="13"/>
              </w:rPr>
            </w:pPr>
            <w:hyperlink w:anchor="_25_Windows_Embedded" w:history="1">
              <w:r w:rsidR="00316801" w:rsidRPr="00C02B5C">
                <w:rPr>
                  <w:rStyle w:val="Hyperlink"/>
                  <w:rFonts w:cs="Tahoma"/>
                  <w:b/>
                  <w:sz w:val="13"/>
                  <w:szCs w:val="13"/>
                </w:rPr>
                <w:t>26</w:t>
              </w:r>
            </w:hyperlink>
          </w:p>
        </w:tc>
        <w:tc>
          <w:tcPr>
            <w:tcW w:w="468" w:type="dxa"/>
            <w:tcBorders>
              <w:bottom w:val="single" w:sz="4" w:space="0" w:color="auto"/>
            </w:tcBorders>
            <w:shd w:val="clear" w:color="auto" w:fill="FABF8F"/>
            <w:vAlign w:val="center"/>
          </w:tcPr>
          <w:p w:rsidR="00637914" w:rsidRPr="004D10F1" w:rsidRDefault="00637914" w:rsidP="000C5B59">
            <w:pPr>
              <w:pStyle w:val="TableText"/>
              <w:rPr>
                <w:rFonts w:ascii="Tahoma" w:hAnsi="Tahoma" w:cs="Tahoma"/>
                <w:sz w:val="13"/>
              </w:rPr>
            </w:pPr>
            <w:r w:rsidRPr="004D10F1">
              <w:rPr>
                <w:rFonts w:ascii="Tahoma" w:hAnsi="Tahoma" w:cs="Tahoma"/>
                <w:sz w:val="13"/>
              </w:rPr>
              <w:t>07/13</w:t>
            </w:r>
          </w:p>
        </w:tc>
        <w:tc>
          <w:tcPr>
            <w:tcW w:w="297" w:type="dxa"/>
            <w:tcBorders>
              <w:bottom w:val="single" w:sz="4" w:space="0" w:color="auto"/>
              <w:right w:val="single" w:sz="18" w:space="0" w:color="auto"/>
            </w:tcBorders>
            <w:shd w:val="clear" w:color="auto" w:fill="FABF8F"/>
            <w:vAlign w:val="center"/>
          </w:tcPr>
          <w:p w:rsidR="00637914" w:rsidRPr="004D10F1" w:rsidRDefault="00637914" w:rsidP="000C5B59">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4D10F1" w:rsidRDefault="00637914" w:rsidP="000C5B59">
            <w:pPr>
              <w:pStyle w:val="TableText"/>
              <w:rPr>
                <w:rFonts w:ascii="Tahoma" w:hAnsi="Tahoma" w:cs="Tahoma"/>
                <w:sz w:val="13"/>
              </w:rPr>
            </w:pPr>
            <w:r w:rsidRPr="004D10F1">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4D10F1" w:rsidRDefault="00637914" w:rsidP="000C5B59">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D10F1" w:rsidRDefault="00637914" w:rsidP="000C5B59">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D10F1" w:rsidRDefault="00637914" w:rsidP="000C5B59">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D10F1" w:rsidRDefault="00637914" w:rsidP="000C5B59">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D10F1" w:rsidRDefault="00637914" w:rsidP="000C5B59">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4D10F1" w:rsidRDefault="00637914"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4D10F1" w:rsidRDefault="00637914" w:rsidP="000C5B59">
            <w:pPr>
              <w:pStyle w:val="TableText"/>
              <w:rPr>
                <w:rFonts w:ascii="Tahoma" w:hAnsi="Tahoma" w:cs="Tahoma"/>
                <w:sz w:val="13"/>
              </w:rPr>
            </w:pPr>
            <w:r w:rsidRPr="004D10F1">
              <w:rPr>
                <w:rFonts w:ascii="Tahoma" w:hAnsi="Tahoma" w:cs="Tahoma"/>
                <w:sz w:val="13"/>
              </w:rPr>
              <w:t>2</w:t>
            </w:r>
          </w:p>
        </w:tc>
        <w:tc>
          <w:tcPr>
            <w:tcW w:w="450" w:type="dxa"/>
            <w:tcBorders>
              <w:bottom w:val="single" w:sz="4" w:space="0" w:color="auto"/>
            </w:tcBorders>
            <w:shd w:val="clear" w:color="auto" w:fill="FABF8F"/>
            <w:vAlign w:val="center"/>
          </w:tcPr>
          <w:p w:rsidR="00637914" w:rsidRPr="004D10F1" w:rsidRDefault="00637914"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4D10F1" w:rsidRDefault="00637914"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4D10F1" w:rsidRDefault="00637914"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4D10F1" w:rsidRDefault="00637914" w:rsidP="000C5B5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4D10F1" w:rsidRDefault="00637914" w:rsidP="000C5B59">
            <w:pPr>
              <w:pStyle w:val="TableText"/>
              <w:rPr>
                <w:rFonts w:ascii="Tahoma" w:hAnsi="Tahoma" w:cs="Tahoma"/>
                <w:sz w:val="13"/>
              </w:rPr>
            </w:pPr>
          </w:p>
        </w:tc>
        <w:tc>
          <w:tcPr>
            <w:tcW w:w="450" w:type="dxa"/>
            <w:tcBorders>
              <w:bottom w:val="single" w:sz="4" w:space="0" w:color="auto"/>
            </w:tcBorders>
            <w:shd w:val="clear" w:color="auto" w:fill="FABF8F"/>
            <w:vAlign w:val="center"/>
          </w:tcPr>
          <w:p w:rsidR="00637914" w:rsidRPr="004D10F1" w:rsidRDefault="00637914" w:rsidP="000C5B59">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4D10F1" w:rsidRDefault="00637914" w:rsidP="000C5B59">
            <w:pPr>
              <w:pStyle w:val="TableText"/>
              <w:rPr>
                <w:rFonts w:ascii="Tahoma" w:hAnsi="Tahoma" w:cs="Tahoma"/>
                <w:sz w:val="13"/>
              </w:rPr>
            </w:pPr>
          </w:p>
        </w:tc>
      </w:tr>
      <w:tr w:rsidR="001C61C9" w:rsidRPr="004D10F1" w:rsidTr="00ED50C8">
        <w:trPr>
          <w:trHeight w:val="145"/>
        </w:trPr>
        <w:tc>
          <w:tcPr>
            <w:tcW w:w="2610" w:type="dxa"/>
            <w:tcBorders>
              <w:bottom w:val="single" w:sz="4" w:space="0" w:color="auto"/>
            </w:tcBorders>
            <w:shd w:val="clear" w:color="auto" w:fill="auto"/>
          </w:tcPr>
          <w:p w:rsidR="001C61C9" w:rsidRPr="004D10F1" w:rsidRDefault="001C61C9" w:rsidP="00C02B5C">
            <w:pPr>
              <w:pStyle w:val="ProductNames"/>
              <w:rPr>
                <w:rFonts w:ascii="Tahoma" w:hAnsi="Tahoma" w:cs="Tahoma"/>
                <w:sz w:val="14"/>
              </w:rPr>
            </w:pPr>
            <w:bookmarkStart w:id="121" w:name="_Toc363998656"/>
            <w:r w:rsidRPr="004D10F1">
              <w:rPr>
                <w:rFonts w:ascii="Tahoma" w:hAnsi="Tahoma" w:cs="Tahoma"/>
                <w:sz w:val="14"/>
              </w:rPr>
              <w:t>Windows Vista DVD Playback Pack</w:t>
            </w:r>
            <w:bookmarkEnd w:id="121"/>
          </w:p>
        </w:tc>
        <w:tc>
          <w:tcPr>
            <w:tcW w:w="405" w:type="dxa"/>
            <w:tcBorders>
              <w:bottom w:val="single" w:sz="4" w:space="0" w:color="auto"/>
            </w:tcBorders>
            <w:shd w:val="clear" w:color="auto" w:fill="auto"/>
            <w:vAlign w:val="center"/>
          </w:tcPr>
          <w:p w:rsidR="001C61C9" w:rsidRPr="00C02B5C" w:rsidRDefault="005B744B" w:rsidP="009D43FB">
            <w:pPr>
              <w:pStyle w:val="TableText"/>
              <w:widowControl w:val="0"/>
              <w:rPr>
                <w:rFonts w:cs="Tahoma"/>
                <w:sz w:val="13"/>
                <w:szCs w:val="13"/>
              </w:rPr>
            </w:pPr>
            <w:hyperlink w:anchor="_30_Windows_Vista" w:history="1">
              <w:r w:rsidR="00316801" w:rsidRPr="00C02B5C">
                <w:rPr>
                  <w:rStyle w:val="Hyperlink"/>
                  <w:rFonts w:cs="Tahoma"/>
                  <w:b/>
                  <w:sz w:val="13"/>
                  <w:szCs w:val="13"/>
                </w:rPr>
                <w:t>30</w:t>
              </w:r>
            </w:hyperlink>
          </w:p>
        </w:tc>
        <w:tc>
          <w:tcPr>
            <w:tcW w:w="468" w:type="dxa"/>
            <w:tcBorders>
              <w:bottom w:val="single" w:sz="4" w:space="0" w:color="auto"/>
            </w:tcBorders>
            <w:shd w:val="clear" w:color="auto" w:fill="auto"/>
            <w:vAlign w:val="center"/>
          </w:tcPr>
          <w:p w:rsidR="001C61C9" w:rsidRPr="004D10F1" w:rsidRDefault="001C61C9" w:rsidP="000C5B59">
            <w:pPr>
              <w:pStyle w:val="TableText"/>
              <w:rPr>
                <w:rFonts w:ascii="Tahoma" w:hAnsi="Tahoma" w:cs="Tahoma"/>
                <w:sz w:val="13"/>
              </w:rPr>
            </w:pPr>
            <w:r w:rsidRPr="004D10F1">
              <w:rPr>
                <w:rFonts w:ascii="Tahoma" w:hAnsi="Tahoma" w:cs="Tahoma"/>
                <w:sz w:val="13"/>
              </w:rPr>
              <w:t>03/11</w:t>
            </w:r>
          </w:p>
        </w:tc>
        <w:tc>
          <w:tcPr>
            <w:tcW w:w="297" w:type="dxa"/>
            <w:tcBorders>
              <w:bottom w:val="single" w:sz="4" w:space="0" w:color="auto"/>
              <w:right w:val="single" w:sz="18" w:space="0" w:color="auto"/>
            </w:tcBorders>
            <w:shd w:val="clear" w:color="auto" w:fill="auto"/>
            <w:vAlign w:val="center"/>
          </w:tcPr>
          <w:p w:rsidR="001C61C9" w:rsidRPr="004D10F1" w:rsidRDefault="001C61C9" w:rsidP="000C5B59">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4D10F1" w:rsidRDefault="001C61C9" w:rsidP="000C5B59">
            <w:pPr>
              <w:pStyle w:val="TableText"/>
              <w:rPr>
                <w:rFonts w:ascii="Tahoma" w:hAnsi="Tahoma" w:cs="Tahoma"/>
                <w:sz w:val="13"/>
              </w:rPr>
            </w:pPr>
            <w:r w:rsidRPr="004D10F1">
              <w:rPr>
                <w:rFonts w:ascii="Tahoma" w:hAnsi="Tahoma" w:cs="Tahoma"/>
                <w:sz w:val="13"/>
              </w:rPr>
              <w:t>2</w:t>
            </w:r>
          </w:p>
        </w:tc>
        <w:tc>
          <w:tcPr>
            <w:tcW w:w="450" w:type="dxa"/>
            <w:tcBorders>
              <w:bottom w:val="single" w:sz="4" w:space="0" w:color="auto"/>
            </w:tcBorders>
            <w:shd w:val="clear" w:color="auto" w:fill="auto"/>
            <w:vAlign w:val="center"/>
          </w:tcPr>
          <w:p w:rsidR="001C61C9" w:rsidRPr="004D10F1" w:rsidRDefault="001C61C9" w:rsidP="000C5B5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D10F1" w:rsidRDefault="001C61C9" w:rsidP="000C5B5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D10F1" w:rsidRDefault="001C61C9" w:rsidP="000C5B5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D10F1" w:rsidRDefault="001C61C9" w:rsidP="000C5B5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D10F1" w:rsidRDefault="001C61C9" w:rsidP="000C5B5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4D10F1" w:rsidRDefault="001C61C9"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4D10F1" w:rsidRDefault="001C61C9" w:rsidP="000C5B59">
            <w:pPr>
              <w:pStyle w:val="TableText"/>
              <w:rPr>
                <w:rFonts w:ascii="Tahoma" w:hAnsi="Tahoma" w:cs="Tahoma"/>
                <w:sz w:val="13"/>
              </w:rPr>
            </w:pPr>
            <w:r w:rsidRPr="004D10F1">
              <w:rPr>
                <w:rFonts w:ascii="Tahoma" w:hAnsi="Tahoma" w:cs="Tahoma"/>
                <w:sz w:val="13"/>
              </w:rPr>
              <w:t>2</w:t>
            </w:r>
          </w:p>
        </w:tc>
        <w:tc>
          <w:tcPr>
            <w:tcW w:w="450" w:type="dxa"/>
            <w:tcBorders>
              <w:bottom w:val="single" w:sz="4" w:space="0" w:color="auto"/>
            </w:tcBorders>
            <w:shd w:val="clear" w:color="auto" w:fill="auto"/>
            <w:vAlign w:val="center"/>
          </w:tcPr>
          <w:p w:rsidR="001C61C9" w:rsidRPr="004D10F1" w:rsidRDefault="001C61C9"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4D10F1" w:rsidRDefault="001C61C9"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4D10F1" w:rsidRDefault="001C61C9"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4D10F1" w:rsidRDefault="001C61C9" w:rsidP="000C5B5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4D10F1" w:rsidRDefault="001C61C9" w:rsidP="000C5B5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D10F1" w:rsidRDefault="001C61C9" w:rsidP="000C5B59">
            <w:pPr>
              <w:pStyle w:val="TableText"/>
              <w:rPr>
                <w:rFonts w:ascii="Tahoma" w:hAnsi="Tahoma" w:cs="Tahoma"/>
                <w:sz w:val="13"/>
              </w:rPr>
            </w:pPr>
          </w:p>
        </w:tc>
        <w:tc>
          <w:tcPr>
            <w:tcW w:w="540" w:type="dxa"/>
            <w:tcBorders>
              <w:bottom w:val="single" w:sz="4" w:space="0" w:color="auto"/>
            </w:tcBorders>
            <w:shd w:val="clear" w:color="auto" w:fill="auto"/>
            <w:vAlign w:val="center"/>
          </w:tcPr>
          <w:p w:rsidR="001C61C9" w:rsidRPr="004D10F1" w:rsidRDefault="001C61C9" w:rsidP="000C5B59">
            <w:pPr>
              <w:pStyle w:val="TableText"/>
              <w:rPr>
                <w:rFonts w:ascii="Tahoma" w:hAnsi="Tahoma" w:cs="Tahoma"/>
                <w:sz w:val="13"/>
              </w:rPr>
            </w:pPr>
          </w:p>
        </w:tc>
      </w:tr>
      <w:tr w:rsidR="00B50A5B" w:rsidRPr="004D10F1" w:rsidTr="00ED50C8">
        <w:trPr>
          <w:trHeight w:val="145"/>
        </w:trPr>
        <w:tc>
          <w:tcPr>
            <w:tcW w:w="2610" w:type="dxa"/>
            <w:tcBorders>
              <w:bottom w:val="single" w:sz="4" w:space="0" w:color="auto"/>
            </w:tcBorders>
            <w:shd w:val="clear" w:color="auto" w:fill="FABF8F"/>
          </w:tcPr>
          <w:p w:rsidR="00B27742" w:rsidRPr="004D10F1" w:rsidRDefault="00B27742" w:rsidP="00C02B5C">
            <w:pPr>
              <w:pStyle w:val="ProductNames"/>
              <w:rPr>
                <w:rFonts w:ascii="Tahoma" w:hAnsi="Tahoma" w:cs="Tahoma"/>
                <w:sz w:val="14"/>
              </w:rPr>
            </w:pPr>
            <w:bookmarkStart w:id="122" w:name="_Toc336337901"/>
            <w:bookmarkStart w:id="123" w:name="_Toc363998657"/>
            <w:r w:rsidRPr="004D10F1">
              <w:rPr>
                <w:rFonts w:ascii="Tahoma" w:hAnsi="Tahoma" w:cs="Tahoma"/>
                <w:sz w:val="14"/>
              </w:rPr>
              <w:t>Vermietungsrechte für Windows</w:t>
            </w:r>
            <w:bookmarkEnd w:id="122"/>
            <w:bookmarkEnd w:id="123"/>
          </w:p>
        </w:tc>
        <w:tc>
          <w:tcPr>
            <w:tcW w:w="405" w:type="dxa"/>
            <w:tcBorders>
              <w:bottom w:val="single" w:sz="4" w:space="0" w:color="auto"/>
            </w:tcBorders>
            <w:shd w:val="clear" w:color="auto" w:fill="FABF8F"/>
            <w:vAlign w:val="center"/>
          </w:tcPr>
          <w:p w:rsidR="00B27742" w:rsidRPr="00C02B5C" w:rsidRDefault="005B744B" w:rsidP="008A7B14">
            <w:pPr>
              <w:pStyle w:val="TableText"/>
              <w:widowControl w:val="0"/>
              <w:rPr>
                <w:rFonts w:cs="Tahoma"/>
                <w:b/>
                <w:sz w:val="13"/>
                <w:szCs w:val="13"/>
              </w:rPr>
            </w:pPr>
            <w:hyperlink w:anchor="_29_Windows_Vista" w:history="1">
              <w:r w:rsidR="008849B7" w:rsidRPr="00C02B5C">
                <w:rPr>
                  <w:rStyle w:val="Hyperlink"/>
                  <w:rFonts w:cs="Tahoma"/>
                  <w:b/>
                  <w:sz w:val="13"/>
                  <w:szCs w:val="13"/>
                </w:rPr>
                <w:t>30</w:t>
              </w:r>
            </w:hyperlink>
          </w:p>
        </w:tc>
        <w:tc>
          <w:tcPr>
            <w:tcW w:w="468"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04/09</w:t>
            </w:r>
          </w:p>
        </w:tc>
        <w:tc>
          <w:tcPr>
            <w:tcW w:w="297"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4D10F1" w:rsidRDefault="00391582" w:rsidP="000C5B59">
            <w:pPr>
              <w:pStyle w:val="TableText"/>
              <w:rPr>
                <w:rFonts w:ascii="Tahoma" w:hAnsi="Tahoma" w:cs="Tahoma"/>
                <w:sz w:val="13"/>
              </w:rPr>
            </w:pPr>
            <w:r w:rsidRPr="004D10F1">
              <w:rPr>
                <w:rFonts w:ascii="Tahoma" w:hAnsi="Tahoma" w:cs="Tahoma"/>
                <w:sz w:val="13"/>
              </w:rPr>
              <w:t>2</w:t>
            </w:r>
          </w:p>
        </w:tc>
        <w:tc>
          <w:tcPr>
            <w:tcW w:w="450"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4D10F1" w:rsidRDefault="00391582" w:rsidP="000C5B59">
            <w:pPr>
              <w:pStyle w:val="TableText"/>
              <w:rPr>
                <w:rFonts w:ascii="Tahoma" w:hAnsi="Tahoma" w:cs="Tahoma"/>
                <w:sz w:val="13"/>
              </w:rPr>
            </w:pPr>
            <w:r w:rsidRPr="004D10F1">
              <w:rPr>
                <w:rFonts w:ascii="Tahoma" w:hAnsi="Tahoma" w:cs="Tahoma"/>
                <w:sz w:val="13"/>
              </w:rPr>
              <w:t>2</w:t>
            </w:r>
          </w:p>
        </w:tc>
        <w:tc>
          <w:tcPr>
            <w:tcW w:w="450"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540"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p>
        </w:tc>
      </w:tr>
      <w:tr w:rsidR="00024DF4" w:rsidRPr="004D10F1" w:rsidTr="00ED50C8">
        <w:trPr>
          <w:trHeight w:val="145"/>
        </w:trPr>
        <w:tc>
          <w:tcPr>
            <w:tcW w:w="2610" w:type="dxa"/>
            <w:tcBorders>
              <w:bottom w:val="single" w:sz="4" w:space="0" w:color="auto"/>
            </w:tcBorders>
            <w:shd w:val="clear" w:color="auto" w:fill="auto"/>
          </w:tcPr>
          <w:p w:rsidR="00024DF4" w:rsidRPr="004D10F1" w:rsidRDefault="00D513A8" w:rsidP="00C02B5C">
            <w:pPr>
              <w:pStyle w:val="ProductNames"/>
              <w:rPr>
                <w:rFonts w:ascii="Tahoma" w:hAnsi="Tahoma" w:cs="Tahoma"/>
                <w:sz w:val="14"/>
              </w:rPr>
            </w:pPr>
            <w:bookmarkStart w:id="124" w:name="_Toc336337903"/>
            <w:bookmarkStart w:id="125" w:name="_Toc363998658"/>
            <w:bookmarkStart w:id="126" w:name="_Toc336337902"/>
            <w:r w:rsidRPr="004D10F1">
              <w:rPr>
                <w:rFonts w:ascii="Tahoma" w:hAnsi="Tahoma" w:cs="Tahoma"/>
                <w:sz w:val="14"/>
              </w:rPr>
              <w:t>Windows</w:t>
            </w:r>
            <w:r w:rsidR="0069040B" w:rsidRPr="0069040B">
              <w:rPr>
                <w:rFonts w:ascii="Tahoma" w:hAnsi="Tahoma" w:cs="Tahoma"/>
                <w:sz w:val="14"/>
                <w:vertAlign w:val="superscript"/>
              </w:rPr>
              <w:t>®</w:t>
            </w:r>
            <w:r w:rsidRPr="004D10F1">
              <w:rPr>
                <w:rFonts w:ascii="Tahoma" w:hAnsi="Tahoma" w:cs="Tahoma"/>
                <w:sz w:val="14"/>
              </w:rPr>
              <w:t xml:space="preserve"> 7 Partners in Learning</w:t>
            </w:r>
            <w:bookmarkEnd w:id="124"/>
            <w:bookmarkEnd w:id="125"/>
            <w:r w:rsidRPr="004D10F1">
              <w:rPr>
                <w:rFonts w:ascii="Tahoma" w:hAnsi="Tahoma" w:cs="Tahoma"/>
                <w:sz w:val="14"/>
              </w:rPr>
              <w:t xml:space="preserve"> </w:t>
            </w:r>
            <w:bookmarkEnd w:id="126"/>
          </w:p>
        </w:tc>
        <w:tc>
          <w:tcPr>
            <w:tcW w:w="405" w:type="dxa"/>
            <w:tcBorders>
              <w:bottom w:val="single" w:sz="4" w:space="0" w:color="auto"/>
            </w:tcBorders>
            <w:shd w:val="clear" w:color="auto" w:fill="auto"/>
            <w:vAlign w:val="center"/>
          </w:tcPr>
          <w:p w:rsidR="00024DF4" w:rsidRPr="00C02B5C" w:rsidRDefault="005B744B" w:rsidP="00D2429E">
            <w:pPr>
              <w:pStyle w:val="TableText"/>
              <w:widowControl w:val="0"/>
              <w:rPr>
                <w:rFonts w:cs="Tahoma"/>
                <w:b/>
                <w:sz w:val="13"/>
                <w:szCs w:val="13"/>
                <w:u w:val="single"/>
              </w:rPr>
            </w:pPr>
            <w:hyperlink w:anchor="_31_Windows®_7" w:history="1">
              <w:r w:rsidR="00316801" w:rsidRPr="00C02B5C">
                <w:rPr>
                  <w:rStyle w:val="Hyperlink"/>
                  <w:rFonts w:cs="Tahoma"/>
                  <w:b/>
                  <w:sz w:val="13"/>
                  <w:szCs w:val="13"/>
                </w:rPr>
                <w:t>31</w:t>
              </w:r>
            </w:hyperlink>
          </w:p>
        </w:tc>
        <w:tc>
          <w:tcPr>
            <w:tcW w:w="468" w:type="dxa"/>
            <w:tcBorders>
              <w:bottom w:val="single" w:sz="4" w:space="0" w:color="auto"/>
            </w:tcBorders>
            <w:shd w:val="clear" w:color="auto" w:fill="auto"/>
            <w:vAlign w:val="center"/>
          </w:tcPr>
          <w:p w:rsidR="00024DF4" w:rsidRPr="004D10F1" w:rsidRDefault="00D513A8" w:rsidP="000C5B59">
            <w:pPr>
              <w:pStyle w:val="TableText"/>
              <w:rPr>
                <w:rFonts w:ascii="Tahoma" w:hAnsi="Tahoma" w:cs="Tahoma"/>
                <w:sz w:val="13"/>
              </w:rPr>
            </w:pPr>
            <w:r w:rsidRPr="004D10F1">
              <w:rPr>
                <w:rFonts w:ascii="Tahoma" w:hAnsi="Tahoma" w:cs="Tahoma"/>
                <w:sz w:val="13"/>
              </w:rPr>
              <w:t>11/09</w:t>
            </w:r>
          </w:p>
        </w:tc>
        <w:tc>
          <w:tcPr>
            <w:tcW w:w="297" w:type="dxa"/>
            <w:tcBorders>
              <w:bottom w:val="single" w:sz="4" w:space="0" w:color="auto"/>
              <w:right w:val="single" w:sz="18" w:space="0" w:color="auto"/>
            </w:tcBorders>
            <w:shd w:val="clear" w:color="auto" w:fill="auto"/>
            <w:vAlign w:val="center"/>
          </w:tcPr>
          <w:p w:rsidR="00024DF4" w:rsidRPr="004D10F1" w:rsidRDefault="00024DF4" w:rsidP="000C5B59">
            <w:pPr>
              <w:pStyle w:val="TableText"/>
              <w:rPr>
                <w:rFonts w:ascii="Tahoma" w:hAnsi="Tahoma" w:cs="Tahoma"/>
                <w:sz w:val="13"/>
              </w:rPr>
            </w:pPr>
            <w:r w:rsidRPr="004D10F1">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4D10F1" w:rsidRDefault="00024DF4"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4D10F1" w:rsidRDefault="00024DF4" w:rsidP="000C5B59">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4D10F1" w:rsidRDefault="00024DF4"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4D10F1" w:rsidRDefault="00024DF4"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4D10F1" w:rsidRDefault="00D513A8" w:rsidP="000C5B59">
            <w:pPr>
              <w:pStyle w:val="TableText"/>
              <w:rPr>
                <w:rFonts w:ascii="Tahoma" w:hAnsi="Tahoma" w:cs="Tahoma"/>
                <w:sz w:val="13"/>
              </w:rPr>
            </w:pPr>
            <w:r w:rsidRPr="004D10F1">
              <w:rPr>
                <w:rFonts w:ascii="Tahoma" w:hAnsi="Tahoma" w:cs="Tahoma"/>
                <w:sz w:val="13"/>
              </w:rPr>
              <w:t xml:space="preserve">2 </w:t>
            </w:r>
            <w:r w:rsidRPr="004D10F1">
              <w:rPr>
                <w:rFonts w:ascii="Tahoma" w:hAnsi="Tahoma" w:cs="Tahoma"/>
                <w:sz w:val="10"/>
                <w:szCs w:val="12"/>
              </w:rPr>
              <w:t>(nur School</w:t>
            </w:r>
          </w:p>
        </w:tc>
        <w:tc>
          <w:tcPr>
            <w:tcW w:w="450" w:type="dxa"/>
            <w:tcBorders>
              <w:bottom w:val="single" w:sz="4" w:space="0" w:color="auto"/>
              <w:right w:val="single" w:sz="18" w:space="0" w:color="auto"/>
            </w:tcBorders>
            <w:shd w:val="clear" w:color="auto" w:fill="auto"/>
            <w:vAlign w:val="center"/>
          </w:tcPr>
          <w:p w:rsidR="00024DF4" w:rsidRPr="004D10F1" w:rsidRDefault="00024DF4" w:rsidP="000C5B5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4D10F1" w:rsidRDefault="00024DF4" w:rsidP="000C5B59">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4D10F1" w:rsidRDefault="00024DF4" w:rsidP="000C5B59">
            <w:pPr>
              <w:pStyle w:val="TableText"/>
              <w:rPr>
                <w:rFonts w:ascii="Tahoma" w:hAnsi="Tahoma" w:cs="Tahoma"/>
                <w:sz w:val="13"/>
              </w:rPr>
            </w:pPr>
          </w:p>
        </w:tc>
        <w:tc>
          <w:tcPr>
            <w:tcW w:w="540" w:type="dxa"/>
            <w:tcBorders>
              <w:bottom w:val="single" w:sz="4" w:space="0" w:color="auto"/>
            </w:tcBorders>
            <w:shd w:val="clear" w:color="auto" w:fill="auto"/>
            <w:vAlign w:val="center"/>
          </w:tcPr>
          <w:p w:rsidR="00024DF4" w:rsidRPr="004D10F1" w:rsidRDefault="00024DF4" w:rsidP="000C5B59">
            <w:pPr>
              <w:pStyle w:val="TableText"/>
              <w:rPr>
                <w:rFonts w:ascii="Tahoma" w:hAnsi="Tahoma" w:cs="Tahoma"/>
                <w:sz w:val="13"/>
              </w:rPr>
            </w:pPr>
          </w:p>
        </w:tc>
      </w:tr>
      <w:tr w:rsidR="00F23DD6" w:rsidRPr="004D10F1" w:rsidTr="00ED50C8">
        <w:trPr>
          <w:trHeight w:val="145"/>
        </w:trPr>
        <w:tc>
          <w:tcPr>
            <w:tcW w:w="2610" w:type="dxa"/>
            <w:tcBorders>
              <w:bottom w:val="single" w:sz="4" w:space="0" w:color="auto"/>
            </w:tcBorders>
            <w:shd w:val="clear" w:color="auto" w:fill="FABF8F"/>
          </w:tcPr>
          <w:p w:rsidR="001C61C9" w:rsidRPr="004D10F1" w:rsidRDefault="001C61C9" w:rsidP="005A76F9">
            <w:pPr>
              <w:pStyle w:val="ProductNames"/>
              <w:rPr>
                <w:rFonts w:ascii="Tahoma" w:hAnsi="Tahoma" w:cs="Tahoma"/>
                <w:sz w:val="14"/>
              </w:rPr>
            </w:pPr>
            <w:bookmarkStart w:id="127" w:name="_Toc363998659"/>
            <w:r w:rsidRPr="004D10F1">
              <w:rPr>
                <w:rFonts w:ascii="Tahoma" w:hAnsi="Tahoma" w:cs="Tahoma"/>
                <w:sz w:val="14"/>
              </w:rPr>
              <w:t>Windows 8 Enterprise Sideloading (100</w:t>
            </w:r>
            <w:r w:rsidR="005A76F9">
              <w:rPr>
                <w:rFonts w:ascii="Tahoma" w:hAnsi="Tahoma" w:cs="Tahoma"/>
                <w:sz w:val="14"/>
              </w:rPr>
              <w:t> </w:t>
            </w:r>
            <w:r w:rsidRPr="004D10F1">
              <w:rPr>
                <w:rFonts w:ascii="Tahoma" w:hAnsi="Tahoma" w:cs="Tahoma"/>
                <w:sz w:val="14"/>
              </w:rPr>
              <w:t>Pack)</w:t>
            </w:r>
            <w:bookmarkEnd w:id="127"/>
          </w:p>
        </w:tc>
        <w:tc>
          <w:tcPr>
            <w:tcW w:w="405" w:type="dxa"/>
            <w:tcBorders>
              <w:bottom w:val="single" w:sz="4" w:space="0" w:color="auto"/>
            </w:tcBorders>
            <w:shd w:val="clear" w:color="auto" w:fill="FABF8F"/>
            <w:vAlign w:val="center"/>
          </w:tcPr>
          <w:p w:rsidR="001C61C9" w:rsidRPr="00C02B5C" w:rsidRDefault="005B744B" w:rsidP="003D5C46">
            <w:pPr>
              <w:pStyle w:val="TableText"/>
              <w:widowControl w:val="0"/>
              <w:rPr>
                <w:rFonts w:cs="Tahoma"/>
                <w:sz w:val="13"/>
                <w:szCs w:val="13"/>
              </w:rPr>
            </w:pPr>
            <w:hyperlink w:anchor="_28_Windows®_8" w:history="1">
              <w:r w:rsidR="00316801" w:rsidRPr="00C02B5C">
                <w:rPr>
                  <w:rStyle w:val="Hyperlink"/>
                  <w:rFonts w:cs="Tahoma"/>
                  <w:b/>
                  <w:sz w:val="13"/>
                  <w:szCs w:val="13"/>
                </w:rPr>
                <w:t>32</w:t>
              </w:r>
            </w:hyperlink>
          </w:p>
        </w:tc>
        <w:tc>
          <w:tcPr>
            <w:tcW w:w="468" w:type="dxa"/>
            <w:tcBorders>
              <w:bottom w:val="single" w:sz="4" w:space="0" w:color="auto"/>
            </w:tcBorders>
            <w:shd w:val="clear" w:color="auto" w:fill="FABF8F"/>
            <w:vAlign w:val="center"/>
          </w:tcPr>
          <w:p w:rsidR="001C61C9" w:rsidRPr="004D10F1" w:rsidRDefault="001C61C9" w:rsidP="000C5B59">
            <w:pPr>
              <w:pStyle w:val="TableText"/>
              <w:rPr>
                <w:rFonts w:ascii="Tahoma" w:hAnsi="Tahoma" w:cs="Tahoma"/>
                <w:sz w:val="13"/>
              </w:rPr>
            </w:pPr>
            <w:r w:rsidRPr="004D10F1">
              <w:rPr>
                <w:rFonts w:ascii="Tahoma" w:hAnsi="Tahoma" w:cs="Tahoma"/>
                <w:sz w:val="13"/>
              </w:rPr>
              <w:t>09/12</w:t>
            </w:r>
          </w:p>
        </w:tc>
        <w:tc>
          <w:tcPr>
            <w:tcW w:w="297" w:type="dxa"/>
            <w:tcBorders>
              <w:bottom w:val="single" w:sz="4" w:space="0" w:color="auto"/>
              <w:right w:val="single" w:sz="18" w:space="0" w:color="auto"/>
            </w:tcBorders>
            <w:shd w:val="clear" w:color="auto" w:fill="FABF8F"/>
            <w:vAlign w:val="center"/>
          </w:tcPr>
          <w:p w:rsidR="001C61C9" w:rsidRPr="004D10F1" w:rsidRDefault="001C61C9" w:rsidP="000C5B5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4D10F1" w:rsidRDefault="001C61C9" w:rsidP="000C5B59">
            <w:pPr>
              <w:pStyle w:val="TableText"/>
              <w:rPr>
                <w:rFonts w:ascii="Tahoma" w:hAnsi="Tahoma" w:cs="Tahoma"/>
                <w:sz w:val="13"/>
              </w:rPr>
            </w:pPr>
            <w:r w:rsidRPr="004D10F1">
              <w:rPr>
                <w:rFonts w:ascii="Tahoma" w:hAnsi="Tahoma" w:cs="Tahoma"/>
                <w:sz w:val="13"/>
              </w:rPr>
              <w:t>12</w:t>
            </w:r>
          </w:p>
        </w:tc>
        <w:tc>
          <w:tcPr>
            <w:tcW w:w="450" w:type="dxa"/>
            <w:tcBorders>
              <w:bottom w:val="single" w:sz="4" w:space="0" w:color="auto"/>
            </w:tcBorders>
            <w:shd w:val="clear" w:color="auto" w:fill="FABF8F"/>
            <w:vAlign w:val="center"/>
          </w:tcPr>
          <w:p w:rsidR="001C61C9" w:rsidRPr="004D10F1" w:rsidRDefault="001C61C9" w:rsidP="000C5B5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D10F1" w:rsidRDefault="001C61C9" w:rsidP="000C5B5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D10F1" w:rsidRDefault="001C61C9" w:rsidP="000C5B5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D10F1" w:rsidRDefault="001C61C9" w:rsidP="000C5B5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D10F1" w:rsidRDefault="001C61C9" w:rsidP="000C5B5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4D10F1" w:rsidRDefault="001C61C9"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4D10F1" w:rsidRDefault="001C61C9" w:rsidP="000C5B59">
            <w:pPr>
              <w:pStyle w:val="TableText"/>
              <w:rPr>
                <w:rFonts w:ascii="Tahoma" w:hAnsi="Tahoma" w:cs="Tahoma"/>
                <w:sz w:val="13"/>
              </w:rPr>
            </w:pPr>
            <w:r w:rsidRPr="004D10F1">
              <w:rPr>
                <w:rFonts w:ascii="Tahoma" w:hAnsi="Tahoma" w:cs="Tahoma"/>
                <w:sz w:val="13"/>
              </w:rPr>
              <w:t>12</w:t>
            </w:r>
          </w:p>
        </w:tc>
        <w:tc>
          <w:tcPr>
            <w:tcW w:w="450" w:type="dxa"/>
            <w:tcBorders>
              <w:bottom w:val="single" w:sz="4" w:space="0" w:color="auto"/>
            </w:tcBorders>
            <w:shd w:val="clear" w:color="auto" w:fill="FABF8F"/>
            <w:vAlign w:val="center"/>
          </w:tcPr>
          <w:p w:rsidR="001C61C9" w:rsidRPr="004D10F1" w:rsidRDefault="001C61C9"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4D10F1" w:rsidRDefault="001C61C9"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4D10F1" w:rsidRDefault="001C61C9"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4D10F1" w:rsidRDefault="001C61C9" w:rsidP="000C5B5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4D10F1" w:rsidRDefault="001C61C9" w:rsidP="000C5B5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D10F1" w:rsidRDefault="001C61C9" w:rsidP="000C5B59">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4D10F1" w:rsidRDefault="009D43FB" w:rsidP="000C5B59">
            <w:pPr>
              <w:pStyle w:val="TableText"/>
              <w:rPr>
                <w:rFonts w:ascii="Tahoma" w:hAnsi="Tahoma" w:cs="Tahoma"/>
                <w:sz w:val="13"/>
              </w:rPr>
            </w:pPr>
            <w:r w:rsidRPr="004D10F1">
              <w:rPr>
                <w:rFonts w:ascii="Tahoma" w:hAnsi="Tahoma" w:cs="Tahoma"/>
                <w:sz w:val="13"/>
              </w:rPr>
              <w:t>OL</w:t>
            </w:r>
          </w:p>
        </w:tc>
      </w:tr>
      <w:tr w:rsidR="00B50A5B" w:rsidRPr="004D10F1" w:rsidTr="00ED50C8">
        <w:trPr>
          <w:trHeight w:val="145"/>
        </w:trPr>
        <w:tc>
          <w:tcPr>
            <w:tcW w:w="2610" w:type="dxa"/>
            <w:tcBorders>
              <w:bottom w:val="single" w:sz="4" w:space="0" w:color="auto"/>
            </w:tcBorders>
            <w:shd w:val="clear" w:color="auto" w:fill="auto"/>
          </w:tcPr>
          <w:p w:rsidR="00B27742" w:rsidRPr="004D10F1" w:rsidRDefault="00B27742" w:rsidP="00C02B5C">
            <w:pPr>
              <w:pStyle w:val="ProductNames"/>
              <w:rPr>
                <w:rFonts w:ascii="Tahoma" w:hAnsi="Tahoma" w:cs="Tahoma"/>
                <w:sz w:val="14"/>
              </w:rPr>
            </w:pPr>
            <w:bookmarkStart w:id="128" w:name="_Toc336337904"/>
            <w:bookmarkStart w:id="129" w:name="_Toc363998660"/>
            <w:r w:rsidRPr="004D10F1">
              <w:rPr>
                <w:rFonts w:ascii="Tahoma" w:hAnsi="Tahoma" w:cs="Tahoma"/>
                <w:sz w:val="14"/>
              </w:rPr>
              <w:t>Windows</w:t>
            </w:r>
            <w:r w:rsidR="0069040B" w:rsidRPr="0069040B">
              <w:rPr>
                <w:rFonts w:ascii="Tahoma" w:hAnsi="Tahoma" w:cs="Tahoma"/>
                <w:sz w:val="14"/>
                <w:vertAlign w:val="superscript"/>
              </w:rPr>
              <w:t>®</w:t>
            </w:r>
            <w:r w:rsidRPr="004D10F1">
              <w:rPr>
                <w:rFonts w:ascii="Tahoma" w:hAnsi="Tahoma" w:cs="Tahoma"/>
                <w:sz w:val="14"/>
              </w:rPr>
              <w:t xml:space="preserve"> 8 Pro</w:t>
            </w:r>
            <w:bookmarkEnd w:id="128"/>
            <w:bookmarkEnd w:id="129"/>
            <w:r w:rsidRPr="004D10F1">
              <w:rPr>
                <w:rFonts w:ascii="Tahoma" w:hAnsi="Tahoma" w:cs="Tahoma"/>
                <w:sz w:val="14"/>
              </w:rPr>
              <w:t xml:space="preserve"> </w:t>
            </w:r>
          </w:p>
        </w:tc>
        <w:tc>
          <w:tcPr>
            <w:tcW w:w="405" w:type="dxa"/>
            <w:tcBorders>
              <w:bottom w:val="single" w:sz="4" w:space="0" w:color="auto"/>
            </w:tcBorders>
            <w:shd w:val="clear" w:color="auto" w:fill="auto"/>
            <w:vAlign w:val="center"/>
          </w:tcPr>
          <w:p w:rsidR="00B27742" w:rsidRPr="00C02B5C" w:rsidRDefault="005B744B" w:rsidP="009D43FB">
            <w:pPr>
              <w:pStyle w:val="TableText"/>
              <w:widowControl w:val="0"/>
              <w:rPr>
                <w:rStyle w:val="EndnoteReference"/>
                <w:rFonts w:cs="Tahoma"/>
                <w:b w:val="0"/>
                <w:color w:val="0000FF"/>
                <w:sz w:val="13"/>
                <w:szCs w:val="13"/>
                <w:u w:val="single"/>
              </w:rPr>
            </w:pPr>
            <w:hyperlink w:anchor="_33_Windows®_8" w:history="1">
              <w:r w:rsidR="00316801" w:rsidRPr="00C02B5C">
                <w:rPr>
                  <w:rStyle w:val="Hyperlink"/>
                  <w:rFonts w:cs="Tahoma"/>
                  <w:b/>
                  <w:sz w:val="13"/>
                  <w:szCs w:val="13"/>
                </w:rPr>
                <w:t>33</w:t>
              </w:r>
            </w:hyperlink>
            <w:hyperlink w:anchor="_29_Windows®_8" w:history="1"/>
          </w:p>
        </w:tc>
        <w:tc>
          <w:tcPr>
            <w:tcW w:w="468" w:type="dxa"/>
            <w:tcBorders>
              <w:bottom w:val="single" w:sz="4"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08/12</w:t>
            </w:r>
          </w:p>
        </w:tc>
        <w:tc>
          <w:tcPr>
            <w:tcW w:w="297" w:type="dxa"/>
            <w:tcBorders>
              <w:bottom w:val="single" w:sz="4" w:space="0" w:color="auto"/>
              <w:right w:val="single" w:sz="18"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2</w:t>
            </w:r>
          </w:p>
        </w:tc>
        <w:tc>
          <w:tcPr>
            <w:tcW w:w="450" w:type="dxa"/>
            <w:tcBorders>
              <w:bottom w:val="single" w:sz="4"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5</w:t>
            </w:r>
          </w:p>
        </w:tc>
        <w:tc>
          <w:tcPr>
            <w:tcW w:w="450" w:type="dxa"/>
            <w:tcBorders>
              <w:bottom w:val="single" w:sz="4"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4</w:t>
            </w:r>
          </w:p>
        </w:tc>
        <w:tc>
          <w:tcPr>
            <w:tcW w:w="450" w:type="dxa"/>
            <w:tcBorders>
              <w:bottom w:val="single" w:sz="4"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3</w:t>
            </w:r>
          </w:p>
        </w:tc>
        <w:tc>
          <w:tcPr>
            <w:tcW w:w="450" w:type="dxa"/>
            <w:tcBorders>
              <w:bottom w:val="single" w:sz="4"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3</w:t>
            </w:r>
          </w:p>
        </w:tc>
        <w:tc>
          <w:tcPr>
            <w:tcW w:w="450" w:type="dxa"/>
            <w:tcBorders>
              <w:bottom w:val="single" w:sz="4"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2</w:t>
            </w:r>
          </w:p>
        </w:tc>
        <w:tc>
          <w:tcPr>
            <w:tcW w:w="450" w:type="dxa"/>
            <w:tcBorders>
              <w:bottom w:val="single" w:sz="4"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4D10F1" w:rsidRDefault="00664EE9" w:rsidP="000C5B59">
            <w:pPr>
              <w:pStyle w:val="TableText"/>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E, P</w:t>
            </w:r>
          </w:p>
        </w:tc>
        <w:tc>
          <w:tcPr>
            <w:tcW w:w="450" w:type="dxa"/>
            <w:tcBorders>
              <w:bottom w:val="single" w:sz="4"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E,ST</w:t>
            </w:r>
          </w:p>
        </w:tc>
        <w:tc>
          <w:tcPr>
            <w:tcW w:w="540" w:type="dxa"/>
            <w:tcBorders>
              <w:bottom w:val="single" w:sz="4" w:space="0" w:color="auto"/>
            </w:tcBorders>
            <w:shd w:val="clear" w:color="auto" w:fill="auto"/>
            <w:vAlign w:val="center"/>
          </w:tcPr>
          <w:p w:rsidR="00B27742" w:rsidRPr="004D10F1" w:rsidRDefault="00B27742" w:rsidP="000C5B59">
            <w:pPr>
              <w:pStyle w:val="TableText"/>
              <w:rPr>
                <w:rFonts w:ascii="Tahoma" w:hAnsi="Tahoma" w:cs="Tahoma"/>
                <w:sz w:val="13"/>
              </w:rPr>
            </w:pPr>
          </w:p>
        </w:tc>
      </w:tr>
      <w:tr w:rsidR="00B50A5B" w:rsidRPr="004D10F1" w:rsidTr="00ED50C8">
        <w:trPr>
          <w:trHeight w:val="145"/>
        </w:trPr>
        <w:tc>
          <w:tcPr>
            <w:tcW w:w="2610" w:type="dxa"/>
            <w:tcBorders>
              <w:bottom w:val="single" w:sz="4" w:space="0" w:color="auto"/>
            </w:tcBorders>
            <w:shd w:val="clear" w:color="auto" w:fill="FABF8F"/>
          </w:tcPr>
          <w:p w:rsidR="00B27742" w:rsidRPr="004D10F1" w:rsidRDefault="00B27742" w:rsidP="00C02B5C">
            <w:pPr>
              <w:pStyle w:val="ProductNames"/>
              <w:rPr>
                <w:rFonts w:ascii="Tahoma" w:hAnsi="Tahoma" w:cs="Tahoma"/>
                <w:sz w:val="14"/>
              </w:rPr>
            </w:pPr>
            <w:bookmarkStart w:id="130" w:name="_Toc336337905"/>
            <w:bookmarkStart w:id="131" w:name="_Toc363998661"/>
            <w:r w:rsidRPr="004D10F1">
              <w:rPr>
                <w:rFonts w:ascii="Tahoma" w:hAnsi="Tahoma" w:cs="Tahoma"/>
                <w:sz w:val="14"/>
              </w:rPr>
              <w:t>Windows</w:t>
            </w:r>
            <w:r w:rsidR="0069040B" w:rsidRPr="0069040B">
              <w:rPr>
                <w:rFonts w:ascii="Tahoma" w:hAnsi="Tahoma" w:cs="Tahoma"/>
                <w:sz w:val="14"/>
                <w:vertAlign w:val="superscript"/>
              </w:rPr>
              <w:t>®</w:t>
            </w:r>
            <w:r w:rsidRPr="004D10F1">
              <w:rPr>
                <w:rFonts w:ascii="Tahoma" w:hAnsi="Tahoma" w:cs="Tahoma"/>
                <w:sz w:val="14"/>
              </w:rPr>
              <w:t xml:space="preserve"> 8 Pro mit MDOP</w:t>
            </w:r>
            <w:bookmarkEnd w:id="130"/>
            <w:bookmarkEnd w:id="131"/>
            <w:r w:rsidRPr="004D10F1">
              <w:rPr>
                <w:rFonts w:ascii="Tahoma" w:hAnsi="Tahoma" w:cs="Tahoma"/>
                <w:sz w:val="14"/>
              </w:rPr>
              <w:t xml:space="preserve"> </w:t>
            </w:r>
          </w:p>
        </w:tc>
        <w:tc>
          <w:tcPr>
            <w:tcW w:w="405" w:type="dxa"/>
            <w:tcBorders>
              <w:bottom w:val="single" w:sz="4" w:space="0" w:color="auto"/>
            </w:tcBorders>
            <w:shd w:val="clear" w:color="auto" w:fill="FABF8F"/>
            <w:vAlign w:val="center"/>
          </w:tcPr>
          <w:p w:rsidR="00B27742" w:rsidRPr="00C02B5C" w:rsidRDefault="00B27742" w:rsidP="005D1AD1">
            <w:pPr>
              <w:pStyle w:val="TableText"/>
              <w:widowControl w:val="0"/>
              <w:rPr>
                <w:rStyle w:val="EndnoteReference"/>
                <w:rFonts w:cs="Tahoma"/>
                <w:color w:val="0000FF"/>
                <w:sz w:val="13"/>
                <w:szCs w:val="13"/>
                <w:u w:val="single"/>
              </w:rPr>
            </w:pPr>
          </w:p>
        </w:tc>
        <w:tc>
          <w:tcPr>
            <w:tcW w:w="468" w:type="dxa"/>
            <w:tcBorders>
              <w:bottom w:val="single" w:sz="4" w:space="0" w:color="auto"/>
            </w:tcBorders>
            <w:shd w:val="clear" w:color="auto" w:fill="FABF8F"/>
            <w:vAlign w:val="center"/>
          </w:tcPr>
          <w:p w:rsidR="00B27742" w:rsidRPr="004D10F1" w:rsidRDefault="001327D3" w:rsidP="000C5B59">
            <w:pPr>
              <w:pStyle w:val="TableText"/>
              <w:rPr>
                <w:rFonts w:ascii="Tahoma" w:hAnsi="Tahoma" w:cs="Tahoma"/>
                <w:sz w:val="13"/>
              </w:rPr>
            </w:pPr>
            <w:r w:rsidRPr="004D10F1">
              <w:rPr>
                <w:rFonts w:ascii="Tahoma" w:hAnsi="Tahoma" w:cs="Tahoma"/>
                <w:sz w:val="13"/>
              </w:rPr>
              <w:t>12/12</w:t>
            </w:r>
          </w:p>
        </w:tc>
        <w:tc>
          <w:tcPr>
            <w:tcW w:w="297"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2</w:t>
            </w:r>
          </w:p>
        </w:tc>
        <w:tc>
          <w:tcPr>
            <w:tcW w:w="450" w:type="dxa"/>
            <w:tcBorders>
              <w:bottom w:val="single" w:sz="4" w:space="0" w:color="auto"/>
            </w:tcBorders>
            <w:shd w:val="clear" w:color="auto" w:fill="FABF8F"/>
            <w:vAlign w:val="center"/>
          </w:tcPr>
          <w:p w:rsidR="00B27742" w:rsidRPr="004D10F1" w:rsidRDefault="00287725" w:rsidP="000C5B59">
            <w:pPr>
              <w:pStyle w:val="TableText"/>
              <w:rPr>
                <w:rFonts w:ascii="Tahoma" w:hAnsi="Tahoma" w:cs="Tahoma"/>
                <w:sz w:val="13"/>
              </w:rPr>
            </w:pPr>
            <w:r w:rsidRPr="004D10F1">
              <w:rPr>
                <w:rFonts w:ascii="Tahoma" w:hAnsi="Tahoma" w:cs="Tahoma"/>
                <w:sz w:val="13"/>
              </w:rPr>
              <w:t>6</w:t>
            </w:r>
          </w:p>
        </w:tc>
        <w:tc>
          <w:tcPr>
            <w:tcW w:w="450" w:type="dxa"/>
            <w:tcBorders>
              <w:bottom w:val="single" w:sz="4" w:space="0" w:color="auto"/>
            </w:tcBorders>
            <w:shd w:val="clear" w:color="auto" w:fill="FABF8F"/>
            <w:vAlign w:val="center"/>
          </w:tcPr>
          <w:p w:rsidR="00B27742" w:rsidRPr="004D10F1" w:rsidRDefault="00287725" w:rsidP="000C5B59">
            <w:pPr>
              <w:pStyle w:val="TableText"/>
              <w:rPr>
                <w:rFonts w:ascii="Tahoma" w:hAnsi="Tahoma" w:cs="Tahoma"/>
                <w:sz w:val="13"/>
              </w:rPr>
            </w:pPr>
            <w:r w:rsidRPr="004D10F1">
              <w:rPr>
                <w:rFonts w:ascii="Tahoma" w:hAnsi="Tahoma" w:cs="Tahoma"/>
                <w:sz w:val="13"/>
              </w:rPr>
              <w:t>5</w:t>
            </w:r>
          </w:p>
        </w:tc>
        <w:tc>
          <w:tcPr>
            <w:tcW w:w="450" w:type="dxa"/>
            <w:tcBorders>
              <w:bottom w:val="single" w:sz="4" w:space="0" w:color="auto"/>
            </w:tcBorders>
            <w:shd w:val="clear" w:color="auto" w:fill="FABF8F"/>
            <w:vAlign w:val="center"/>
          </w:tcPr>
          <w:p w:rsidR="00B27742" w:rsidRPr="004D10F1" w:rsidRDefault="00287725" w:rsidP="000C5B59">
            <w:pPr>
              <w:pStyle w:val="TableText"/>
              <w:rPr>
                <w:rFonts w:ascii="Tahoma" w:hAnsi="Tahoma" w:cs="Tahoma"/>
                <w:sz w:val="13"/>
              </w:rPr>
            </w:pPr>
            <w:r w:rsidRPr="004D10F1">
              <w:rPr>
                <w:rFonts w:ascii="Tahoma" w:hAnsi="Tahoma" w:cs="Tahoma"/>
                <w:sz w:val="13"/>
              </w:rPr>
              <w:t>4</w:t>
            </w:r>
          </w:p>
        </w:tc>
        <w:tc>
          <w:tcPr>
            <w:tcW w:w="450"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3</w:t>
            </w:r>
          </w:p>
        </w:tc>
        <w:tc>
          <w:tcPr>
            <w:tcW w:w="450"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4D10F1" w:rsidRDefault="00664EE9" w:rsidP="000C5B59">
            <w:pPr>
              <w:pStyle w:val="TableText"/>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E, P</w:t>
            </w:r>
          </w:p>
        </w:tc>
        <w:tc>
          <w:tcPr>
            <w:tcW w:w="450"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E,ST</w:t>
            </w:r>
          </w:p>
        </w:tc>
        <w:tc>
          <w:tcPr>
            <w:tcW w:w="540" w:type="dxa"/>
            <w:tcBorders>
              <w:bottom w:val="single" w:sz="4" w:space="0" w:color="auto"/>
            </w:tcBorders>
            <w:shd w:val="clear" w:color="auto" w:fill="FABF8F"/>
            <w:vAlign w:val="center"/>
          </w:tcPr>
          <w:p w:rsidR="00B27742" w:rsidRPr="004D10F1" w:rsidRDefault="00B27742" w:rsidP="000C5B59">
            <w:pPr>
              <w:pStyle w:val="TableText"/>
              <w:rPr>
                <w:rFonts w:ascii="Tahoma" w:hAnsi="Tahoma" w:cs="Tahoma"/>
                <w:sz w:val="13"/>
              </w:rPr>
            </w:pPr>
          </w:p>
        </w:tc>
      </w:tr>
      <w:tr w:rsidR="00B50A5B" w:rsidRPr="004D10F1" w:rsidTr="00ED50C8">
        <w:trPr>
          <w:trHeight w:val="123"/>
        </w:trPr>
        <w:tc>
          <w:tcPr>
            <w:tcW w:w="2610" w:type="dxa"/>
            <w:shd w:val="clear" w:color="auto" w:fill="auto"/>
          </w:tcPr>
          <w:p w:rsidR="00B27742" w:rsidRPr="004D10F1" w:rsidRDefault="00B27742" w:rsidP="00C02B5C">
            <w:pPr>
              <w:pStyle w:val="ProductNames"/>
              <w:spacing w:before="40" w:after="40"/>
              <w:rPr>
                <w:rFonts w:ascii="Tahoma" w:hAnsi="Tahoma" w:cs="Tahoma"/>
                <w:sz w:val="14"/>
              </w:rPr>
            </w:pPr>
            <w:bookmarkStart w:id="132" w:name="_Toc336337906"/>
            <w:bookmarkStart w:id="133" w:name="_Toc363998662"/>
            <w:r w:rsidRPr="004D10F1">
              <w:rPr>
                <w:rFonts w:ascii="Tahoma" w:hAnsi="Tahoma" w:cs="Tahoma"/>
                <w:sz w:val="14"/>
              </w:rPr>
              <w:t>Windows Virtual Desktop Access (VDA)</w:t>
            </w:r>
            <w:bookmarkEnd w:id="132"/>
            <w:bookmarkEnd w:id="133"/>
          </w:p>
        </w:tc>
        <w:tc>
          <w:tcPr>
            <w:tcW w:w="405" w:type="dxa"/>
            <w:shd w:val="clear" w:color="auto" w:fill="auto"/>
            <w:vAlign w:val="center"/>
          </w:tcPr>
          <w:p w:rsidR="00B27742" w:rsidRPr="00C02B5C" w:rsidRDefault="00B27742">
            <w:pPr>
              <w:pStyle w:val="TableText"/>
              <w:widowControl w:val="0"/>
              <w:rPr>
                <w:rStyle w:val="EndnoteReference"/>
                <w:rFonts w:cs="Tahoma"/>
                <w:color w:val="0000FF"/>
                <w:sz w:val="13"/>
                <w:szCs w:val="13"/>
              </w:rPr>
            </w:pPr>
          </w:p>
        </w:tc>
        <w:tc>
          <w:tcPr>
            <w:tcW w:w="468" w:type="dxa"/>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07/10</w:t>
            </w:r>
          </w:p>
        </w:tc>
        <w:tc>
          <w:tcPr>
            <w:tcW w:w="297" w:type="dxa"/>
            <w:tcBorders>
              <w:right w:val="single" w:sz="18"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2</w:t>
            </w:r>
          </w:p>
        </w:tc>
        <w:tc>
          <w:tcPr>
            <w:tcW w:w="450" w:type="dxa"/>
            <w:tcBorders>
              <w:left w:val="single" w:sz="18" w:space="0" w:color="auto"/>
            </w:tcBorders>
            <w:shd w:val="clear" w:color="auto" w:fill="auto"/>
            <w:vAlign w:val="center"/>
          </w:tcPr>
          <w:p w:rsidR="00B27742" w:rsidRPr="004D10F1" w:rsidRDefault="00B27742" w:rsidP="000C5B59">
            <w:pPr>
              <w:pStyle w:val="TableText"/>
              <w:rPr>
                <w:rFonts w:ascii="Tahoma" w:hAnsi="Tahoma" w:cs="Tahoma"/>
                <w:sz w:val="13"/>
              </w:rPr>
            </w:pPr>
          </w:p>
        </w:tc>
        <w:tc>
          <w:tcPr>
            <w:tcW w:w="450" w:type="dxa"/>
            <w:shd w:val="clear" w:color="auto" w:fill="auto"/>
            <w:vAlign w:val="center"/>
          </w:tcPr>
          <w:p w:rsidR="00B27742" w:rsidRPr="004D10F1" w:rsidRDefault="00B27742" w:rsidP="000C5B59">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4D10F1" w:rsidRDefault="00B27742" w:rsidP="000C5B59">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4D10F1" w:rsidRDefault="00F674A6" w:rsidP="000C5B59">
            <w:pPr>
              <w:pStyle w:val="TableText"/>
              <w:rPr>
                <w:rFonts w:ascii="Tahoma" w:hAnsi="Tahoma" w:cs="Tahoma"/>
                <w:sz w:val="13"/>
              </w:rPr>
            </w:pPr>
            <w:r>
              <w:rPr>
                <w:rFonts w:ascii="Tahoma" w:hAnsi="Tahoma" w:cs="Tahoma"/>
                <w:sz w:val="13"/>
              </w:rPr>
              <w:t>1</w:t>
            </w:r>
          </w:p>
        </w:tc>
        <w:tc>
          <w:tcPr>
            <w:tcW w:w="450" w:type="dxa"/>
            <w:tcBorders>
              <w:right w:val="single" w:sz="18"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4D10F1" w:rsidRDefault="00B27742" w:rsidP="000C5B59">
            <w:pPr>
              <w:pStyle w:val="TableText"/>
              <w:rPr>
                <w:rFonts w:ascii="Tahoma" w:hAnsi="Tahoma" w:cs="Tahoma"/>
                <w:sz w:val="13"/>
              </w:rPr>
            </w:pPr>
            <w:r w:rsidRPr="004D10F1">
              <w:rPr>
                <w:rFonts w:ascii="Tahoma" w:hAnsi="Tahoma" w:cs="Tahoma"/>
                <w:sz w:val="13"/>
              </w:rPr>
              <w:t>P</w:t>
            </w:r>
          </w:p>
        </w:tc>
        <w:tc>
          <w:tcPr>
            <w:tcW w:w="450" w:type="dxa"/>
            <w:shd w:val="clear" w:color="auto" w:fill="auto"/>
            <w:vAlign w:val="center"/>
          </w:tcPr>
          <w:p w:rsidR="00B27742" w:rsidRPr="004D10F1" w:rsidRDefault="00954BF1" w:rsidP="000C5B59">
            <w:pPr>
              <w:pStyle w:val="TableText"/>
              <w:rPr>
                <w:rFonts w:ascii="Tahoma" w:hAnsi="Tahoma" w:cs="Tahoma"/>
                <w:sz w:val="13"/>
              </w:rPr>
            </w:pPr>
            <w:r w:rsidRPr="004D10F1">
              <w:rPr>
                <w:rFonts w:ascii="Tahoma" w:hAnsi="Tahoma" w:cs="Tahoma"/>
                <w:sz w:val="13"/>
              </w:rPr>
              <w:t>A</w:t>
            </w:r>
          </w:p>
        </w:tc>
        <w:tc>
          <w:tcPr>
            <w:tcW w:w="540" w:type="dxa"/>
            <w:shd w:val="clear" w:color="auto" w:fill="auto"/>
            <w:vAlign w:val="center"/>
          </w:tcPr>
          <w:p w:rsidR="00B27742" w:rsidRPr="004D10F1" w:rsidRDefault="00B27742" w:rsidP="000C5B59">
            <w:pPr>
              <w:pStyle w:val="TableText"/>
              <w:rPr>
                <w:rFonts w:ascii="Tahoma" w:hAnsi="Tahoma" w:cs="Tahoma"/>
                <w:sz w:val="13"/>
              </w:rPr>
            </w:pPr>
          </w:p>
        </w:tc>
      </w:tr>
      <w:tr w:rsidR="006F741C" w:rsidRPr="004D10F1" w:rsidTr="00ED50C8">
        <w:trPr>
          <w:trHeight w:val="123"/>
        </w:trPr>
        <w:tc>
          <w:tcPr>
            <w:tcW w:w="2610" w:type="dxa"/>
            <w:shd w:val="clear" w:color="auto" w:fill="FABF8F"/>
          </w:tcPr>
          <w:p w:rsidR="006F741C" w:rsidRPr="004D10F1" w:rsidRDefault="006F741C" w:rsidP="00C02B5C">
            <w:pPr>
              <w:pStyle w:val="ProductNames"/>
              <w:rPr>
                <w:rFonts w:ascii="Tahoma" w:hAnsi="Tahoma" w:cs="Tahoma"/>
                <w:sz w:val="14"/>
              </w:rPr>
            </w:pPr>
            <w:bookmarkStart w:id="134" w:name="_Toc363998663"/>
            <w:r w:rsidRPr="004D10F1">
              <w:rPr>
                <w:rFonts w:ascii="Tahoma" w:hAnsi="Tahoma" w:cs="Tahoma"/>
                <w:sz w:val="14"/>
              </w:rPr>
              <w:t>Windows Intune (Pro Gerät)</w:t>
            </w:r>
            <w:bookmarkEnd w:id="134"/>
          </w:p>
        </w:tc>
        <w:tc>
          <w:tcPr>
            <w:tcW w:w="405" w:type="dxa"/>
            <w:shd w:val="clear" w:color="auto" w:fill="FABF8F"/>
            <w:vAlign w:val="center"/>
          </w:tcPr>
          <w:p w:rsidR="006F741C" w:rsidRPr="00C02B5C" w:rsidRDefault="005B744B" w:rsidP="003D5C46">
            <w:pPr>
              <w:pStyle w:val="TableText"/>
              <w:widowControl w:val="0"/>
              <w:rPr>
                <w:rStyle w:val="EndnoteReference"/>
                <w:rFonts w:cs="Tahoma"/>
                <w:b w:val="0"/>
                <w:color w:val="0000FF"/>
                <w:sz w:val="13"/>
                <w:szCs w:val="13"/>
              </w:rPr>
            </w:pPr>
            <w:hyperlink w:anchor="_29_Windows®_8" w:history="1">
              <w:r w:rsidR="00316801" w:rsidRPr="00C02B5C">
                <w:rPr>
                  <w:rStyle w:val="Hyperlink"/>
                  <w:rFonts w:cs="Tahoma"/>
                  <w:b/>
                  <w:sz w:val="13"/>
                  <w:szCs w:val="13"/>
                </w:rPr>
                <w:t>33</w:t>
              </w:r>
            </w:hyperlink>
          </w:p>
        </w:tc>
        <w:tc>
          <w:tcPr>
            <w:tcW w:w="468" w:type="dxa"/>
            <w:shd w:val="clear" w:color="auto" w:fill="FABF8F"/>
            <w:vAlign w:val="center"/>
          </w:tcPr>
          <w:p w:rsidR="006F741C" w:rsidRPr="004D10F1" w:rsidRDefault="00DB3ECB" w:rsidP="000C5B59">
            <w:pPr>
              <w:pStyle w:val="TableText"/>
              <w:rPr>
                <w:rFonts w:ascii="Tahoma" w:hAnsi="Tahoma" w:cs="Tahoma"/>
                <w:sz w:val="13"/>
              </w:rPr>
            </w:pPr>
            <w:r w:rsidRPr="004D10F1">
              <w:rPr>
                <w:rFonts w:ascii="Tahoma" w:hAnsi="Tahoma" w:cs="Tahoma"/>
                <w:sz w:val="13"/>
              </w:rPr>
              <w:t>04/11</w:t>
            </w:r>
          </w:p>
        </w:tc>
        <w:tc>
          <w:tcPr>
            <w:tcW w:w="297" w:type="dxa"/>
            <w:tcBorders>
              <w:right w:val="single" w:sz="18" w:space="0" w:color="auto"/>
            </w:tcBorders>
            <w:shd w:val="clear" w:color="auto" w:fill="FABF8F"/>
            <w:vAlign w:val="center"/>
          </w:tcPr>
          <w:p w:rsidR="006F741C" w:rsidRPr="004D10F1" w:rsidRDefault="006F741C" w:rsidP="000C5B59">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4D10F1" w:rsidRDefault="006F741C" w:rsidP="000C5B59">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4D10F1" w:rsidRDefault="006F741C" w:rsidP="000C5B59">
            <w:pPr>
              <w:pStyle w:val="TableText"/>
              <w:rPr>
                <w:rFonts w:ascii="Tahoma" w:hAnsi="Tahoma" w:cs="Tahoma"/>
                <w:sz w:val="13"/>
              </w:rPr>
            </w:pPr>
          </w:p>
        </w:tc>
        <w:tc>
          <w:tcPr>
            <w:tcW w:w="450" w:type="dxa"/>
            <w:shd w:val="clear" w:color="auto" w:fill="FABF8F"/>
            <w:vAlign w:val="center"/>
          </w:tcPr>
          <w:p w:rsidR="006F741C" w:rsidRPr="004D10F1" w:rsidRDefault="006F741C" w:rsidP="000C5B59">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4D10F1" w:rsidRDefault="006F741C" w:rsidP="000C5B59">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4D10F1" w:rsidRDefault="006F741C" w:rsidP="000C5B59">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4D10F1" w:rsidRDefault="006F741C" w:rsidP="000C5B5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4D10F1" w:rsidRDefault="006F741C" w:rsidP="000C5B59">
            <w:pPr>
              <w:pStyle w:val="TableText"/>
              <w:rPr>
                <w:rFonts w:ascii="Tahoma" w:hAnsi="Tahoma" w:cs="Tahoma"/>
                <w:sz w:val="13"/>
              </w:rPr>
            </w:pPr>
          </w:p>
        </w:tc>
        <w:tc>
          <w:tcPr>
            <w:tcW w:w="450" w:type="dxa"/>
            <w:shd w:val="clear" w:color="auto" w:fill="FABF8F"/>
            <w:vAlign w:val="center"/>
          </w:tcPr>
          <w:p w:rsidR="006F741C" w:rsidRPr="004D10F1" w:rsidRDefault="006F741C" w:rsidP="000C5B59">
            <w:pPr>
              <w:pStyle w:val="TableText"/>
              <w:rPr>
                <w:rFonts w:ascii="Tahoma" w:hAnsi="Tahoma" w:cs="Tahoma"/>
                <w:sz w:val="13"/>
              </w:rPr>
            </w:pPr>
          </w:p>
        </w:tc>
        <w:tc>
          <w:tcPr>
            <w:tcW w:w="540" w:type="dxa"/>
            <w:shd w:val="clear" w:color="auto" w:fill="FABF8F"/>
            <w:vAlign w:val="center"/>
          </w:tcPr>
          <w:p w:rsidR="006F741C" w:rsidRPr="004D10F1" w:rsidRDefault="006F741C" w:rsidP="000C5B59">
            <w:pPr>
              <w:pStyle w:val="TableText"/>
              <w:rPr>
                <w:rFonts w:ascii="Tahoma" w:hAnsi="Tahoma" w:cs="Tahoma"/>
                <w:sz w:val="13"/>
              </w:rPr>
            </w:pPr>
          </w:p>
        </w:tc>
      </w:tr>
      <w:tr w:rsidR="00955DF1" w:rsidRPr="004D10F1" w:rsidTr="00ED50C8">
        <w:trPr>
          <w:trHeight w:val="123"/>
        </w:trPr>
        <w:tc>
          <w:tcPr>
            <w:tcW w:w="2610" w:type="dxa"/>
            <w:tcBorders>
              <w:bottom w:val="single" w:sz="4" w:space="0" w:color="auto"/>
            </w:tcBorders>
            <w:shd w:val="clear" w:color="auto" w:fill="auto"/>
          </w:tcPr>
          <w:p w:rsidR="00955DF1" w:rsidRPr="004D10F1" w:rsidRDefault="00955DF1" w:rsidP="00C02B5C">
            <w:pPr>
              <w:pStyle w:val="ProductNames"/>
              <w:rPr>
                <w:rFonts w:ascii="Tahoma" w:hAnsi="Tahoma" w:cs="Tahoma"/>
                <w:sz w:val="14"/>
              </w:rPr>
            </w:pPr>
            <w:bookmarkStart w:id="135" w:name="_Toc363998664"/>
            <w:r w:rsidRPr="004D10F1">
              <w:rPr>
                <w:rFonts w:ascii="Tahoma" w:hAnsi="Tahoma" w:cs="Tahoma"/>
                <w:sz w:val="14"/>
              </w:rPr>
              <w:t>Windows Intune-Add-On (Pro Gerät)</w:t>
            </w:r>
            <w:bookmarkEnd w:id="135"/>
          </w:p>
        </w:tc>
        <w:tc>
          <w:tcPr>
            <w:tcW w:w="405" w:type="dxa"/>
            <w:tcBorders>
              <w:bottom w:val="single" w:sz="4" w:space="0" w:color="auto"/>
            </w:tcBorders>
            <w:shd w:val="clear" w:color="auto" w:fill="auto"/>
            <w:vAlign w:val="center"/>
          </w:tcPr>
          <w:p w:rsidR="00955DF1" w:rsidRPr="00C02B5C" w:rsidRDefault="005B744B" w:rsidP="009D43FB">
            <w:pPr>
              <w:pStyle w:val="TableText"/>
              <w:widowControl w:val="0"/>
              <w:rPr>
                <w:rStyle w:val="EndnoteReference"/>
                <w:rFonts w:cs="Tahoma"/>
                <w:b w:val="0"/>
                <w:color w:val="0000FF"/>
                <w:sz w:val="13"/>
                <w:szCs w:val="13"/>
              </w:rPr>
            </w:pPr>
            <w:hyperlink w:anchor="_34_Add-on_für" w:history="1">
              <w:r w:rsidR="00316801" w:rsidRPr="00C02B5C">
                <w:rPr>
                  <w:rStyle w:val="Hyperlink"/>
                  <w:rFonts w:cs="Tahoma"/>
                  <w:b/>
                  <w:sz w:val="13"/>
                  <w:szCs w:val="13"/>
                </w:rPr>
                <w:t>34</w:t>
              </w:r>
            </w:hyperlink>
            <w:hyperlink w:anchor="Sys_27WindowsVistaProUpgrade" w:history="1"/>
          </w:p>
        </w:tc>
        <w:tc>
          <w:tcPr>
            <w:tcW w:w="468" w:type="dxa"/>
            <w:tcBorders>
              <w:bottom w:val="single" w:sz="4" w:space="0" w:color="auto"/>
            </w:tcBorders>
            <w:shd w:val="clear" w:color="auto" w:fill="auto"/>
            <w:vAlign w:val="center"/>
          </w:tcPr>
          <w:p w:rsidR="00955DF1" w:rsidRPr="004D10F1" w:rsidRDefault="00DB3ECB" w:rsidP="000C5B59">
            <w:pPr>
              <w:pStyle w:val="TableText"/>
              <w:rPr>
                <w:rFonts w:ascii="Tahoma" w:hAnsi="Tahoma" w:cs="Tahoma"/>
                <w:sz w:val="13"/>
              </w:rPr>
            </w:pPr>
            <w:r w:rsidRPr="004D10F1">
              <w:rPr>
                <w:rFonts w:ascii="Tahoma" w:hAnsi="Tahoma" w:cs="Tahoma"/>
                <w:sz w:val="13"/>
              </w:rPr>
              <w:t>04/11</w:t>
            </w:r>
          </w:p>
        </w:tc>
        <w:tc>
          <w:tcPr>
            <w:tcW w:w="297" w:type="dxa"/>
            <w:tcBorders>
              <w:bottom w:val="single" w:sz="4" w:space="0" w:color="auto"/>
              <w:right w:val="single" w:sz="18" w:space="0" w:color="auto"/>
            </w:tcBorders>
            <w:shd w:val="clear" w:color="auto" w:fill="auto"/>
            <w:vAlign w:val="center"/>
          </w:tcPr>
          <w:p w:rsidR="00955DF1" w:rsidRPr="004D10F1" w:rsidRDefault="00955DF1" w:rsidP="000C5B59">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4D10F1" w:rsidRDefault="00955DF1"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4D10F1" w:rsidRDefault="00955DF1" w:rsidP="000C5B59">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4D10F1" w:rsidRDefault="00955DF1"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4D10F1" w:rsidRDefault="00955DF1" w:rsidP="000C5B5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4D10F1" w:rsidRDefault="00955DF1" w:rsidP="000C5B5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4D10F1" w:rsidRDefault="00955DF1" w:rsidP="000C5B5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4D10F1" w:rsidRDefault="00955DF1" w:rsidP="000C5B59">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4D10F1" w:rsidRDefault="00955DF1" w:rsidP="000C5B59">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4D10F1" w:rsidRDefault="00955DF1" w:rsidP="000C5B59">
            <w:pPr>
              <w:pStyle w:val="TableText"/>
              <w:rPr>
                <w:rFonts w:ascii="Tahoma" w:hAnsi="Tahoma" w:cs="Tahoma"/>
                <w:sz w:val="13"/>
              </w:rPr>
            </w:pPr>
          </w:p>
        </w:tc>
      </w:tr>
    </w:tbl>
    <w:p w:rsidR="0021637C" w:rsidRPr="004D10F1" w:rsidRDefault="0021637C" w:rsidP="004E292A">
      <w:pPr>
        <w:pStyle w:val="Heading3"/>
        <w:rPr>
          <w:rFonts w:ascii="Tahoma" w:hAnsi="Tahoma" w:cs="Tahoma"/>
        </w:rPr>
      </w:pPr>
    </w:p>
    <w:p w:rsidR="00023FE7" w:rsidRPr="004D10F1" w:rsidRDefault="00023FE7" w:rsidP="004E292A">
      <w:pPr>
        <w:pStyle w:val="Heading3"/>
        <w:rPr>
          <w:rFonts w:ascii="Tahoma" w:hAnsi="Tahoma" w:cs="Tahoma"/>
        </w:rPr>
      </w:pPr>
      <w:bookmarkStart w:id="136" w:name="_Toc336337908"/>
      <w:bookmarkStart w:id="137" w:name="_Toc363998665"/>
      <w:r w:rsidRPr="004D10F1">
        <w:rPr>
          <w:rFonts w:ascii="Tahoma" w:hAnsi="Tahoma" w:cs="Tahoma"/>
          <w:sz w:val="22"/>
          <w:szCs w:val="22"/>
        </w:rPr>
        <w:t>SERVER-POOL</w:t>
      </w:r>
      <w:bookmarkEnd w:id="136"/>
      <w:bookmarkEnd w:id="137"/>
    </w:p>
    <w:p w:rsidR="00023FE7" w:rsidRPr="004D10F1"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360"/>
        <w:gridCol w:w="540"/>
        <w:gridCol w:w="540"/>
      </w:tblGrid>
      <w:tr w:rsidR="001C38D4" w:rsidRPr="004D10F1" w:rsidTr="00C02B5C">
        <w:trPr>
          <w:cantSplit/>
          <w:trHeight w:val="389"/>
          <w:tblHeader/>
        </w:trPr>
        <w:tc>
          <w:tcPr>
            <w:tcW w:w="2734" w:type="dxa"/>
            <w:gridSpan w:val="2"/>
            <w:vMerge w:val="restart"/>
            <w:tcBorders>
              <w:top w:val="single" w:sz="4" w:space="0" w:color="FFFFFF"/>
              <w:left w:val="single" w:sz="4" w:space="0" w:color="FFFFFF"/>
            </w:tcBorders>
          </w:tcPr>
          <w:p w:rsidR="00C031FA" w:rsidRPr="004D10F1" w:rsidRDefault="00AB4ADA">
            <w:pPr>
              <w:rPr>
                <w:rFonts w:cs="Tahoma"/>
                <w:sz w:val="20"/>
              </w:rPr>
            </w:pPr>
            <w:r>
              <w:rPr>
                <w:rFonts w:cs="Tahoma"/>
                <w:noProof/>
              </w:rPr>
              <mc:AlternateContent>
                <mc:Choice Requires="wps">
                  <w:drawing>
                    <wp:anchor distT="0" distB="0" distL="114300" distR="114300" simplePos="0" relativeHeight="251663872" behindDoc="0" locked="0" layoutInCell="1" allowOverlap="1">
                      <wp:simplePos x="0" y="0"/>
                      <wp:positionH relativeFrom="column">
                        <wp:posOffset>1670050</wp:posOffset>
                      </wp:positionH>
                      <wp:positionV relativeFrom="paragraph">
                        <wp:posOffset>600075</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69D6" w:rsidRDefault="00E869D6">
                                  <w:pPr>
                                    <w:rPr>
                                      <w:color w:val="0000FF"/>
                                      <w:sz w:val="20"/>
                                    </w:rPr>
                                  </w:pPr>
                                  <w:r>
                                    <w:rPr>
                                      <w:rFonts w:cs="Tahoma"/>
                                      <w:b/>
                                      <w:color w:val="0000FF"/>
                                      <w:sz w:val="8"/>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1.5pt;margin-top:47.2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" filled="f" stroked="f">
                      <v:textbox style="mso-fit-shape-to-text:t">
                        <w:txbxContent>
                          <w:p w:rsidR="00E869D6" w:rsidRDefault="00E869D6">
                            <w:pPr>
                              <w:rPr>
                                <w:color w:val="0000FF"/>
                                <w:sz w:val="20"/>
                              </w:rPr>
                            </w:pPr>
                            <w:r>
                              <w:rPr>
                                <w:rFonts w:cs="Tahoma"/>
                                <w:b/>
                                <w:color w:val="0000FF"/>
                                <w:sz w:val="8"/>
                              </w:rPr>
                              <w:t>(Strg + Klick)</w:t>
                            </w:r>
                          </w:p>
                        </w:txbxContent>
                      </v:textbox>
                    </v:shape>
                  </w:pict>
                </mc:Fallback>
              </mc:AlternateContent>
            </w:r>
          </w:p>
        </w:tc>
        <w:tc>
          <w:tcPr>
            <w:tcW w:w="450" w:type="dxa"/>
            <w:vMerge w:val="restart"/>
            <w:tcBorders>
              <w:top w:val="single" w:sz="12" w:space="0" w:color="auto"/>
            </w:tcBorders>
            <w:textDirection w:val="btLr"/>
            <w:vAlign w:val="center"/>
          </w:tcPr>
          <w:p w:rsidR="00C031FA" w:rsidRPr="00C02B5C" w:rsidRDefault="00C031FA" w:rsidP="00C02B5C">
            <w:pPr>
              <w:pStyle w:val="TableVerticalText"/>
              <w:rPr>
                <w:rFonts w:ascii="Tahoma" w:hAnsi="Tahoma" w:cs="Tahoma"/>
                <w:sz w:val="9"/>
                <w:szCs w:val="9"/>
              </w:rPr>
            </w:pPr>
            <w:r w:rsidRPr="00C02B5C">
              <w:rPr>
                <w:rFonts w:ascii="Tahoma" w:hAnsi="Tahoma" w:cs="Tahoma"/>
                <w:sz w:val="9"/>
                <w:szCs w:val="9"/>
              </w:rPr>
              <w:t>Produkthinweise</w:t>
            </w:r>
          </w:p>
        </w:tc>
        <w:tc>
          <w:tcPr>
            <w:tcW w:w="450" w:type="dxa"/>
            <w:vMerge w:val="restart"/>
            <w:tcBorders>
              <w:top w:val="single" w:sz="12" w:space="0" w:color="auto"/>
            </w:tcBorders>
            <w:textDirection w:val="btLr"/>
            <w:vAlign w:val="center"/>
          </w:tcPr>
          <w:p w:rsidR="00C031FA" w:rsidRPr="00C02B5C" w:rsidRDefault="00C031FA" w:rsidP="00C02B5C">
            <w:pPr>
              <w:pStyle w:val="TableVerticalText"/>
              <w:rPr>
                <w:rFonts w:ascii="Tahoma" w:hAnsi="Tahoma" w:cs="Tahoma"/>
                <w:sz w:val="9"/>
                <w:szCs w:val="9"/>
              </w:rPr>
            </w:pPr>
          </w:p>
          <w:p w:rsidR="00C031FA" w:rsidRPr="00C02B5C" w:rsidRDefault="00C031FA" w:rsidP="00C02B5C">
            <w:pPr>
              <w:pStyle w:val="TableVerticalText"/>
              <w:rPr>
                <w:rFonts w:ascii="Tahoma" w:hAnsi="Tahoma" w:cs="Tahoma"/>
                <w:sz w:val="9"/>
                <w:szCs w:val="9"/>
              </w:rPr>
            </w:pPr>
            <w:r w:rsidRPr="00C02B5C">
              <w:rPr>
                <w:rFonts w:ascii="Tahoma" w:hAnsi="Tahoma" w:cs="Tahoma"/>
                <w:sz w:val="9"/>
                <w:szCs w:val="9"/>
              </w:rPr>
              <w:t>Verfügbarkeitsdatum</w:t>
            </w:r>
          </w:p>
        </w:tc>
        <w:tc>
          <w:tcPr>
            <w:tcW w:w="360" w:type="dxa"/>
            <w:vMerge w:val="restart"/>
            <w:tcBorders>
              <w:top w:val="single" w:sz="12" w:space="0" w:color="auto"/>
              <w:right w:val="single" w:sz="18" w:space="0" w:color="auto"/>
            </w:tcBorders>
            <w:textDirection w:val="btLr"/>
            <w:vAlign w:val="center"/>
          </w:tcPr>
          <w:p w:rsidR="00C031FA" w:rsidRPr="00C02B5C" w:rsidRDefault="00C031FA" w:rsidP="00C02B5C">
            <w:pPr>
              <w:pStyle w:val="TableVerticalText"/>
              <w:rPr>
                <w:rFonts w:ascii="Tahoma" w:hAnsi="Tahoma" w:cs="Tahoma"/>
                <w:sz w:val="9"/>
                <w:szCs w:val="9"/>
              </w:rPr>
            </w:pPr>
            <w:r w:rsidRPr="00C02B5C">
              <w:rPr>
                <w:rFonts w:ascii="Tahoma" w:hAnsi="Tahoma" w:cs="Tahoma"/>
                <w:sz w:val="9"/>
                <w:szCs w:val="9"/>
              </w:rPr>
              <w:t>SAB / OSB</w:t>
            </w:r>
          </w:p>
        </w:tc>
        <w:tc>
          <w:tcPr>
            <w:tcW w:w="2970" w:type="dxa"/>
            <w:gridSpan w:val="13"/>
            <w:tcBorders>
              <w:top w:val="single" w:sz="12" w:space="0" w:color="auto"/>
              <w:left w:val="single" w:sz="18" w:space="0" w:color="auto"/>
              <w:right w:val="single" w:sz="18" w:space="0" w:color="auto"/>
            </w:tcBorders>
            <w:vAlign w:val="center"/>
          </w:tcPr>
          <w:p w:rsidR="00C031FA" w:rsidRPr="00C02B5C" w:rsidRDefault="00C031FA" w:rsidP="00C02B5C">
            <w:pPr>
              <w:pStyle w:val="TableHeadingsBlack"/>
              <w:spacing w:before="0"/>
              <w:rPr>
                <w:rFonts w:ascii="Tahoma" w:hAnsi="Tahoma" w:cs="Tahoma"/>
                <w:sz w:val="9"/>
                <w:szCs w:val="9"/>
              </w:rPr>
            </w:pPr>
            <w:r w:rsidRPr="00C02B5C">
              <w:rPr>
                <w:rFonts w:ascii="Tahoma" w:hAnsi="Tahoma" w:cs="Tahoma"/>
                <w:sz w:val="9"/>
                <w:szCs w:val="9"/>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C02B5C" w:rsidRDefault="00C031FA" w:rsidP="00C02B5C">
            <w:pPr>
              <w:pStyle w:val="TableHeadingsBlack"/>
              <w:spacing w:before="0"/>
              <w:rPr>
                <w:rFonts w:ascii="Tahoma" w:hAnsi="Tahoma" w:cs="Tahoma"/>
                <w:sz w:val="9"/>
                <w:szCs w:val="9"/>
              </w:rPr>
            </w:pPr>
            <w:r w:rsidRPr="00C02B5C">
              <w:rPr>
                <w:rFonts w:ascii="Tahoma" w:hAnsi="Tahoma" w:cs="Tahoma"/>
                <w:sz w:val="9"/>
                <w:szCs w:val="9"/>
              </w:rPr>
              <w:t>Open-Lizenz</w:t>
            </w:r>
          </w:p>
        </w:tc>
        <w:tc>
          <w:tcPr>
            <w:tcW w:w="450" w:type="dxa"/>
            <w:vMerge w:val="restart"/>
            <w:tcBorders>
              <w:top w:val="single" w:sz="12" w:space="0" w:color="auto"/>
              <w:left w:val="single" w:sz="18" w:space="0" w:color="auto"/>
            </w:tcBorders>
            <w:textDirection w:val="btLr"/>
            <w:vAlign w:val="center"/>
          </w:tcPr>
          <w:p w:rsidR="00C031FA" w:rsidRPr="00C02B5C" w:rsidRDefault="00C031FA" w:rsidP="00C02B5C">
            <w:pPr>
              <w:pStyle w:val="TableVerticalText"/>
              <w:rPr>
                <w:rFonts w:ascii="Tahoma" w:hAnsi="Tahoma" w:cs="Tahoma"/>
                <w:sz w:val="9"/>
                <w:szCs w:val="9"/>
              </w:rPr>
            </w:pPr>
            <w:r w:rsidRPr="00C02B5C">
              <w:rPr>
                <w:rFonts w:ascii="Tahoma" w:hAnsi="Tahoma" w:cs="Tahoma"/>
                <w:sz w:val="9"/>
                <w:szCs w:val="9"/>
              </w:rPr>
              <w:t>Campus- und School-Einheiten</w:t>
            </w:r>
          </w:p>
        </w:tc>
        <w:tc>
          <w:tcPr>
            <w:tcW w:w="450" w:type="dxa"/>
            <w:vMerge w:val="restart"/>
            <w:tcBorders>
              <w:top w:val="single" w:sz="12" w:space="0" w:color="auto"/>
              <w:right w:val="single" w:sz="18" w:space="0" w:color="auto"/>
            </w:tcBorders>
            <w:textDirection w:val="btLr"/>
            <w:vAlign w:val="center"/>
          </w:tcPr>
          <w:p w:rsidR="00C031FA" w:rsidRPr="00C02B5C" w:rsidRDefault="00C031FA" w:rsidP="00C02B5C">
            <w:pPr>
              <w:pStyle w:val="TableVerticalText"/>
              <w:rPr>
                <w:rFonts w:ascii="Tahoma" w:hAnsi="Tahoma" w:cs="Tahoma"/>
                <w:sz w:val="9"/>
                <w:szCs w:val="9"/>
              </w:rPr>
            </w:pPr>
            <w:r w:rsidRPr="00C02B5C">
              <w:rPr>
                <w:rFonts w:ascii="Tahoma" w:hAnsi="Tahoma" w:cs="Tahoma"/>
                <w:sz w:val="9"/>
                <w:szCs w:val="9"/>
              </w:rPr>
              <w:t>EA und EA Abo</w:t>
            </w:r>
          </w:p>
        </w:tc>
        <w:tc>
          <w:tcPr>
            <w:tcW w:w="360" w:type="dxa"/>
            <w:vMerge w:val="restart"/>
            <w:tcBorders>
              <w:top w:val="single" w:sz="12" w:space="0" w:color="auto"/>
              <w:left w:val="single" w:sz="18" w:space="0" w:color="auto"/>
              <w:right w:val="single" w:sz="18" w:space="0" w:color="auto"/>
            </w:tcBorders>
            <w:textDirection w:val="btLr"/>
            <w:vAlign w:val="center"/>
          </w:tcPr>
          <w:p w:rsidR="00C031FA" w:rsidRPr="00C02B5C" w:rsidRDefault="00C031FA" w:rsidP="00C02B5C">
            <w:pPr>
              <w:pStyle w:val="TableVerticalText"/>
              <w:rPr>
                <w:rFonts w:ascii="Tahoma" w:hAnsi="Tahoma" w:cs="Tahoma"/>
                <w:sz w:val="9"/>
                <w:szCs w:val="9"/>
              </w:rPr>
            </w:pPr>
            <w:r w:rsidRPr="00C02B5C">
              <w:rPr>
                <w:rFonts w:ascii="Tahoma" w:hAnsi="Tahoma" w:cs="Tahoma"/>
                <w:sz w:val="9"/>
                <w:szCs w:val="9"/>
              </w:rPr>
              <w:t>OV/OVS</w:t>
            </w:r>
          </w:p>
        </w:tc>
        <w:tc>
          <w:tcPr>
            <w:tcW w:w="540" w:type="dxa"/>
            <w:vMerge w:val="restart"/>
            <w:tcBorders>
              <w:top w:val="single" w:sz="12" w:space="0" w:color="auto"/>
            </w:tcBorders>
            <w:textDirection w:val="btLr"/>
            <w:vAlign w:val="center"/>
          </w:tcPr>
          <w:p w:rsidR="00C031FA" w:rsidRPr="00C02B5C" w:rsidRDefault="00C031FA" w:rsidP="00C02B5C">
            <w:pPr>
              <w:pStyle w:val="TableVerticalText"/>
              <w:rPr>
                <w:rFonts w:ascii="Tahoma" w:hAnsi="Tahoma" w:cs="Tahoma"/>
                <w:sz w:val="9"/>
                <w:szCs w:val="9"/>
              </w:rPr>
            </w:pPr>
            <w:r w:rsidRPr="00C02B5C">
              <w:rPr>
                <w:rFonts w:ascii="Tahoma" w:hAnsi="Tahoma" w:cs="Tahoma"/>
                <w:sz w:val="9"/>
                <w:szCs w:val="9"/>
              </w:rPr>
              <w:t>EES/OVS-ES</w:t>
            </w:r>
          </w:p>
        </w:tc>
        <w:tc>
          <w:tcPr>
            <w:tcW w:w="540" w:type="dxa"/>
            <w:vMerge w:val="restart"/>
            <w:tcBorders>
              <w:top w:val="single" w:sz="12" w:space="0" w:color="auto"/>
            </w:tcBorders>
            <w:textDirection w:val="btLr"/>
            <w:vAlign w:val="center"/>
          </w:tcPr>
          <w:p w:rsidR="00C031FA" w:rsidRPr="00C02B5C" w:rsidRDefault="00C031FA" w:rsidP="00C02B5C">
            <w:pPr>
              <w:pStyle w:val="TableVerticalText"/>
              <w:rPr>
                <w:rFonts w:ascii="Tahoma" w:hAnsi="Tahoma" w:cs="Tahoma"/>
                <w:sz w:val="9"/>
                <w:szCs w:val="9"/>
              </w:rPr>
            </w:pPr>
            <w:r w:rsidRPr="00C02B5C">
              <w:rPr>
                <w:rFonts w:ascii="Tahoma" w:hAnsi="Tahoma" w:cs="Tahoma"/>
                <w:sz w:val="9"/>
                <w:szCs w:val="9"/>
              </w:rPr>
              <w:t>Mindestmenge bei Open-Programmen</w:t>
            </w:r>
          </w:p>
        </w:tc>
      </w:tr>
      <w:tr w:rsidR="001C38D4" w:rsidRPr="004D10F1" w:rsidTr="00C02B5C">
        <w:trPr>
          <w:cantSplit/>
          <w:trHeight w:val="262"/>
          <w:tblHeader/>
        </w:trPr>
        <w:tc>
          <w:tcPr>
            <w:tcW w:w="2734" w:type="dxa"/>
            <w:gridSpan w:val="2"/>
            <w:vMerge/>
            <w:tcBorders>
              <w:left w:val="single" w:sz="4" w:space="0" w:color="FFFFFF"/>
            </w:tcBorders>
          </w:tcPr>
          <w:p w:rsidR="00C031FA" w:rsidRPr="004D10F1" w:rsidRDefault="00C031FA">
            <w:pPr>
              <w:rPr>
                <w:rFonts w:cs="Tahoma"/>
                <w:sz w:val="20"/>
              </w:rPr>
            </w:pPr>
          </w:p>
        </w:tc>
        <w:tc>
          <w:tcPr>
            <w:tcW w:w="450" w:type="dxa"/>
            <w:vMerge/>
          </w:tcPr>
          <w:p w:rsidR="00C031FA" w:rsidRPr="004D10F1" w:rsidRDefault="00C031FA">
            <w:pPr>
              <w:rPr>
                <w:rFonts w:cs="Tahoma"/>
                <w:b/>
                <w:sz w:val="20"/>
              </w:rPr>
            </w:pPr>
          </w:p>
        </w:tc>
        <w:tc>
          <w:tcPr>
            <w:tcW w:w="450" w:type="dxa"/>
            <w:vMerge/>
          </w:tcPr>
          <w:p w:rsidR="00C031FA" w:rsidRPr="004D10F1" w:rsidRDefault="00C031FA">
            <w:pPr>
              <w:rPr>
                <w:rFonts w:cs="Tahoma"/>
                <w:sz w:val="20"/>
              </w:rPr>
            </w:pPr>
          </w:p>
        </w:tc>
        <w:tc>
          <w:tcPr>
            <w:tcW w:w="360" w:type="dxa"/>
            <w:vMerge/>
            <w:tcBorders>
              <w:right w:val="single" w:sz="18" w:space="0" w:color="auto"/>
            </w:tcBorders>
          </w:tcPr>
          <w:p w:rsidR="00C031FA" w:rsidRPr="004D10F1" w:rsidRDefault="00C031FA">
            <w:pPr>
              <w:rPr>
                <w:rFonts w:cs="Tahoma"/>
                <w:sz w:val="20"/>
              </w:rPr>
            </w:pPr>
          </w:p>
        </w:tc>
        <w:tc>
          <w:tcPr>
            <w:tcW w:w="360" w:type="dxa"/>
            <w:vMerge w:val="restart"/>
            <w:tcBorders>
              <w:left w:val="single" w:sz="18" w:space="0" w:color="auto"/>
            </w:tcBorders>
            <w:vAlign w:val="center"/>
          </w:tcPr>
          <w:p w:rsidR="00C031FA" w:rsidRPr="004D10F1" w:rsidRDefault="00C031FA">
            <w:pPr>
              <w:pStyle w:val="TableHeadingsRed"/>
              <w:rPr>
                <w:rFonts w:ascii="Tahoma" w:hAnsi="Tahoma" w:cs="Tahoma"/>
                <w:sz w:val="9"/>
              </w:rPr>
            </w:pPr>
            <w:r w:rsidRPr="004D10F1">
              <w:rPr>
                <w:rFonts w:ascii="Tahoma" w:hAnsi="Tahoma" w:cs="Tahoma"/>
                <w:sz w:val="9"/>
              </w:rPr>
              <w:t>L</w:t>
            </w:r>
          </w:p>
        </w:tc>
        <w:tc>
          <w:tcPr>
            <w:tcW w:w="1350" w:type="dxa"/>
            <w:gridSpan w:val="7"/>
            <w:vAlign w:val="center"/>
          </w:tcPr>
          <w:p w:rsidR="00C031FA" w:rsidRPr="004D10F1" w:rsidRDefault="00C031FA">
            <w:pPr>
              <w:pStyle w:val="TableHeadingsGreen"/>
              <w:rPr>
                <w:rFonts w:ascii="Tahoma" w:hAnsi="Tahoma" w:cs="Tahoma"/>
                <w:sz w:val="9"/>
              </w:rPr>
            </w:pPr>
            <w:r w:rsidRPr="004D10F1">
              <w:rPr>
                <w:rFonts w:ascii="Tahoma" w:hAnsi="Tahoma" w:cs="Tahoma"/>
                <w:sz w:val="9"/>
              </w:rPr>
              <w:t>L&amp;SA</w:t>
            </w:r>
          </w:p>
        </w:tc>
        <w:tc>
          <w:tcPr>
            <w:tcW w:w="1260" w:type="dxa"/>
            <w:gridSpan w:val="5"/>
            <w:tcBorders>
              <w:right w:val="single" w:sz="18" w:space="0" w:color="auto"/>
            </w:tcBorders>
            <w:vAlign w:val="center"/>
          </w:tcPr>
          <w:p w:rsidR="00C031FA" w:rsidRPr="004D10F1" w:rsidRDefault="00C031FA">
            <w:pPr>
              <w:pStyle w:val="TableHeadingsBlue"/>
              <w:rPr>
                <w:rFonts w:ascii="Tahoma" w:hAnsi="Tahoma" w:cs="Tahoma"/>
                <w:sz w:val="9"/>
              </w:rPr>
            </w:pPr>
            <w:r w:rsidRPr="004D10F1">
              <w:rPr>
                <w:rFonts w:ascii="Tahoma" w:hAnsi="Tahoma" w:cs="Tahoma"/>
                <w:sz w:val="9"/>
              </w:rPr>
              <w:t>SA</w:t>
            </w:r>
          </w:p>
        </w:tc>
        <w:tc>
          <w:tcPr>
            <w:tcW w:w="450" w:type="dxa"/>
            <w:vMerge w:val="restart"/>
            <w:tcBorders>
              <w:left w:val="single" w:sz="18" w:space="0" w:color="auto"/>
            </w:tcBorders>
            <w:vAlign w:val="center"/>
          </w:tcPr>
          <w:p w:rsidR="00C031FA" w:rsidRPr="004D10F1" w:rsidRDefault="00C031FA">
            <w:pPr>
              <w:pStyle w:val="TableHeadingsRed"/>
              <w:rPr>
                <w:rFonts w:ascii="Tahoma" w:hAnsi="Tahoma" w:cs="Tahoma"/>
                <w:sz w:val="9"/>
              </w:rPr>
            </w:pPr>
            <w:r w:rsidRPr="004D10F1">
              <w:rPr>
                <w:rFonts w:ascii="Tahoma" w:hAnsi="Tahoma" w:cs="Tahoma"/>
                <w:sz w:val="9"/>
              </w:rPr>
              <w:t>L</w:t>
            </w:r>
          </w:p>
        </w:tc>
        <w:tc>
          <w:tcPr>
            <w:tcW w:w="450" w:type="dxa"/>
            <w:vAlign w:val="center"/>
          </w:tcPr>
          <w:p w:rsidR="00C031FA" w:rsidRPr="004D10F1" w:rsidRDefault="00C031FA">
            <w:pPr>
              <w:pStyle w:val="TableHeadingsGreen"/>
              <w:rPr>
                <w:rFonts w:ascii="Tahoma" w:hAnsi="Tahoma" w:cs="Tahoma"/>
                <w:sz w:val="9"/>
              </w:rPr>
            </w:pPr>
            <w:r w:rsidRPr="004D10F1">
              <w:rPr>
                <w:rFonts w:ascii="Tahoma" w:hAnsi="Tahoma" w:cs="Tahoma"/>
                <w:sz w:val="9"/>
              </w:rPr>
              <w:t>L&amp;SA</w:t>
            </w:r>
          </w:p>
        </w:tc>
        <w:tc>
          <w:tcPr>
            <w:tcW w:w="450" w:type="dxa"/>
            <w:vMerge w:val="restart"/>
            <w:tcBorders>
              <w:right w:val="single" w:sz="18" w:space="0" w:color="auto"/>
            </w:tcBorders>
            <w:vAlign w:val="center"/>
          </w:tcPr>
          <w:p w:rsidR="00C031FA" w:rsidRPr="004D10F1" w:rsidRDefault="00C031FA">
            <w:pPr>
              <w:pStyle w:val="TableHeadingsBlue"/>
              <w:rPr>
                <w:rFonts w:ascii="Tahoma" w:hAnsi="Tahoma" w:cs="Tahoma"/>
                <w:sz w:val="9"/>
              </w:rPr>
            </w:pPr>
            <w:r w:rsidRPr="004D10F1">
              <w:rPr>
                <w:rFonts w:ascii="Tahoma" w:hAnsi="Tahoma" w:cs="Tahoma"/>
                <w:sz w:val="9"/>
              </w:rPr>
              <w:t>SA</w:t>
            </w:r>
          </w:p>
        </w:tc>
        <w:tc>
          <w:tcPr>
            <w:tcW w:w="450" w:type="dxa"/>
            <w:vMerge/>
            <w:tcBorders>
              <w:left w:val="single" w:sz="18" w:space="0" w:color="auto"/>
            </w:tcBorders>
          </w:tcPr>
          <w:p w:rsidR="00C031FA" w:rsidRPr="004D10F1" w:rsidRDefault="00C031FA">
            <w:pPr>
              <w:rPr>
                <w:rFonts w:cs="Tahoma"/>
                <w:sz w:val="20"/>
              </w:rPr>
            </w:pPr>
          </w:p>
        </w:tc>
        <w:tc>
          <w:tcPr>
            <w:tcW w:w="450" w:type="dxa"/>
            <w:vMerge/>
            <w:tcBorders>
              <w:right w:val="single" w:sz="18" w:space="0" w:color="auto"/>
            </w:tcBorders>
          </w:tcPr>
          <w:p w:rsidR="00C031FA" w:rsidRPr="004D10F1" w:rsidRDefault="00C031FA">
            <w:pPr>
              <w:rPr>
                <w:rFonts w:cs="Tahoma"/>
                <w:sz w:val="20"/>
              </w:rPr>
            </w:pPr>
          </w:p>
        </w:tc>
        <w:tc>
          <w:tcPr>
            <w:tcW w:w="360" w:type="dxa"/>
            <w:vMerge/>
            <w:tcBorders>
              <w:left w:val="single" w:sz="18" w:space="0" w:color="auto"/>
              <w:right w:val="single" w:sz="18" w:space="0" w:color="auto"/>
            </w:tcBorders>
          </w:tcPr>
          <w:p w:rsidR="00C031FA" w:rsidRPr="004D10F1" w:rsidRDefault="00C031FA">
            <w:pPr>
              <w:rPr>
                <w:rFonts w:cs="Tahoma"/>
                <w:sz w:val="20"/>
              </w:rPr>
            </w:pPr>
          </w:p>
        </w:tc>
        <w:tc>
          <w:tcPr>
            <w:tcW w:w="540" w:type="dxa"/>
            <w:vMerge/>
          </w:tcPr>
          <w:p w:rsidR="00C031FA" w:rsidRPr="004D10F1" w:rsidRDefault="00C031FA">
            <w:pPr>
              <w:rPr>
                <w:rFonts w:cs="Tahoma"/>
                <w:sz w:val="20"/>
              </w:rPr>
            </w:pPr>
          </w:p>
        </w:tc>
        <w:tc>
          <w:tcPr>
            <w:tcW w:w="540" w:type="dxa"/>
            <w:vMerge/>
          </w:tcPr>
          <w:p w:rsidR="00C031FA" w:rsidRPr="004D10F1" w:rsidRDefault="00C031FA">
            <w:pPr>
              <w:rPr>
                <w:rFonts w:cs="Tahoma"/>
                <w:sz w:val="20"/>
              </w:rPr>
            </w:pPr>
          </w:p>
        </w:tc>
      </w:tr>
      <w:tr w:rsidR="001C38D4" w:rsidRPr="004D10F1" w:rsidTr="00C02B5C">
        <w:trPr>
          <w:cantSplit/>
          <w:trHeight w:val="683"/>
          <w:tblHeader/>
        </w:trPr>
        <w:tc>
          <w:tcPr>
            <w:tcW w:w="2734" w:type="dxa"/>
            <w:gridSpan w:val="2"/>
            <w:vMerge/>
            <w:tcBorders>
              <w:left w:val="single" w:sz="4" w:space="0" w:color="FFFFFF"/>
              <w:bottom w:val="single" w:sz="4" w:space="0" w:color="auto"/>
            </w:tcBorders>
          </w:tcPr>
          <w:p w:rsidR="00C031FA" w:rsidRPr="004D10F1" w:rsidRDefault="00C031FA">
            <w:pPr>
              <w:rPr>
                <w:rFonts w:cs="Tahoma"/>
                <w:sz w:val="20"/>
              </w:rPr>
            </w:pPr>
          </w:p>
        </w:tc>
        <w:tc>
          <w:tcPr>
            <w:tcW w:w="450" w:type="dxa"/>
            <w:vMerge/>
            <w:tcBorders>
              <w:bottom w:val="single" w:sz="4" w:space="0" w:color="auto"/>
            </w:tcBorders>
          </w:tcPr>
          <w:p w:rsidR="00C031FA" w:rsidRPr="004D10F1" w:rsidRDefault="00C031FA">
            <w:pPr>
              <w:rPr>
                <w:rFonts w:cs="Tahoma"/>
                <w:b/>
                <w:sz w:val="20"/>
              </w:rPr>
            </w:pPr>
          </w:p>
        </w:tc>
        <w:tc>
          <w:tcPr>
            <w:tcW w:w="450" w:type="dxa"/>
            <w:vMerge/>
            <w:tcBorders>
              <w:bottom w:val="single" w:sz="4" w:space="0" w:color="auto"/>
            </w:tcBorders>
          </w:tcPr>
          <w:p w:rsidR="00C031FA" w:rsidRPr="004D10F1" w:rsidRDefault="00C031FA">
            <w:pPr>
              <w:rPr>
                <w:rFonts w:cs="Tahoma"/>
                <w:sz w:val="20"/>
              </w:rPr>
            </w:pPr>
          </w:p>
        </w:tc>
        <w:tc>
          <w:tcPr>
            <w:tcW w:w="360" w:type="dxa"/>
            <w:vMerge/>
            <w:tcBorders>
              <w:bottom w:val="single" w:sz="4" w:space="0" w:color="auto"/>
              <w:right w:val="single" w:sz="18" w:space="0" w:color="auto"/>
            </w:tcBorders>
          </w:tcPr>
          <w:p w:rsidR="00C031FA" w:rsidRPr="004D10F1" w:rsidRDefault="00C031FA">
            <w:pPr>
              <w:rPr>
                <w:rFonts w:cs="Tahoma"/>
                <w:sz w:val="20"/>
              </w:rPr>
            </w:pPr>
          </w:p>
        </w:tc>
        <w:tc>
          <w:tcPr>
            <w:tcW w:w="360" w:type="dxa"/>
            <w:vMerge/>
            <w:tcBorders>
              <w:left w:val="single" w:sz="18" w:space="0" w:color="auto"/>
              <w:bottom w:val="single" w:sz="4" w:space="0" w:color="auto"/>
            </w:tcBorders>
            <w:vAlign w:val="center"/>
          </w:tcPr>
          <w:p w:rsidR="00C031FA" w:rsidRPr="004D10F1" w:rsidRDefault="00C031FA">
            <w:pPr>
              <w:jc w:val="center"/>
              <w:rPr>
                <w:rFonts w:cs="Tahoma"/>
                <w:sz w:val="20"/>
              </w:rPr>
            </w:pPr>
          </w:p>
        </w:tc>
        <w:tc>
          <w:tcPr>
            <w:tcW w:w="450" w:type="dxa"/>
            <w:gridSpan w:val="2"/>
            <w:tcBorders>
              <w:bottom w:val="single" w:sz="4" w:space="0" w:color="auto"/>
            </w:tcBorders>
            <w:vAlign w:val="center"/>
          </w:tcPr>
          <w:p w:rsidR="00C031FA" w:rsidRPr="004D10F1" w:rsidRDefault="00C031FA">
            <w:pPr>
              <w:pStyle w:val="TableHeadingsGreen"/>
              <w:rPr>
                <w:rFonts w:ascii="Tahoma" w:hAnsi="Tahoma" w:cs="Tahoma"/>
                <w:sz w:val="9"/>
              </w:rPr>
            </w:pPr>
            <w:r w:rsidRPr="004D10F1">
              <w:rPr>
                <w:rFonts w:ascii="Tahoma" w:hAnsi="Tahoma" w:cs="Tahoma"/>
                <w:sz w:val="9"/>
              </w:rPr>
              <w:t>3 Jahre</w:t>
            </w:r>
          </w:p>
        </w:tc>
        <w:tc>
          <w:tcPr>
            <w:tcW w:w="450" w:type="dxa"/>
            <w:gridSpan w:val="2"/>
            <w:tcBorders>
              <w:bottom w:val="single" w:sz="4" w:space="0" w:color="auto"/>
            </w:tcBorders>
            <w:vAlign w:val="center"/>
          </w:tcPr>
          <w:p w:rsidR="00C031FA" w:rsidRPr="004D10F1" w:rsidRDefault="00C031FA">
            <w:pPr>
              <w:pStyle w:val="TableHeadingsGreen"/>
              <w:rPr>
                <w:rFonts w:ascii="Tahoma" w:hAnsi="Tahoma" w:cs="Tahoma"/>
                <w:sz w:val="9"/>
              </w:rPr>
            </w:pPr>
            <w:r w:rsidRPr="004D10F1">
              <w:rPr>
                <w:rFonts w:ascii="Tahoma" w:hAnsi="Tahoma" w:cs="Tahoma"/>
                <w:sz w:val="9"/>
              </w:rPr>
              <w:t>2 Jahre</w:t>
            </w:r>
          </w:p>
        </w:tc>
        <w:tc>
          <w:tcPr>
            <w:tcW w:w="450" w:type="dxa"/>
            <w:gridSpan w:val="3"/>
            <w:tcBorders>
              <w:bottom w:val="single" w:sz="4" w:space="0" w:color="auto"/>
            </w:tcBorders>
            <w:vAlign w:val="center"/>
          </w:tcPr>
          <w:p w:rsidR="00C031FA" w:rsidRPr="004D10F1" w:rsidRDefault="00C031FA">
            <w:pPr>
              <w:pStyle w:val="TableHeadingsGreen"/>
              <w:rPr>
                <w:rFonts w:ascii="Tahoma" w:hAnsi="Tahoma" w:cs="Tahoma"/>
                <w:sz w:val="9"/>
              </w:rPr>
            </w:pPr>
            <w:r w:rsidRPr="004D10F1">
              <w:rPr>
                <w:rFonts w:ascii="Tahoma" w:hAnsi="Tahoma" w:cs="Tahoma"/>
                <w:sz w:val="9"/>
              </w:rPr>
              <w:t>1 Jahr</w:t>
            </w:r>
          </w:p>
        </w:tc>
        <w:tc>
          <w:tcPr>
            <w:tcW w:w="450" w:type="dxa"/>
            <w:gridSpan w:val="2"/>
            <w:tcBorders>
              <w:bottom w:val="single" w:sz="4" w:space="0" w:color="auto"/>
            </w:tcBorders>
            <w:vAlign w:val="center"/>
          </w:tcPr>
          <w:p w:rsidR="00C031FA" w:rsidRPr="004D10F1" w:rsidRDefault="00C031FA">
            <w:pPr>
              <w:pStyle w:val="TableHeadingsBlue"/>
              <w:rPr>
                <w:rFonts w:ascii="Tahoma" w:hAnsi="Tahoma" w:cs="Tahoma"/>
                <w:sz w:val="9"/>
              </w:rPr>
            </w:pPr>
            <w:r w:rsidRPr="004D10F1">
              <w:rPr>
                <w:rFonts w:ascii="Tahoma" w:hAnsi="Tahoma" w:cs="Tahoma"/>
                <w:sz w:val="9"/>
              </w:rPr>
              <w:t>3 Jahre</w:t>
            </w:r>
          </w:p>
        </w:tc>
        <w:tc>
          <w:tcPr>
            <w:tcW w:w="450" w:type="dxa"/>
            <w:gridSpan w:val="2"/>
            <w:tcBorders>
              <w:bottom w:val="single" w:sz="4" w:space="0" w:color="auto"/>
            </w:tcBorders>
            <w:vAlign w:val="center"/>
          </w:tcPr>
          <w:p w:rsidR="00C031FA" w:rsidRPr="004D10F1" w:rsidRDefault="00C031FA">
            <w:pPr>
              <w:pStyle w:val="TableHeadingsBlue"/>
              <w:rPr>
                <w:rFonts w:ascii="Tahoma" w:hAnsi="Tahoma" w:cs="Tahoma"/>
                <w:sz w:val="9"/>
              </w:rPr>
            </w:pPr>
            <w:r w:rsidRPr="004D10F1">
              <w:rPr>
                <w:rFonts w:ascii="Tahoma" w:hAnsi="Tahoma" w:cs="Tahoma"/>
                <w:sz w:val="9"/>
              </w:rPr>
              <w:t>2 Jahre</w:t>
            </w:r>
          </w:p>
        </w:tc>
        <w:tc>
          <w:tcPr>
            <w:tcW w:w="360" w:type="dxa"/>
            <w:tcBorders>
              <w:bottom w:val="single" w:sz="4" w:space="0" w:color="auto"/>
              <w:right w:val="single" w:sz="18" w:space="0" w:color="auto"/>
            </w:tcBorders>
            <w:vAlign w:val="center"/>
          </w:tcPr>
          <w:p w:rsidR="00C031FA" w:rsidRPr="004D10F1" w:rsidRDefault="00C031FA">
            <w:pPr>
              <w:pStyle w:val="TableHeadingsBlue"/>
              <w:rPr>
                <w:rFonts w:ascii="Tahoma" w:hAnsi="Tahoma" w:cs="Tahoma"/>
                <w:sz w:val="9"/>
              </w:rPr>
            </w:pPr>
            <w:r w:rsidRPr="004D10F1">
              <w:rPr>
                <w:rFonts w:ascii="Tahoma" w:hAnsi="Tahoma" w:cs="Tahoma"/>
                <w:sz w:val="9"/>
              </w:rPr>
              <w:t>1 Jahr</w:t>
            </w:r>
          </w:p>
        </w:tc>
        <w:tc>
          <w:tcPr>
            <w:tcW w:w="450" w:type="dxa"/>
            <w:vMerge/>
            <w:tcBorders>
              <w:left w:val="single" w:sz="18" w:space="0" w:color="auto"/>
              <w:bottom w:val="single" w:sz="4" w:space="0" w:color="auto"/>
            </w:tcBorders>
            <w:vAlign w:val="center"/>
          </w:tcPr>
          <w:p w:rsidR="00C031FA" w:rsidRPr="004D10F1" w:rsidRDefault="00C031FA">
            <w:pPr>
              <w:jc w:val="center"/>
              <w:rPr>
                <w:rFonts w:cs="Tahoma"/>
                <w:sz w:val="20"/>
              </w:rPr>
            </w:pPr>
          </w:p>
        </w:tc>
        <w:tc>
          <w:tcPr>
            <w:tcW w:w="450" w:type="dxa"/>
            <w:tcBorders>
              <w:bottom w:val="single" w:sz="4" w:space="0" w:color="auto"/>
            </w:tcBorders>
            <w:vAlign w:val="center"/>
          </w:tcPr>
          <w:p w:rsidR="00C031FA" w:rsidRPr="004D10F1" w:rsidRDefault="00C031FA">
            <w:pPr>
              <w:pStyle w:val="TableHeadingsGreen"/>
              <w:rPr>
                <w:rFonts w:ascii="Tahoma" w:hAnsi="Tahoma" w:cs="Tahoma"/>
                <w:sz w:val="9"/>
              </w:rPr>
            </w:pPr>
            <w:r w:rsidRPr="004D10F1">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4D10F1" w:rsidRDefault="00C031FA">
            <w:pPr>
              <w:jc w:val="center"/>
              <w:rPr>
                <w:rFonts w:cs="Tahoma"/>
                <w:sz w:val="20"/>
              </w:rPr>
            </w:pPr>
          </w:p>
        </w:tc>
        <w:tc>
          <w:tcPr>
            <w:tcW w:w="450" w:type="dxa"/>
            <w:vMerge/>
            <w:tcBorders>
              <w:left w:val="single" w:sz="18" w:space="0" w:color="auto"/>
              <w:bottom w:val="single" w:sz="4" w:space="0" w:color="auto"/>
            </w:tcBorders>
          </w:tcPr>
          <w:p w:rsidR="00C031FA" w:rsidRPr="004D10F1" w:rsidRDefault="00C031FA">
            <w:pPr>
              <w:rPr>
                <w:rFonts w:cs="Tahoma"/>
                <w:sz w:val="20"/>
              </w:rPr>
            </w:pPr>
          </w:p>
        </w:tc>
        <w:tc>
          <w:tcPr>
            <w:tcW w:w="450" w:type="dxa"/>
            <w:vMerge/>
            <w:tcBorders>
              <w:bottom w:val="single" w:sz="4" w:space="0" w:color="auto"/>
              <w:right w:val="single" w:sz="18" w:space="0" w:color="auto"/>
            </w:tcBorders>
          </w:tcPr>
          <w:p w:rsidR="00C031FA" w:rsidRPr="004D10F1" w:rsidRDefault="00C031FA">
            <w:pPr>
              <w:rPr>
                <w:rFonts w:cs="Tahoma"/>
                <w:sz w:val="20"/>
              </w:rPr>
            </w:pPr>
          </w:p>
        </w:tc>
        <w:tc>
          <w:tcPr>
            <w:tcW w:w="360" w:type="dxa"/>
            <w:vMerge/>
            <w:tcBorders>
              <w:left w:val="single" w:sz="18" w:space="0" w:color="auto"/>
              <w:bottom w:val="single" w:sz="4" w:space="0" w:color="auto"/>
              <w:right w:val="single" w:sz="18" w:space="0" w:color="auto"/>
            </w:tcBorders>
          </w:tcPr>
          <w:p w:rsidR="00C031FA" w:rsidRPr="004D10F1" w:rsidRDefault="00C031FA">
            <w:pPr>
              <w:rPr>
                <w:rFonts w:cs="Tahoma"/>
                <w:sz w:val="20"/>
              </w:rPr>
            </w:pPr>
          </w:p>
        </w:tc>
        <w:tc>
          <w:tcPr>
            <w:tcW w:w="540" w:type="dxa"/>
            <w:vMerge/>
            <w:tcBorders>
              <w:bottom w:val="single" w:sz="4" w:space="0" w:color="auto"/>
            </w:tcBorders>
          </w:tcPr>
          <w:p w:rsidR="00C031FA" w:rsidRPr="004D10F1" w:rsidRDefault="00C031FA">
            <w:pPr>
              <w:rPr>
                <w:rFonts w:cs="Tahoma"/>
                <w:sz w:val="20"/>
              </w:rPr>
            </w:pPr>
          </w:p>
        </w:tc>
        <w:tc>
          <w:tcPr>
            <w:tcW w:w="540" w:type="dxa"/>
            <w:vMerge/>
            <w:tcBorders>
              <w:bottom w:val="single" w:sz="4" w:space="0" w:color="auto"/>
            </w:tcBorders>
          </w:tcPr>
          <w:p w:rsidR="00C031FA" w:rsidRPr="004D10F1" w:rsidRDefault="00C031FA">
            <w:pPr>
              <w:rPr>
                <w:rFonts w:cs="Tahoma"/>
                <w:sz w:val="20"/>
              </w:rPr>
            </w:pPr>
          </w:p>
        </w:tc>
      </w:tr>
      <w:tr w:rsidR="00EF228F" w:rsidRPr="004D10F1" w:rsidTr="000C5B59">
        <w:trPr>
          <w:trHeight w:val="145"/>
        </w:trPr>
        <w:tc>
          <w:tcPr>
            <w:tcW w:w="2734" w:type="dxa"/>
            <w:gridSpan w:val="2"/>
            <w:tcBorders>
              <w:bottom w:val="single" w:sz="4" w:space="0" w:color="auto"/>
            </w:tcBorders>
            <w:shd w:val="clear" w:color="auto" w:fill="auto"/>
            <w:vAlign w:val="center"/>
          </w:tcPr>
          <w:p w:rsidR="00DC5AE8" w:rsidRPr="00C02B5C" w:rsidRDefault="00DC5AE8" w:rsidP="00C02B5C">
            <w:pPr>
              <w:pStyle w:val="ProductNames"/>
              <w:spacing w:beforeLines="20" w:before="48" w:afterLines="20" w:after="48"/>
              <w:rPr>
                <w:rFonts w:ascii="Tahoma" w:hAnsi="Tahoma" w:cs="Tahoma"/>
                <w:sz w:val="14"/>
                <w:szCs w:val="14"/>
              </w:rPr>
            </w:pPr>
            <w:bookmarkStart w:id="138" w:name="_Toc363998666"/>
            <w:r w:rsidRPr="00C02B5C">
              <w:rPr>
                <w:rFonts w:ascii="Tahoma" w:hAnsi="Tahoma" w:cs="Tahoma"/>
                <w:sz w:val="14"/>
                <w:szCs w:val="14"/>
              </w:rPr>
              <w:t>Bing Maps Consumer Tracked Per Asset Monthly Sub</w:t>
            </w:r>
            <w:bookmarkEnd w:id="138"/>
          </w:p>
        </w:tc>
        <w:tc>
          <w:tcPr>
            <w:tcW w:w="450" w:type="dxa"/>
            <w:tcBorders>
              <w:bottom w:val="single" w:sz="4" w:space="0" w:color="auto"/>
            </w:tcBorders>
            <w:shd w:val="clear" w:color="auto" w:fill="auto"/>
            <w:vAlign w:val="center"/>
          </w:tcPr>
          <w:p w:rsidR="00DC5AE8" w:rsidRPr="00C02B5C" w:rsidRDefault="005B744B" w:rsidP="00C02B5C">
            <w:pPr>
              <w:jc w:val="center"/>
              <w:rPr>
                <w:rFonts w:ascii="Trebuchet MS" w:hAnsi="Trebuchet MS" w:cs="Tahoma"/>
                <w:b/>
                <w:sz w:val="13"/>
                <w:szCs w:val="13"/>
              </w:rPr>
            </w:pPr>
            <w:hyperlink w:anchor="_35_Add-On_für" w:history="1">
              <w:r w:rsidR="00316801"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DC5AE8" w:rsidRPr="004D10F1" w:rsidRDefault="00DB3ECB" w:rsidP="000C5B59">
            <w:pPr>
              <w:jc w:val="center"/>
              <w:rPr>
                <w:rFonts w:cs="Tahoma"/>
                <w:sz w:val="13"/>
              </w:rPr>
            </w:pPr>
            <w:r w:rsidRPr="004D10F1">
              <w:rPr>
                <w:rFonts w:cs="Tahoma"/>
                <w:sz w:val="13"/>
              </w:rPr>
              <w:t>04/13</w:t>
            </w:r>
          </w:p>
        </w:tc>
        <w:tc>
          <w:tcPr>
            <w:tcW w:w="360" w:type="dxa"/>
            <w:tcBorders>
              <w:bottom w:val="single" w:sz="4" w:space="0" w:color="auto"/>
              <w:right w:val="single" w:sz="18" w:space="0" w:color="auto"/>
            </w:tcBorders>
            <w:shd w:val="clear" w:color="auto" w:fill="auto"/>
            <w:vAlign w:val="center"/>
          </w:tcPr>
          <w:p w:rsidR="00DC5AE8" w:rsidRPr="004D10F1" w:rsidRDefault="00DC5AE8" w:rsidP="000C5B59">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DC5AE8" w:rsidRPr="004D10F1" w:rsidRDefault="00DC5AE8" w:rsidP="000C5B59">
            <w:pPr>
              <w:jc w:val="center"/>
              <w:rPr>
                <w:rFonts w:cs="Tahoma"/>
                <w:sz w:val="13"/>
              </w:rPr>
            </w:pPr>
            <w:r w:rsidRPr="004D10F1">
              <w:rPr>
                <w:rFonts w:cs="Tahoma"/>
                <w:sz w:val="13"/>
              </w:rPr>
              <w:t>1 Punkt</w:t>
            </w:r>
          </w:p>
        </w:tc>
        <w:tc>
          <w:tcPr>
            <w:tcW w:w="450" w:type="dxa"/>
            <w:tcBorders>
              <w:left w:val="single" w:sz="18" w:space="0" w:color="auto"/>
              <w:bottom w:val="single" w:sz="4" w:space="0" w:color="auto"/>
            </w:tcBorders>
            <w:shd w:val="clear" w:color="auto" w:fill="auto"/>
            <w:vAlign w:val="center"/>
          </w:tcPr>
          <w:p w:rsidR="00DC5AE8" w:rsidRPr="004D10F1" w:rsidRDefault="00DC5AE8" w:rsidP="000C5B59">
            <w:pPr>
              <w:jc w:val="center"/>
              <w:rPr>
                <w:rFonts w:cs="Tahoma"/>
                <w:sz w:val="13"/>
              </w:rPr>
            </w:pPr>
            <w:r w:rsidRPr="004D10F1">
              <w:rPr>
                <w:rFonts w:cs="Tahoma"/>
                <w:sz w:val="13"/>
              </w:rPr>
              <w:t>1</w:t>
            </w:r>
          </w:p>
        </w:tc>
        <w:tc>
          <w:tcPr>
            <w:tcW w:w="450" w:type="dxa"/>
            <w:tcBorders>
              <w:bottom w:val="single" w:sz="4" w:space="0" w:color="auto"/>
            </w:tcBorders>
            <w:shd w:val="clear" w:color="auto" w:fill="auto"/>
            <w:vAlign w:val="center"/>
          </w:tcPr>
          <w:p w:rsidR="00DC5AE8" w:rsidRPr="004D10F1" w:rsidRDefault="00DC5AE8" w:rsidP="000C5B59">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4D10F1" w:rsidRDefault="00DC5AE8" w:rsidP="000C5B59">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4D10F1" w:rsidRDefault="00DC5AE8" w:rsidP="000C5B59">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4D10F1" w:rsidRDefault="00DC5AE8" w:rsidP="000C5B59">
            <w:pPr>
              <w:jc w:val="center"/>
              <w:rPr>
                <w:rFonts w:cs="Tahoma"/>
                <w:sz w:val="13"/>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DC5AE8" w:rsidRPr="004D10F1" w:rsidRDefault="00DC5AE8" w:rsidP="000C5B59">
            <w:pPr>
              <w:jc w:val="center"/>
              <w:rPr>
                <w:rFonts w:cs="Tahoma"/>
                <w:sz w:val="13"/>
              </w:rPr>
            </w:pPr>
            <w:r w:rsidRPr="004D10F1">
              <w:rPr>
                <w:rFonts w:cs="Tahoma"/>
                <w:sz w:val="13"/>
              </w:rPr>
              <w:t>P</w:t>
            </w:r>
          </w:p>
        </w:tc>
        <w:tc>
          <w:tcPr>
            <w:tcW w:w="540" w:type="dxa"/>
            <w:tcBorders>
              <w:bottom w:val="single" w:sz="4" w:space="0" w:color="auto"/>
            </w:tcBorders>
            <w:shd w:val="clear" w:color="auto" w:fill="auto"/>
            <w:vAlign w:val="center"/>
          </w:tcPr>
          <w:p w:rsidR="00DC5AE8" w:rsidRPr="004D10F1" w:rsidRDefault="00DC5AE8" w:rsidP="000C5B59">
            <w:pPr>
              <w:jc w:val="center"/>
              <w:rPr>
                <w:rFonts w:cs="Tahoma"/>
                <w:sz w:val="13"/>
              </w:rPr>
            </w:pPr>
          </w:p>
        </w:tc>
        <w:tc>
          <w:tcPr>
            <w:tcW w:w="540" w:type="dxa"/>
            <w:tcBorders>
              <w:bottom w:val="single" w:sz="4" w:space="0" w:color="auto"/>
            </w:tcBorders>
            <w:shd w:val="clear" w:color="auto" w:fill="auto"/>
            <w:vAlign w:val="center"/>
          </w:tcPr>
          <w:p w:rsidR="00DC5AE8" w:rsidRPr="004D10F1" w:rsidRDefault="00DC5AE8" w:rsidP="000C5B59">
            <w:pPr>
              <w:jc w:val="center"/>
              <w:rPr>
                <w:rFonts w:cs="Tahoma"/>
                <w:sz w:val="13"/>
              </w:rPr>
            </w:pPr>
            <w:r w:rsidRPr="004D10F1">
              <w:rPr>
                <w:rFonts w:cs="Tahoma"/>
                <w:sz w:val="13"/>
              </w:rPr>
              <w:t>OL/OV</w:t>
            </w: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39" w:name="_Toc363998667"/>
            <w:r w:rsidRPr="00C02B5C">
              <w:rPr>
                <w:rFonts w:ascii="Tahoma" w:hAnsi="Tahoma" w:cs="Tahoma"/>
                <w:sz w:val="14"/>
                <w:szCs w:val="14"/>
              </w:rPr>
              <w:t>Bing Maps Enterprise Fee Monthly Sub</w:t>
            </w:r>
            <w:bookmarkEnd w:id="139"/>
          </w:p>
        </w:tc>
        <w:tc>
          <w:tcPr>
            <w:tcW w:w="450" w:type="dxa"/>
            <w:tcBorders>
              <w:bottom w:val="single" w:sz="4" w:space="0" w:color="auto"/>
            </w:tcBorders>
            <w:shd w:val="clear" w:color="auto" w:fill="FABF8F"/>
            <w:vAlign w:val="center"/>
          </w:tcPr>
          <w:p w:rsidR="001A63C6" w:rsidRPr="00C02B5C" w:rsidRDefault="005B744B" w:rsidP="00C02B5C">
            <w:pPr>
              <w:jc w:val="center"/>
              <w:rPr>
                <w:rFonts w:ascii="Trebuchet MS" w:hAnsi="Trebuchet MS" w:cs="Tahoma"/>
                <w:b/>
                <w:sz w:val="13"/>
                <w:szCs w:val="13"/>
              </w:rPr>
            </w:pPr>
            <w:hyperlink w:anchor="_34_Bing_Maps" w:history="1">
              <w:r w:rsidR="008849B7"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4"/>
              </w:rPr>
              <w:t>50 Punkte</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4"/>
              </w:rPr>
              <w:t>50</w:t>
            </w:r>
          </w:p>
        </w:tc>
        <w:tc>
          <w:tcPr>
            <w:tcW w:w="450" w:type="dxa"/>
            <w:tcBorders>
              <w:bottom w:val="single" w:sz="4" w:space="0" w:color="auto"/>
            </w:tcBorders>
            <w:shd w:val="clear" w:color="auto" w:fill="FABF8F"/>
            <w:vAlign w:val="center"/>
          </w:tcPr>
          <w:p w:rsidR="001A63C6" w:rsidRPr="004D10F1" w:rsidRDefault="001A63C6" w:rsidP="000C5B59">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sz w:val="14"/>
              </w:rPr>
            </w:pP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OL/OV</w:t>
            </w: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40" w:name="_Toc363998668"/>
            <w:r w:rsidRPr="00C02B5C">
              <w:rPr>
                <w:rFonts w:ascii="Tahoma" w:hAnsi="Tahoma" w:cs="Tahoma"/>
                <w:sz w:val="14"/>
                <w:szCs w:val="14"/>
              </w:rPr>
              <w:t>Bing Maps Public Website Usage 100K Transactions Monthly Sub</w:t>
            </w:r>
            <w:bookmarkEnd w:id="140"/>
          </w:p>
        </w:tc>
        <w:tc>
          <w:tcPr>
            <w:tcW w:w="450" w:type="dxa"/>
            <w:tcBorders>
              <w:bottom w:val="single" w:sz="4" w:space="0" w:color="auto"/>
            </w:tcBorders>
            <w:shd w:val="clear" w:color="auto" w:fill="auto"/>
            <w:vAlign w:val="center"/>
          </w:tcPr>
          <w:p w:rsidR="001A63C6" w:rsidRPr="00C02B5C" w:rsidRDefault="005B744B" w:rsidP="00C02B5C">
            <w:pPr>
              <w:jc w:val="center"/>
              <w:rPr>
                <w:rFonts w:ascii="Trebuchet MS" w:hAnsi="Trebuchet MS" w:cs="Tahoma"/>
                <w:b/>
                <w:sz w:val="13"/>
                <w:szCs w:val="13"/>
              </w:rPr>
            </w:pPr>
            <w:hyperlink w:anchor="_34_Bing_Maps" w:history="1">
              <w:r w:rsidR="00316801"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50 Punkte</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50</w:t>
            </w:r>
          </w:p>
        </w:tc>
        <w:tc>
          <w:tcPr>
            <w:tcW w:w="450" w:type="dxa"/>
            <w:tcBorders>
              <w:bottom w:val="single" w:sz="4" w:space="0" w:color="auto"/>
            </w:tcBorders>
            <w:shd w:val="clear" w:color="auto" w:fill="auto"/>
            <w:vAlign w:val="center"/>
          </w:tcPr>
          <w:p w:rsidR="001A63C6" w:rsidRPr="004D10F1" w:rsidRDefault="001A63C6" w:rsidP="000C5B59">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4"/>
              </w:rPr>
            </w:pP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OL/OV</w:t>
            </w: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41" w:name="_Toc363998669"/>
            <w:r w:rsidRPr="00C02B5C">
              <w:rPr>
                <w:rFonts w:ascii="Tahoma" w:hAnsi="Tahoma" w:cs="Tahoma"/>
                <w:sz w:val="14"/>
                <w:szCs w:val="14"/>
              </w:rPr>
              <w:t>Bing Maps Public Website Usage 250K Transactions Monthly Sub</w:t>
            </w:r>
            <w:bookmarkEnd w:id="141"/>
          </w:p>
        </w:tc>
        <w:tc>
          <w:tcPr>
            <w:tcW w:w="450" w:type="dxa"/>
            <w:tcBorders>
              <w:bottom w:val="single" w:sz="4" w:space="0" w:color="auto"/>
            </w:tcBorders>
            <w:shd w:val="clear" w:color="auto" w:fill="FABF8F"/>
            <w:vAlign w:val="center"/>
          </w:tcPr>
          <w:p w:rsidR="001A63C6" w:rsidRPr="00C02B5C" w:rsidRDefault="005B744B" w:rsidP="00C02B5C">
            <w:pPr>
              <w:jc w:val="center"/>
              <w:rPr>
                <w:rFonts w:ascii="Trebuchet MS" w:hAnsi="Trebuchet MS" w:cs="Tahoma"/>
                <w:b/>
                <w:sz w:val="13"/>
                <w:szCs w:val="13"/>
              </w:rPr>
            </w:pPr>
            <w:hyperlink w:anchor="_34_Bing_Maps" w:history="1">
              <w:r w:rsidR="008849B7"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4"/>
              </w:rPr>
              <w:t>125 Punkte</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4"/>
              </w:rPr>
              <w:t>125</w:t>
            </w:r>
          </w:p>
        </w:tc>
        <w:tc>
          <w:tcPr>
            <w:tcW w:w="450" w:type="dxa"/>
            <w:tcBorders>
              <w:bottom w:val="single" w:sz="4" w:space="0" w:color="auto"/>
            </w:tcBorders>
            <w:shd w:val="clear" w:color="auto" w:fill="FABF8F"/>
            <w:vAlign w:val="center"/>
          </w:tcPr>
          <w:p w:rsidR="001A63C6" w:rsidRPr="004D10F1" w:rsidRDefault="001A63C6" w:rsidP="000C5B59">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sz w:val="14"/>
              </w:rPr>
            </w:pP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OL/OV</w:t>
            </w: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42" w:name="_Toc363998670"/>
            <w:r w:rsidRPr="00C02B5C">
              <w:rPr>
                <w:rFonts w:ascii="Tahoma" w:hAnsi="Tahoma" w:cs="Tahoma"/>
                <w:sz w:val="14"/>
                <w:szCs w:val="14"/>
              </w:rPr>
              <w:t>Bing Maps Public Website Usage 420K (und höher) Transactions Monthly Sub</w:t>
            </w:r>
            <w:bookmarkEnd w:id="142"/>
          </w:p>
        </w:tc>
        <w:tc>
          <w:tcPr>
            <w:tcW w:w="450" w:type="dxa"/>
            <w:tcBorders>
              <w:bottom w:val="single" w:sz="4" w:space="0" w:color="auto"/>
            </w:tcBorders>
            <w:shd w:val="clear" w:color="auto" w:fill="auto"/>
            <w:vAlign w:val="center"/>
          </w:tcPr>
          <w:p w:rsidR="001A63C6" w:rsidRPr="00C02B5C" w:rsidRDefault="005B744B" w:rsidP="00C02B5C">
            <w:pPr>
              <w:jc w:val="center"/>
              <w:rPr>
                <w:rFonts w:ascii="Trebuchet MS" w:hAnsi="Trebuchet MS" w:cs="Tahoma"/>
                <w:b/>
                <w:sz w:val="13"/>
                <w:szCs w:val="13"/>
              </w:rPr>
            </w:pPr>
            <w:hyperlink w:anchor="_34_Bing_Maps" w:history="1">
              <w:r w:rsidR="008849B7"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200 Punkte</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200</w:t>
            </w:r>
          </w:p>
        </w:tc>
        <w:tc>
          <w:tcPr>
            <w:tcW w:w="450" w:type="dxa"/>
            <w:tcBorders>
              <w:bottom w:val="single" w:sz="4" w:space="0" w:color="auto"/>
            </w:tcBorders>
            <w:shd w:val="clear" w:color="auto" w:fill="auto"/>
            <w:vAlign w:val="center"/>
          </w:tcPr>
          <w:p w:rsidR="001A63C6" w:rsidRPr="004D10F1" w:rsidRDefault="001A63C6" w:rsidP="000C5B59">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4"/>
              </w:rPr>
            </w:pP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OL/OV</w:t>
            </w: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43" w:name="_Toc363998671"/>
            <w:r w:rsidRPr="00C02B5C">
              <w:rPr>
                <w:rFonts w:ascii="Tahoma" w:hAnsi="Tahoma" w:cs="Tahoma"/>
                <w:sz w:val="14"/>
                <w:szCs w:val="14"/>
              </w:rPr>
              <w:t>Bing Maps Internal Website Usage 100K Transactions Monthly Sub</w:t>
            </w:r>
            <w:bookmarkEnd w:id="143"/>
          </w:p>
        </w:tc>
        <w:tc>
          <w:tcPr>
            <w:tcW w:w="450" w:type="dxa"/>
            <w:tcBorders>
              <w:bottom w:val="single" w:sz="4" w:space="0" w:color="auto"/>
            </w:tcBorders>
            <w:shd w:val="clear" w:color="auto" w:fill="FABF8F"/>
            <w:vAlign w:val="center"/>
          </w:tcPr>
          <w:p w:rsidR="001A63C6" w:rsidRPr="00C02B5C" w:rsidRDefault="005B744B" w:rsidP="00C02B5C">
            <w:pPr>
              <w:jc w:val="center"/>
              <w:rPr>
                <w:rFonts w:ascii="Trebuchet MS" w:hAnsi="Trebuchet MS" w:cs="Tahoma"/>
                <w:b/>
                <w:sz w:val="13"/>
                <w:szCs w:val="13"/>
              </w:rPr>
            </w:pPr>
            <w:hyperlink w:anchor="_34_Bing_Maps" w:history="1">
              <w:r w:rsidR="008849B7"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4"/>
              </w:rPr>
              <w:t>125 Punkte</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4"/>
              </w:rPr>
              <w:t>125</w:t>
            </w:r>
          </w:p>
        </w:tc>
        <w:tc>
          <w:tcPr>
            <w:tcW w:w="450" w:type="dxa"/>
            <w:tcBorders>
              <w:bottom w:val="single" w:sz="4" w:space="0" w:color="auto"/>
            </w:tcBorders>
            <w:shd w:val="clear" w:color="auto" w:fill="FABF8F"/>
            <w:vAlign w:val="center"/>
          </w:tcPr>
          <w:p w:rsidR="001A63C6" w:rsidRPr="004D10F1" w:rsidRDefault="001A63C6" w:rsidP="000C5B59">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sz w:val="14"/>
              </w:rPr>
            </w:pP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OL/OV</w:t>
            </w: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44" w:name="_Toc363998672"/>
            <w:r w:rsidRPr="00C02B5C">
              <w:rPr>
                <w:rFonts w:ascii="Tahoma" w:hAnsi="Tahoma" w:cs="Tahoma"/>
                <w:sz w:val="14"/>
                <w:szCs w:val="14"/>
              </w:rPr>
              <w:t>Bing Maps Internal Website Usage 250K (und höher) Transactions Monthly Sub</w:t>
            </w:r>
            <w:bookmarkEnd w:id="144"/>
          </w:p>
        </w:tc>
        <w:tc>
          <w:tcPr>
            <w:tcW w:w="450" w:type="dxa"/>
            <w:tcBorders>
              <w:bottom w:val="single" w:sz="4" w:space="0" w:color="auto"/>
            </w:tcBorders>
            <w:shd w:val="clear" w:color="auto" w:fill="auto"/>
            <w:vAlign w:val="center"/>
          </w:tcPr>
          <w:p w:rsidR="001A63C6" w:rsidRPr="00C02B5C" w:rsidRDefault="005B744B" w:rsidP="00C02B5C">
            <w:pPr>
              <w:jc w:val="center"/>
              <w:rPr>
                <w:rFonts w:ascii="Trebuchet MS" w:hAnsi="Trebuchet MS" w:cs="Tahoma"/>
                <w:b/>
                <w:sz w:val="13"/>
                <w:szCs w:val="13"/>
              </w:rPr>
            </w:pPr>
            <w:hyperlink w:anchor="_34_Bing_Maps" w:history="1">
              <w:r w:rsidR="008849B7"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200 Punkte</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200</w:t>
            </w:r>
          </w:p>
        </w:tc>
        <w:tc>
          <w:tcPr>
            <w:tcW w:w="450" w:type="dxa"/>
            <w:tcBorders>
              <w:bottom w:val="single" w:sz="4" w:space="0" w:color="auto"/>
            </w:tcBorders>
            <w:shd w:val="clear" w:color="auto" w:fill="auto"/>
            <w:vAlign w:val="center"/>
          </w:tcPr>
          <w:p w:rsidR="001A63C6" w:rsidRPr="004D10F1" w:rsidRDefault="001A63C6" w:rsidP="000C5B59">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4"/>
              </w:rPr>
            </w:pP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OL/OV</w:t>
            </w: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45" w:name="_Toc363998673"/>
            <w:r w:rsidRPr="00C02B5C">
              <w:rPr>
                <w:rFonts w:ascii="Tahoma" w:hAnsi="Tahoma" w:cs="Tahoma"/>
                <w:sz w:val="14"/>
                <w:szCs w:val="14"/>
              </w:rPr>
              <w:t>Bing Maps Known Per User Monthly Sub</w:t>
            </w:r>
            <w:bookmarkEnd w:id="145"/>
          </w:p>
        </w:tc>
        <w:tc>
          <w:tcPr>
            <w:tcW w:w="450" w:type="dxa"/>
            <w:tcBorders>
              <w:bottom w:val="single" w:sz="4" w:space="0" w:color="auto"/>
            </w:tcBorders>
            <w:shd w:val="clear" w:color="auto" w:fill="FABF8F"/>
            <w:vAlign w:val="center"/>
          </w:tcPr>
          <w:p w:rsidR="001A63C6" w:rsidRPr="00C02B5C" w:rsidRDefault="005B744B" w:rsidP="00C02B5C">
            <w:pPr>
              <w:jc w:val="center"/>
              <w:rPr>
                <w:rFonts w:ascii="Trebuchet MS" w:hAnsi="Trebuchet MS" w:cs="Tahoma"/>
                <w:b/>
                <w:sz w:val="13"/>
                <w:szCs w:val="13"/>
              </w:rPr>
            </w:pPr>
            <w:hyperlink w:anchor="_34_Bing_Maps" w:history="1">
              <w:r w:rsidR="008849B7"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4"/>
              </w:rPr>
              <w:t>1 Punkt</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4"/>
              </w:rPr>
              <w:t>1</w:t>
            </w:r>
          </w:p>
        </w:tc>
        <w:tc>
          <w:tcPr>
            <w:tcW w:w="450" w:type="dxa"/>
            <w:tcBorders>
              <w:bottom w:val="single" w:sz="4" w:space="0" w:color="auto"/>
            </w:tcBorders>
            <w:shd w:val="clear" w:color="auto" w:fill="FABF8F"/>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sz w:val="13"/>
              </w:rPr>
            </w:pP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OL/OV</w:t>
            </w: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5A76F9">
            <w:pPr>
              <w:pStyle w:val="ProductNames"/>
              <w:spacing w:beforeLines="20" w:before="48" w:afterLines="20" w:after="48"/>
              <w:rPr>
                <w:rFonts w:ascii="Tahoma" w:hAnsi="Tahoma" w:cs="Tahoma"/>
                <w:sz w:val="14"/>
                <w:szCs w:val="14"/>
              </w:rPr>
            </w:pPr>
            <w:bookmarkStart w:id="146" w:name="_Toc363998674"/>
            <w:r w:rsidRPr="00C02B5C">
              <w:rPr>
                <w:rFonts w:ascii="Tahoma" w:hAnsi="Tahoma" w:cs="Tahoma"/>
                <w:sz w:val="14"/>
                <w:szCs w:val="14"/>
              </w:rPr>
              <w:t>Bing Maps Known 5K User Bundle Monthly</w:t>
            </w:r>
            <w:r w:rsidR="005A76F9">
              <w:rPr>
                <w:rFonts w:ascii="Tahoma" w:hAnsi="Tahoma" w:cs="Tahoma"/>
                <w:sz w:val="14"/>
                <w:szCs w:val="14"/>
              </w:rPr>
              <w:t> </w:t>
            </w:r>
            <w:r w:rsidRPr="00C02B5C">
              <w:rPr>
                <w:rFonts w:ascii="Tahoma" w:hAnsi="Tahoma" w:cs="Tahoma"/>
                <w:sz w:val="14"/>
                <w:szCs w:val="14"/>
              </w:rPr>
              <w:t>Sub</w:t>
            </w:r>
            <w:bookmarkEnd w:id="146"/>
          </w:p>
        </w:tc>
        <w:tc>
          <w:tcPr>
            <w:tcW w:w="450" w:type="dxa"/>
            <w:tcBorders>
              <w:bottom w:val="single" w:sz="4" w:space="0" w:color="auto"/>
            </w:tcBorders>
            <w:shd w:val="clear" w:color="auto" w:fill="auto"/>
            <w:vAlign w:val="center"/>
          </w:tcPr>
          <w:p w:rsidR="001A63C6" w:rsidRPr="00C02B5C" w:rsidRDefault="005B744B" w:rsidP="00C02B5C">
            <w:pPr>
              <w:jc w:val="center"/>
              <w:rPr>
                <w:rFonts w:ascii="Trebuchet MS" w:hAnsi="Trebuchet MS" w:cs="Tahoma"/>
                <w:b/>
                <w:sz w:val="13"/>
                <w:szCs w:val="13"/>
              </w:rPr>
            </w:pPr>
            <w:hyperlink w:anchor="_34_Bing_Maps" w:history="1">
              <w:r w:rsidR="008849B7"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200 Punkte</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200</w:t>
            </w:r>
          </w:p>
        </w:tc>
        <w:tc>
          <w:tcPr>
            <w:tcW w:w="450" w:type="dxa"/>
            <w:tcBorders>
              <w:bottom w:val="single" w:sz="4" w:space="0" w:color="auto"/>
            </w:tcBorders>
            <w:shd w:val="clear" w:color="auto" w:fill="auto"/>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3"/>
              </w:rPr>
            </w:pP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OL/OV</w:t>
            </w: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5A76F9">
            <w:pPr>
              <w:pStyle w:val="ProductNames"/>
              <w:spacing w:beforeLines="20" w:before="48" w:afterLines="20" w:after="48"/>
              <w:rPr>
                <w:rFonts w:ascii="Tahoma" w:hAnsi="Tahoma" w:cs="Tahoma"/>
                <w:sz w:val="14"/>
                <w:szCs w:val="14"/>
              </w:rPr>
            </w:pPr>
            <w:bookmarkStart w:id="147" w:name="_Toc363998675"/>
            <w:r w:rsidRPr="00C02B5C">
              <w:rPr>
                <w:rFonts w:ascii="Tahoma" w:hAnsi="Tahoma" w:cs="Tahoma"/>
                <w:sz w:val="14"/>
                <w:szCs w:val="14"/>
              </w:rPr>
              <w:t>Bing Maps Light Known Per User Monthly</w:t>
            </w:r>
            <w:r w:rsidR="005A76F9">
              <w:rPr>
                <w:rFonts w:ascii="Tahoma" w:hAnsi="Tahoma" w:cs="Tahoma"/>
                <w:sz w:val="14"/>
                <w:szCs w:val="14"/>
              </w:rPr>
              <w:t> </w:t>
            </w:r>
            <w:r w:rsidRPr="00C02B5C">
              <w:rPr>
                <w:rFonts w:ascii="Tahoma" w:hAnsi="Tahoma" w:cs="Tahoma"/>
                <w:sz w:val="14"/>
                <w:szCs w:val="14"/>
              </w:rPr>
              <w:t>Sub</w:t>
            </w:r>
            <w:bookmarkEnd w:id="147"/>
          </w:p>
        </w:tc>
        <w:tc>
          <w:tcPr>
            <w:tcW w:w="450" w:type="dxa"/>
            <w:tcBorders>
              <w:bottom w:val="single" w:sz="4" w:space="0" w:color="auto"/>
            </w:tcBorders>
            <w:shd w:val="clear" w:color="auto" w:fill="FABF8F"/>
            <w:vAlign w:val="center"/>
          </w:tcPr>
          <w:p w:rsidR="001A63C6" w:rsidRPr="00C02B5C" w:rsidRDefault="005B744B" w:rsidP="00C02B5C">
            <w:pPr>
              <w:jc w:val="center"/>
              <w:rPr>
                <w:rFonts w:ascii="Trebuchet MS" w:hAnsi="Trebuchet MS" w:cs="Tahoma"/>
                <w:b/>
                <w:sz w:val="13"/>
                <w:szCs w:val="13"/>
              </w:rPr>
            </w:pPr>
            <w:hyperlink w:anchor="_34_Bing_Maps" w:history="1">
              <w:r w:rsidR="008849B7"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4"/>
              </w:rPr>
              <w:t>1 Punkt</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4"/>
              </w:rPr>
              <w:t>1</w:t>
            </w:r>
          </w:p>
        </w:tc>
        <w:tc>
          <w:tcPr>
            <w:tcW w:w="450" w:type="dxa"/>
            <w:tcBorders>
              <w:bottom w:val="single" w:sz="4" w:space="0" w:color="auto"/>
            </w:tcBorders>
            <w:shd w:val="clear" w:color="auto" w:fill="FABF8F"/>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sz w:val="13"/>
              </w:rPr>
            </w:pP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OL/OV</w:t>
            </w: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48" w:name="_Toc363998676"/>
            <w:r w:rsidRPr="00C02B5C">
              <w:rPr>
                <w:rFonts w:ascii="Tahoma" w:hAnsi="Tahoma" w:cs="Tahoma"/>
                <w:sz w:val="14"/>
                <w:szCs w:val="14"/>
              </w:rPr>
              <w:t>Bing Maps Light Known 5K User Bundle Monthly Sub</w:t>
            </w:r>
            <w:bookmarkEnd w:id="148"/>
          </w:p>
        </w:tc>
        <w:tc>
          <w:tcPr>
            <w:tcW w:w="450" w:type="dxa"/>
            <w:tcBorders>
              <w:bottom w:val="single" w:sz="4" w:space="0" w:color="auto"/>
            </w:tcBorders>
            <w:shd w:val="clear" w:color="auto" w:fill="auto"/>
            <w:vAlign w:val="center"/>
          </w:tcPr>
          <w:p w:rsidR="001A63C6" w:rsidRPr="00C02B5C" w:rsidRDefault="005B744B" w:rsidP="00C02B5C">
            <w:pPr>
              <w:jc w:val="center"/>
              <w:rPr>
                <w:rFonts w:ascii="Trebuchet MS" w:hAnsi="Trebuchet MS" w:cs="Tahoma"/>
                <w:b/>
                <w:sz w:val="13"/>
                <w:szCs w:val="13"/>
              </w:rPr>
            </w:pPr>
            <w:hyperlink w:anchor="_34_Bing_Maps" w:history="1">
              <w:r w:rsidR="008849B7"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125 Punkte</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125</w:t>
            </w:r>
          </w:p>
        </w:tc>
        <w:tc>
          <w:tcPr>
            <w:tcW w:w="450" w:type="dxa"/>
            <w:tcBorders>
              <w:bottom w:val="single" w:sz="4" w:space="0" w:color="auto"/>
            </w:tcBorders>
            <w:shd w:val="clear" w:color="auto" w:fill="auto"/>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3"/>
              </w:rPr>
            </w:pP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OL/OV</w:t>
            </w:r>
          </w:p>
        </w:tc>
      </w:tr>
      <w:tr w:rsidR="001A63C6" w:rsidRPr="004D10F1" w:rsidTr="000C5B59">
        <w:trPr>
          <w:cantSplit/>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49" w:name="_Toc363998677"/>
            <w:r w:rsidRPr="00C02B5C">
              <w:rPr>
                <w:rFonts w:ascii="Tahoma" w:hAnsi="Tahoma" w:cs="Tahoma"/>
                <w:sz w:val="14"/>
                <w:szCs w:val="14"/>
              </w:rPr>
              <w:t>Bing Maps Mobile Asset Management Platform Fee Monthly Sub</w:t>
            </w:r>
            <w:bookmarkEnd w:id="149"/>
          </w:p>
        </w:tc>
        <w:tc>
          <w:tcPr>
            <w:tcW w:w="450" w:type="dxa"/>
            <w:tcBorders>
              <w:bottom w:val="single" w:sz="4" w:space="0" w:color="auto"/>
            </w:tcBorders>
            <w:shd w:val="clear" w:color="auto" w:fill="FABF8F"/>
            <w:vAlign w:val="center"/>
          </w:tcPr>
          <w:p w:rsidR="001A63C6" w:rsidRPr="00C02B5C" w:rsidRDefault="005B744B" w:rsidP="00C02B5C">
            <w:pPr>
              <w:jc w:val="center"/>
              <w:rPr>
                <w:rFonts w:ascii="Trebuchet MS" w:hAnsi="Trebuchet MS" w:cs="Tahoma"/>
                <w:b/>
                <w:sz w:val="13"/>
                <w:szCs w:val="13"/>
              </w:rPr>
            </w:pPr>
            <w:hyperlink w:anchor="_34_Bing_Maps" w:history="1">
              <w:r w:rsidR="008849B7"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4"/>
              </w:rPr>
              <w:t>50 Punkte</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4"/>
              </w:rPr>
              <w:t>50</w:t>
            </w:r>
          </w:p>
        </w:tc>
        <w:tc>
          <w:tcPr>
            <w:tcW w:w="450" w:type="dxa"/>
            <w:tcBorders>
              <w:bottom w:val="single" w:sz="4" w:space="0" w:color="auto"/>
            </w:tcBorders>
            <w:shd w:val="clear" w:color="auto" w:fill="FABF8F"/>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sz w:val="13"/>
              </w:rPr>
            </w:pP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OL/OV</w:t>
            </w: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50" w:name="_Toc363998678"/>
            <w:r w:rsidRPr="00C02B5C">
              <w:rPr>
                <w:rFonts w:ascii="Tahoma" w:hAnsi="Tahoma" w:cs="Tahoma"/>
                <w:sz w:val="14"/>
                <w:szCs w:val="14"/>
              </w:rPr>
              <w:t>Bing Maps Mobile Asset Management NA mit Routing Per Asset Monthly Sub</w:t>
            </w:r>
            <w:bookmarkEnd w:id="150"/>
          </w:p>
        </w:tc>
        <w:tc>
          <w:tcPr>
            <w:tcW w:w="450" w:type="dxa"/>
            <w:tcBorders>
              <w:bottom w:val="single" w:sz="4" w:space="0" w:color="auto"/>
            </w:tcBorders>
            <w:shd w:val="clear" w:color="auto" w:fill="auto"/>
            <w:vAlign w:val="center"/>
          </w:tcPr>
          <w:p w:rsidR="001A63C6" w:rsidRPr="00C02B5C" w:rsidRDefault="005B744B" w:rsidP="00C02B5C">
            <w:pPr>
              <w:jc w:val="center"/>
              <w:rPr>
                <w:rFonts w:ascii="Trebuchet MS" w:hAnsi="Trebuchet MS" w:cs="Tahoma"/>
                <w:b/>
                <w:sz w:val="13"/>
                <w:szCs w:val="13"/>
              </w:rPr>
            </w:pPr>
            <w:hyperlink w:anchor="_34_Bing_Maps" w:history="1">
              <w:r w:rsidR="008849B7"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1 Punkt</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1</w:t>
            </w:r>
          </w:p>
        </w:tc>
        <w:tc>
          <w:tcPr>
            <w:tcW w:w="450" w:type="dxa"/>
            <w:tcBorders>
              <w:bottom w:val="single" w:sz="4" w:space="0" w:color="auto"/>
            </w:tcBorders>
            <w:shd w:val="clear" w:color="auto" w:fill="auto"/>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3"/>
              </w:rPr>
            </w:pP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OL/OV</w:t>
            </w: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51" w:name="_Toc363998679"/>
            <w:r w:rsidRPr="00C02B5C">
              <w:rPr>
                <w:rFonts w:ascii="Tahoma" w:hAnsi="Tahoma" w:cs="Tahoma"/>
                <w:sz w:val="14"/>
                <w:szCs w:val="14"/>
              </w:rPr>
              <w:t>Bing Maps Mobile Asset Management NA ohne Routing Per Asset Monthly Sub</w:t>
            </w:r>
            <w:bookmarkEnd w:id="151"/>
          </w:p>
        </w:tc>
        <w:tc>
          <w:tcPr>
            <w:tcW w:w="450" w:type="dxa"/>
            <w:tcBorders>
              <w:bottom w:val="single" w:sz="4" w:space="0" w:color="auto"/>
            </w:tcBorders>
            <w:shd w:val="clear" w:color="auto" w:fill="auto"/>
            <w:vAlign w:val="center"/>
          </w:tcPr>
          <w:p w:rsidR="001A63C6" w:rsidRPr="00C02B5C" w:rsidRDefault="005B744B" w:rsidP="00C02B5C">
            <w:pPr>
              <w:jc w:val="center"/>
              <w:rPr>
                <w:rFonts w:ascii="Trebuchet MS" w:hAnsi="Trebuchet MS" w:cs="Tahoma"/>
                <w:b/>
                <w:sz w:val="13"/>
                <w:szCs w:val="13"/>
              </w:rPr>
            </w:pPr>
            <w:hyperlink w:anchor="_34_Bing_Maps" w:history="1">
              <w:r w:rsidR="008849B7"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1 Punkt</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1</w:t>
            </w:r>
          </w:p>
        </w:tc>
        <w:tc>
          <w:tcPr>
            <w:tcW w:w="450" w:type="dxa"/>
            <w:tcBorders>
              <w:bottom w:val="single" w:sz="4" w:space="0" w:color="auto"/>
            </w:tcBorders>
            <w:shd w:val="clear" w:color="auto" w:fill="auto"/>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3"/>
              </w:rPr>
            </w:pP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OL/OV</w:t>
            </w: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52" w:name="_Toc363998680"/>
            <w:r w:rsidRPr="00C02B5C">
              <w:rPr>
                <w:rFonts w:ascii="Tahoma" w:hAnsi="Tahoma" w:cs="Tahoma"/>
                <w:sz w:val="14"/>
                <w:szCs w:val="14"/>
              </w:rPr>
              <w:t>Bing Maps Mobile Asset Management Europe mit Routing Per Asset Monthly Sub</w:t>
            </w:r>
            <w:bookmarkEnd w:id="152"/>
          </w:p>
        </w:tc>
        <w:tc>
          <w:tcPr>
            <w:tcW w:w="450" w:type="dxa"/>
            <w:tcBorders>
              <w:bottom w:val="single" w:sz="4" w:space="0" w:color="auto"/>
            </w:tcBorders>
            <w:shd w:val="clear" w:color="auto" w:fill="FABF8F"/>
            <w:vAlign w:val="center"/>
          </w:tcPr>
          <w:p w:rsidR="001A63C6" w:rsidRPr="00C02B5C" w:rsidRDefault="005B744B" w:rsidP="00C02B5C">
            <w:pPr>
              <w:jc w:val="center"/>
              <w:rPr>
                <w:rFonts w:ascii="Trebuchet MS" w:hAnsi="Trebuchet MS" w:cs="Tahoma"/>
                <w:b/>
                <w:sz w:val="13"/>
                <w:szCs w:val="13"/>
              </w:rPr>
            </w:pPr>
            <w:hyperlink w:anchor="_34_Bing_Maps" w:history="1">
              <w:r w:rsidR="008849B7"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4"/>
              </w:rPr>
              <w:t>1 Punkt</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4"/>
              </w:rPr>
              <w:t>1</w:t>
            </w:r>
          </w:p>
        </w:tc>
        <w:tc>
          <w:tcPr>
            <w:tcW w:w="450" w:type="dxa"/>
            <w:tcBorders>
              <w:bottom w:val="single" w:sz="4" w:space="0" w:color="auto"/>
            </w:tcBorders>
            <w:shd w:val="clear" w:color="auto" w:fill="FABF8F"/>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sz w:val="13"/>
              </w:rPr>
            </w:pP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sz w:val="14"/>
              </w:rPr>
            </w:pPr>
            <w:r w:rsidRPr="004D10F1">
              <w:rPr>
                <w:rFonts w:cs="Tahoma"/>
                <w:sz w:val="13"/>
              </w:rPr>
              <w:t>OL/OV</w:t>
            </w: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5A76F9">
            <w:pPr>
              <w:pStyle w:val="ProductNames"/>
              <w:spacing w:beforeLines="20" w:before="48" w:afterLines="20" w:after="48"/>
              <w:rPr>
                <w:rFonts w:ascii="Tahoma" w:hAnsi="Tahoma" w:cs="Tahoma"/>
                <w:sz w:val="14"/>
                <w:szCs w:val="14"/>
              </w:rPr>
            </w:pPr>
            <w:bookmarkStart w:id="153" w:name="_Toc363998681"/>
            <w:r w:rsidRPr="00C02B5C">
              <w:rPr>
                <w:rFonts w:ascii="Tahoma" w:hAnsi="Tahoma" w:cs="Tahoma"/>
                <w:sz w:val="14"/>
                <w:szCs w:val="14"/>
              </w:rPr>
              <w:t>Bing Maps Mobile Asset Management Europe ohne Routing Per Asset Monthly</w:t>
            </w:r>
            <w:r w:rsidR="005A76F9">
              <w:rPr>
                <w:rFonts w:ascii="Tahoma" w:hAnsi="Tahoma" w:cs="Tahoma"/>
                <w:sz w:val="14"/>
                <w:szCs w:val="14"/>
              </w:rPr>
              <w:t> </w:t>
            </w:r>
            <w:r w:rsidRPr="00C02B5C">
              <w:rPr>
                <w:rFonts w:ascii="Tahoma" w:hAnsi="Tahoma" w:cs="Tahoma"/>
                <w:sz w:val="14"/>
                <w:szCs w:val="14"/>
              </w:rPr>
              <w:t>Sub</w:t>
            </w:r>
            <w:bookmarkEnd w:id="153"/>
          </w:p>
        </w:tc>
        <w:tc>
          <w:tcPr>
            <w:tcW w:w="450" w:type="dxa"/>
            <w:tcBorders>
              <w:bottom w:val="single" w:sz="4" w:space="0" w:color="auto"/>
            </w:tcBorders>
            <w:shd w:val="clear" w:color="auto" w:fill="auto"/>
            <w:vAlign w:val="center"/>
          </w:tcPr>
          <w:p w:rsidR="001A63C6" w:rsidRPr="00C02B5C" w:rsidRDefault="005B744B" w:rsidP="00C02B5C">
            <w:pPr>
              <w:jc w:val="center"/>
              <w:rPr>
                <w:rFonts w:ascii="Trebuchet MS" w:hAnsi="Trebuchet MS" w:cs="Tahoma"/>
                <w:b/>
                <w:sz w:val="13"/>
                <w:szCs w:val="13"/>
              </w:rPr>
            </w:pPr>
            <w:hyperlink w:anchor="_34_Bing_Maps" w:history="1">
              <w:r w:rsidR="008849B7" w:rsidRPr="00C02B5C">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D15BAA" w:rsidRPr="004D10F1" w:rsidRDefault="00DB3ECB" w:rsidP="000C5B59">
            <w:pPr>
              <w:jc w:val="center"/>
              <w:rPr>
                <w:rFonts w:cs="Tahoma"/>
                <w:sz w:val="14"/>
              </w:rPr>
            </w:pPr>
            <w:r w:rsidRPr="004D10F1">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1 Punkt</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4"/>
              </w:rPr>
              <w:t>1</w:t>
            </w:r>
          </w:p>
        </w:tc>
        <w:tc>
          <w:tcPr>
            <w:tcW w:w="450" w:type="dxa"/>
            <w:tcBorders>
              <w:bottom w:val="single" w:sz="4" w:space="0" w:color="auto"/>
            </w:tcBorders>
            <w:shd w:val="clear" w:color="auto" w:fill="auto"/>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P</w:t>
            </w: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3"/>
              </w:rPr>
            </w:pPr>
          </w:p>
        </w:tc>
        <w:tc>
          <w:tcPr>
            <w:tcW w:w="540" w:type="dxa"/>
            <w:tcBorders>
              <w:bottom w:val="single" w:sz="4" w:space="0" w:color="auto"/>
            </w:tcBorders>
            <w:shd w:val="clear" w:color="auto" w:fill="auto"/>
            <w:vAlign w:val="center"/>
          </w:tcPr>
          <w:p w:rsidR="001A63C6" w:rsidRPr="004D10F1" w:rsidRDefault="001A63C6" w:rsidP="000C5B59">
            <w:pPr>
              <w:jc w:val="center"/>
              <w:rPr>
                <w:rFonts w:cs="Tahoma"/>
                <w:sz w:val="14"/>
              </w:rPr>
            </w:pPr>
            <w:r w:rsidRPr="004D10F1">
              <w:rPr>
                <w:rFonts w:cs="Tahoma"/>
                <w:sz w:val="13"/>
              </w:rPr>
              <w:t>OL/OV</w:t>
            </w:r>
          </w:p>
        </w:tc>
      </w:tr>
      <w:tr w:rsidR="00B33D0E" w:rsidRPr="004D10F1" w:rsidTr="000C5B59">
        <w:trPr>
          <w:trHeight w:val="64"/>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54" w:name="_Toc336337919"/>
            <w:bookmarkStart w:id="155" w:name="_Toc363998682"/>
            <w:r w:rsidRPr="00C02B5C">
              <w:rPr>
                <w:rFonts w:ascii="Tahoma" w:hAnsi="Tahoma" w:cs="Tahoma"/>
                <w:sz w:val="14"/>
                <w:szCs w:val="14"/>
              </w:rPr>
              <w:t>BizTalk</w:t>
            </w:r>
            <w:r w:rsidR="0069040B" w:rsidRPr="0069040B">
              <w:rPr>
                <w:rFonts w:ascii="Tahoma" w:hAnsi="Tahoma" w:cs="Tahoma"/>
                <w:sz w:val="14"/>
                <w:szCs w:val="14"/>
                <w:vertAlign w:val="superscript"/>
              </w:rPr>
              <w:t>®</w:t>
            </w:r>
            <w:r w:rsidRPr="00C02B5C">
              <w:rPr>
                <w:rFonts w:ascii="Tahoma" w:hAnsi="Tahoma" w:cs="Tahoma"/>
                <w:sz w:val="14"/>
                <w:szCs w:val="14"/>
              </w:rPr>
              <w:t xml:space="preserve"> Server 2013 Branch Edition</w:t>
            </w:r>
            <w:bookmarkEnd w:id="154"/>
            <w:bookmarkEnd w:id="155"/>
            <w:r w:rsidRPr="00C02B5C">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29_BizTalk®_Server" w:history="1">
              <w:r w:rsidR="00316801" w:rsidRPr="00C02B5C">
                <w:rPr>
                  <w:rStyle w:val="Hyperlink"/>
                  <w:rFonts w:cs="Tahoma"/>
                  <w:b/>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4D10F1" w:rsidRDefault="00DB3ECB" w:rsidP="000C5B59">
            <w:pPr>
              <w:pStyle w:val="TableText"/>
              <w:widowControl w:val="0"/>
              <w:rPr>
                <w:rFonts w:ascii="Tahoma" w:hAnsi="Tahoma" w:cs="Tahoma"/>
                <w:color w:val="000000"/>
                <w:sz w:val="13"/>
              </w:rPr>
            </w:pPr>
            <w:r w:rsidRPr="004D10F1">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A,S,D</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OL/OV</w:t>
            </w: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56" w:name="_Toc336337920"/>
            <w:bookmarkStart w:id="157" w:name="_Toc363998683"/>
            <w:r w:rsidRPr="00C02B5C">
              <w:rPr>
                <w:rFonts w:ascii="Tahoma" w:hAnsi="Tahoma" w:cs="Tahoma"/>
                <w:sz w:val="14"/>
                <w:szCs w:val="14"/>
              </w:rPr>
              <w:t>BizTalk</w:t>
            </w:r>
            <w:r w:rsidR="0069040B" w:rsidRPr="0069040B">
              <w:rPr>
                <w:rFonts w:ascii="Tahoma" w:hAnsi="Tahoma" w:cs="Tahoma"/>
                <w:sz w:val="14"/>
                <w:szCs w:val="14"/>
                <w:vertAlign w:val="superscript"/>
              </w:rPr>
              <w:t>®</w:t>
            </w:r>
            <w:r w:rsidRPr="00C02B5C">
              <w:rPr>
                <w:rFonts w:ascii="Tahoma" w:hAnsi="Tahoma" w:cs="Tahoma"/>
                <w:sz w:val="14"/>
                <w:szCs w:val="14"/>
              </w:rPr>
              <w:t xml:space="preserve"> Server 2013 Enterprise Edition</w:t>
            </w:r>
            <w:bookmarkEnd w:id="156"/>
            <w:bookmarkEnd w:id="157"/>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36_BizTalk_Server®" w:history="1">
              <w:r w:rsidR="00316801" w:rsidRPr="00C02B5C">
                <w:rPr>
                  <w:rStyle w:val="Hyperlink"/>
                  <w:rFonts w:cs="Tahoma"/>
                  <w:b/>
                  <w:sz w:val="13"/>
                  <w:szCs w:val="13"/>
                </w:rPr>
                <w:t>37</w:t>
              </w:r>
            </w:hyperlink>
          </w:p>
        </w:tc>
        <w:tc>
          <w:tcPr>
            <w:tcW w:w="450" w:type="dxa"/>
            <w:tcBorders>
              <w:bottom w:val="single" w:sz="4" w:space="0" w:color="auto"/>
            </w:tcBorders>
            <w:shd w:val="clear" w:color="auto" w:fill="auto"/>
            <w:vAlign w:val="center"/>
          </w:tcPr>
          <w:p w:rsidR="001A63C6" w:rsidRPr="004D10F1" w:rsidRDefault="00DB3ECB" w:rsidP="000C5B59">
            <w:pPr>
              <w:pStyle w:val="TableText"/>
              <w:widowControl w:val="0"/>
              <w:rPr>
                <w:rFonts w:ascii="Tahoma" w:hAnsi="Tahoma" w:cs="Tahoma"/>
                <w:color w:val="000000"/>
                <w:sz w:val="13"/>
              </w:rPr>
            </w:pPr>
            <w:r w:rsidRPr="004D10F1">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200</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OL/OV</w:t>
            </w:r>
          </w:p>
        </w:tc>
      </w:tr>
      <w:tr w:rsidR="002B327C" w:rsidRPr="004D10F1" w:rsidTr="000C5B59">
        <w:trPr>
          <w:trHeight w:val="145"/>
        </w:trPr>
        <w:tc>
          <w:tcPr>
            <w:tcW w:w="2734" w:type="dxa"/>
            <w:gridSpan w:val="2"/>
            <w:tcBorders>
              <w:bottom w:val="single" w:sz="4" w:space="0" w:color="auto"/>
            </w:tcBorders>
            <w:shd w:val="clear" w:color="auto" w:fill="FABF8F"/>
            <w:vAlign w:val="center"/>
          </w:tcPr>
          <w:p w:rsidR="002B327C" w:rsidRPr="00C02B5C" w:rsidRDefault="002B327C" w:rsidP="00C02B5C">
            <w:pPr>
              <w:pStyle w:val="ProductNames"/>
              <w:spacing w:beforeLines="20" w:before="48" w:afterLines="20" w:after="48"/>
              <w:rPr>
                <w:rFonts w:ascii="Tahoma" w:hAnsi="Tahoma" w:cs="Tahoma"/>
                <w:sz w:val="14"/>
                <w:szCs w:val="14"/>
              </w:rPr>
            </w:pPr>
            <w:bookmarkStart w:id="158" w:name="_Toc363998684"/>
            <w:r w:rsidRPr="00C02B5C">
              <w:rPr>
                <w:rFonts w:ascii="Tahoma" w:hAnsi="Tahoma" w:cs="Tahoma"/>
                <w:sz w:val="14"/>
                <w:szCs w:val="14"/>
              </w:rPr>
              <w:t>BizTalk</w:t>
            </w:r>
            <w:r w:rsidR="0069040B" w:rsidRPr="0069040B">
              <w:rPr>
                <w:rFonts w:ascii="Tahoma" w:hAnsi="Tahoma" w:cs="Tahoma"/>
                <w:sz w:val="14"/>
                <w:szCs w:val="14"/>
                <w:vertAlign w:val="superscript"/>
              </w:rPr>
              <w:t>®</w:t>
            </w:r>
            <w:r w:rsidRPr="00C02B5C">
              <w:rPr>
                <w:rFonts w:ascii="Tahoma" w:hAnsi="Tahoma" w:cs="Tahoma"/>
                <w:sz w:val="14"/>
                <w:szCs w:val="14"/>
              </w:rPr>
              <w:t xml:space="preserve"> Server 2013 Branch IDC</w:t>
            </w:r>
            <w:bookmarkEnd w:id="158"/>
          </w:p>
        </w:tc>
        <w:tc>
          <w:tcPr>
            <w:tcW w:w="450" w:type="dxa"/>
            <w:tcBorders>
              <w:bottom w:val="single" w:sz="4" w:space="0" w:color="auto"/>
            </w:tcBorders>
            <w:shd w:val="clear" w:color="auto" w:fill="FABF8F"/>
            <w:vAlign w:val="center"/>
          </w:tcPr>
          <w:p w:rsidR="002B327C" w:rsidRPr="00C02B5C" w:rsidRDefault="002B327C" w:rsidP="00C02B5C">
            <w:pPr>
              <w:pStyle w:val="TableText"/>
              <w:widowControl w:val="0"/>
              <w:rPr>
                <w:rFonts w:cs="Tahoma"/>
                <w:sz w:val="13"/>
                <w:szCs w:val="13"/>
              </w:rPr>
            </w:pPr>
          </w:p>
        </w:tc>
        <w:tc>
          <w:tcPr>
            <w:tcW w:w="450" w:type="dxa"/>
            <w:tcBorders>
              <w:bottom w:val="single" w:sz="4" w:space="0" w:color="auto"/>
            </w:tcBorders>
            <w:shd w:val="clear" w:color="auto" w:fill="FABF8F"/>
            <w:vAlign w:val="center"/>
          </w:tcPr>
          <w:p w:rsidR="002B327C" w:rsidRPr="004D10F1" w:rsidDel="004D199A" w:rsidRDefault="00DB3ECB" w:rsidP="000C5B59">
            <w:pPr>
              <w:pStyle w:val="TableText"/>
              <w:widowControl w:val="0"/>
              <w:rPr>
                <w:rFonts w:ascii="Tahoma" w:hAnsi="Tahoma" w:cs="Tahoma"/>
                <w:color w:val="000000"/>
                <w:sz w:val="13"/>
              </w:rPr>
            </w:pPr>
            <w:r w:rsidRPr="004D10F1">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4D10F1" w:rsidRDefault="002B327C"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4D10F1" w:rsidRDefault="002B327C"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4D10F1" w:rsidRDefault="002B327C"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4D10F1" w:rsidRDefault="002B327C"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4D10F1" w:rsidRDefault="002B327C"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4D10F1" w:rsidRDefault="002B327C"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4D10F1" w:rsidRDefault="002B327C"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4D10F1" w:rsidRDefault="002B327C"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4D10F1" w:rsidRDefault="002B327C"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4D10F1" w:rsidRDefault="002B327C"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4D10F1" w:rsidRDefault="002B327C"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4D10F1" w:rsidRDefault="002B327C"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4D10F1" w:rsidRDefault="002B327C" w:rsidP="000C5B59">
            <w:pPr>
              <w:pStyle w:val="TableText"/>
              <w:widowControl w:val="0"/>
              <w:rPr>
                <w:rFonts w:ascii="Tahoma" w:hAnsi="Tahoma" w:cs="Tahoma"/>
                <w:sz w:val="13"/>
              </w:rPr>
            </w:pPr>
            <w:r w:rsidRPr="004D10F1">
              <w:rPr>
                <w:rFonts w:ascii="Tahoma" w:hAnsi="Tahoma" w:cs="Tahoma"/>
                <w:sz w:val="13"/>
              </w:rPr>
              <w:t>D</w:t>
            </w:r>
          </w:p>
        </w:tc>
        <w:tc>
          <w:tcPr>
            <w:tcW w:w="360" w:type="dxa"/>
            <w:tcBorders>
              <w:left w:val="single" w:sz="18" w:space="0" w:color="auto"/>
              <w:bottom w:val="single" w:sz="4" w:space="0" w:color="auto"/>
              <w:right w:val="single" w:sz="18" w:space="0" w:color="auto"/>
            </w:tcBorders>
            <w:shd w:val="clear" w:color="auto" w:fill="FABF8F"/>
            <w:vAlign w:val="center"/>
          </w:tcPr>
          <w:p w:rsidR="002B327C" w:rsidRPr="004D10F1" w:rsidRDefault="002B327C"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4D10F1" w:rsidRDefault="002B327C"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4D10F1" w:rsidRDefault="002B327C" w:rsidP="000C5B59">
            <w:pPr>
              <w:pStyle w:val="TableText"/>
              <w:widowControl w:val="0"/>
              <w:rPr>
                <w:rFonts w:ascii="Tahoma" w:hAnsi="Tahoma" w:cs="Tahoma"/>
                <w:color w:val="000000"/>
                <w:sz w:val="13"/>
              </w:rPr>
            </w:pP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159" w:name="_Toc336337922"/>
            <w:bookmarkStart w:id="160" w:name="_Toc363998685"/>
            <w:r w:rsidRPr="00C02B5C">
              <w:rPr>
                <w:rFonts w:ascii="Tahoma" w:hAnsi="Tahoma" w:cs="Tahoma"/>
                <w:sz w:val="14"/>
                <w:szCs w:val="14"/>
              </w:rPr>
              <w:t>BizTalk</w:t>
            </w:r>
            <w:r w:rsidR="0069040B" w:rsidRPr="0069040B">
              <w:rPr>
                <w:rFonts w:ascii="Tahoma" w:hAnsi="Tahoma" w:cs="Tahoma"/>
                <w:sz w:val="14"/>
                <w:szCs w:val="14"/>
                <w:vertAlign w:val="superscript"/>
              </w:rPr>
              <w:t>®</w:t>
            </w:r>
            <w:r w:rsidRPr="00C02B5C">
              <w:rPr>
                <w:rFonts w:ascii="Tahoma" w:hAnsi="Tahoma" w:cs="Tahoma"/>
                <w:sz w:val="14"/>
                <w:szCs w:val="14"/>
              </w:rPr>
              <w:t xml:space="preserve"> Server 2013 Standard Edition</w:t>
            </w:r>
            <w:bookmarkEnd w:id="159"/>
            <w:bookmarkEnd w:id="160"/>
            <w:r w:rsidRPr="00C02B5C">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38_BizTalk_Server®" w:history="1">
              <w:r w:rsidR="00316801" w:rsidRPr="00C02B5C">
                <w:rPr>
                  <w:rStyle w:val="Hyperlink"/>
                  <w:rFonts w:cs="Tahoma"/>
                  <w:b/>
                  <w:sz w:val="13"/>
                  <w:szCs w:val="13"/>
                </w:rPr>
                <w:t>38</w:t>
              </w:r>
            </w:hyperlink>
          </w:p>
        </w:tc>
        <w:tc>
          <w:tcPr>
            <w:tcW w:w="450" w:type="dxa"/>
            <w:tcBorders>
              <w:bottom w:val="single" w:sz="4" w:space="0" w:color="auto"/>
            </w:tcBorders>
            <w:shd w:val="clear" w:color="auto" w:fill="auto"/>
            <w:vAlign w:val="center"/>
          </w:tcPr>
          <w:p w:rsidR="001A63C6" w:rsidRPr="004D10F1" w:rsidRDefault="00DB3ECB" w:rsidP="000C5B59">
            <w:pPr>
              <w:pStyle w:val="TableText"/>
              <w:widowControl w:val="0"/>
              <w:rPr>
                <w:rFonts w:ascii="Tahoma" w:hAnsi="Tahoma" w:cs="Tahoma"/>
                <w:color w:val="000000"/>
                <w:sz w:val="13"/>
              </w:rPr>
            </w:pPr>
            <w:r w:rsidRPr="004D10F1">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4D199A" w:rsidP="000C5B59">
            <w:pPr>
              <w:pStyle w:val="TableText"/>
              <w:widowControl w:val="0"/>
              <w:rPr>
                <w:rFonts w:ascii="Tahoma" w:hAnsi="Tahoma" w:cs="Tahoma"/>
                <w:sz w:val="13"/>
              </w:rPr>
            </w:pPr>
            <w:r w:rsidRPr="004D10F1">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4D10F1" w:rsidRDefault="004D199A" w:rsidP="000C5B59">
            <w:pPr>
              <w:pStyle w:val="TableText"/>
              <w:widowControl w:val="0"/>
              <w:rPr>
                <w:rFonts w:ascii="Tahoma" w:hAnsi="Tahoma" w:cs="Tahoma"/>
                <w:sz w:val="13"/>
              </w:rPr>
            </w:pPr>
            <w:r w:rsidRPr="004D10F1">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4D10F1" w:rsidRDefault="004D199A" w:rsidP="000C5B59">
            <w:pPr>
              <w:pStyle w:val="TableText"/>
              <w:widowControl w:val="0"/>
              <w:rPr>
                <w:rFonts w:ascii="Tahoma" w:hAnsi="Tahoma" w:cs="Tahoma"/>
                <w:sz w:val="13"/>
              </w:rPr>
            </w:pPr>
            <w:r w:rsidRPr="004D10F1">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4D10F1" w:rsidRDefault="004D199A"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4D10F1" w:rsidRDefault="004D199A"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4D10F1" w:rsidRDefault="004D199A" w:rsidP="000C5B59">
            <w:pPr>
              <w:pStyle w:val="TableText"/>
              <w:widowControl w:val="0"/>
              <w:rPr>
                <w:rFonts w:ascii="Tahoma" w:hAnsi="Tahoma" w:cs="Tahoma"/>
                <w:sz w:val="13"/>
              </w:rPr>
            </w:pPr>
            <w:r w:rsidRPr="004D10F1">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4D10F1" w:rsidRDefault="004D199A"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D10F1" w:rsidRDefault="004D199A"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tcBorders>
            <w:shd w:val="clear" w:color="auto" w:fill="auto"/>
            <w:vAlign w:val="center"/>
          </w:tcPr>
          <w:p w:rsidR="001A63C6" w:rsidRPr="004D10F1" w:rsidRDefault="004D199A" w:rsidP="000C5B59">
            <w:pPr>
              <w:pStyle w:val="TableText"/>
              <w:widowControl w:val="0"/>
              <w:rPr>
                <w:rFonts w:ascii="Tahoma" w:hAnsi="Tahoma" w:cs="Tahoma"/>
                <w:sz w:val="13"/>
              </w:rPr>
            </w:pPr>
            <w:r w:rsidRPr="004D10F1">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D10F1" w:rsidRDefault="004D199A" w:rsidP="000C5B59">
            <w:pPr>
              <w:pStyle w:val="TableText"/>
              <w:widowControl w:val="0"/>
              <w:rPr>
                <w:rFonts w:ascii="Tahoma" w:hAnsi="Tahoma" w:cs="Tahoma"/>
                <w:sz w:val="13"/>
              </w:rPr>
            </w:pPr>
            <w:r w:rsidRPr="004D10F1">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D10F1" w:rsidRDefault="004D199A"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OL/OV</w:t>
            </w:r>
          </w:p>
        </w:tc>
      </w:tr>
      <w:tr w:rsidR="00B33D0E" w:rsidRPr="004D10F1" w:rsidDel="00E7100E" w:rsidTr="000C5B59">
        <w:trPr>
          <w:trHeight w:val="145"/>
        </w:trPr>
        <w:tc>
          <w:tcPr>
            <w:tcW w:w="2734" w:type="dxa"/>
            <w:gridSpan w:val="2"/>
            <w:tcBorders>
              <w:bottom w:val="single" w:sz="4" w:space="0" w:color="auto"/>
            </w:tcBorders>
            <w:shd w:val="clear" w:color="auto" w:fill="FABF8F"/>
            <w:vAlign w:val="center"/>
          </w:tcPr>
          <w:p w:rsidR="002B327C" w:rsidRPr="00C02B5C" w:rsidDel="002B327C" w:rsidRDefault="002B327C" w:rsidP="00C02B5C">
            <w:pPr>
              <w:pStyle w:val="Heading2"/>
              <w:spacing w:beforeLines="20" w:before="48" w:afterLines="20" w:after="48"/>
              <w:ind w:left="0"/>
              <w:rPr>
                <w:rFonts w:ascii="Tahoma" w:hAnsi="Tahoma" w:cs="Tahoma"/>
                <w:b w:val="0"/>
                <w:sz w:val="14"/>
                <w:szCs w:val="14"/>
              </w:rPr>
            </w:pPr>
            <w:bookmarkStart w:id="161" w:name="_Toc363998686"/>
            <w:r w:rsidRPr="00C02B5C">
              <w:rPr>
                <w:rFonts w:ascii="Tahoma" w:hAnsi="Tahoma" w:cs="Tahoma"/>
                <w:b w:val="0"/>
                <w:sz w:val="14"/>
                <w:szCs w:val="14"/>
              </w:rPr>
              <w:t>BizTalk</w:t>
            </w:r>
            <w:r w:rsidR="0069040B" w:rsidRPr="0069040B">
              <w:rPr>
                <w:rFonts w:ascii="Tahoma" w:hAnsi="Tahoma" w:cs="Tahoma"/>
                <w:b w:val="0"/>
                <w:sz w:val="14"/>
                <w:szCs w:val="14"/>
                <w:vertAlign w:val="superscript"/>
              </w:rPr>
              <w:t>®</w:t>
            </w:r>
            <w:r w:rsidRPr="00C02B5C">
              <w:rPr>
                <w:rFonts w:ascii="Tahoma" w:hAnsi="Tahoma" w:cs="Tahoma"/>
                <w:b w:val="0"/>
                <w:sz w:val="14"/>
                <w:szCs w:val="14"/>
              </w:rPr>
              <w:t xml:space="preserve"> Server 2013 Standard Edition IDC</w:t>
            </w:r>
            <w:bookmarkEnd w:id="161"/>
          </w:p>
        </w:tc>
        <w:tc>
          <w:tcPr>
            <w:tcW w:w="450" w:type="dxa"/>
            <w:tcBorders>
              <w:bottom w:val="single" w:sz="4" w:space="0" w:color="auto"/>
            </w:tcBorders>
            <w:shd w:val="clear" w:color="auto" w:fill="FABF8F"/>
            <w:vAlign w:val="center"/>
          </w:tcPr>
          <w:p w:rsidR="002B327C" w:rsidRPr="00C02B5C" w:rsidDel="00E7100E" w:rsidRDefault="002B327C" w:rsidP="00C02B5C">
            <w:pPr>
              <w:jc w:val="center"/>
              <w:rPr>
                <w:rFonts w:ascii="Trebuchet MS" w:hAnsi="Trebuchet MS" w:cs="Tahoma"/>
                <w:sz w:val="13"/>
                <w:szCs w:val="13"/>
              </w:rPr>
            </w:pPr>
          </w:p>
        </w:tc>
        <w:tc>
          <w:tcPr>
            <w:tcW w:w="450" w:type="dxa"/>
            <w:tcBorders>
              <w:bottom w:val="single" w:sz="4" w:space="0" w:color="auto"/>
            </w:tcBorders>
            <w:shd w:val="clear" w:color="auto" w:fill="FABF8F"/>
            <w:vAlign w:val="center"/>
          </w:tcPr>
          <w:p w:rsidR="002B327C" w:rsidRPr="004D10F1" w:rsidDel="00A53269" w:rsidRDefault="00DB3ECB" w:rsidP="000C5B59">
            <w:pPr>
              <w:jc w:val="center"/>
              <w:rPr>
                <w:rFonts w:cs="Tahoma"/>
                <w:color w:val="000000"/>
                <w:sz w:val="13"/>
                <w:szCs w:val="13"/>
              </w:rPr>
            </w:pPr>
            <w:r w:rsidRPr="004D10F1">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4D10F1" w:rsidDel="00E7100E" w:rsidRDefault="002B327C" w:rsidP="000C5B59">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4D10F1" w:rsidDel="00E7100E" w:rsidRDefault="002B327C" w:rsidP="000C5B59">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4D10F1" w:rsidDel="00E7100E" w:rsidRDefault="002B327C" w:rsidP="000C5B59">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4D10F1" w:rsidDel="00E7100E" w:rsidRDefault="002B327C" w:rsidP="000C5B59">
            <w:pPr>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4D10F1" w:rsidDel="00E7100E" w:rsidRDefault="002B327C" w:rsidP="000C5B59">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4D10F1" w:rsidDel="00E7100E" w:rsidRDefault="002B327C" w:rsidP="000C5B59">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4D10F1" w:rsidDel="00E7100E" w:rsidRDefault="002B327C" w:rsidP="000C5B59">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4D10F1" w:rsidDel="00E7100E" w:rsidRDefault="002B327C" w:rsidP="000C5B59">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4D10F1" w:rsidDel="00E7100E" w:rsidRDefault="002B327C" w:rsidP="000C5B59">
            <w:pPr>
              <w:jc w:val="center"/>
              <w:rPr>
                <w:rFonts w:cs="Tahoma"/>
                <w:sz w:val="13"/>
                <w:szCs w:val="13"/>
              </w:rPr>
            </w:pPr>
          </w:p>
        </w:tc>
        <w:tc>
          <w:tcPr>
            <w:tcW w:w="450" w:type="dxa"/>
            <w:tcBorders>
              <w:bottom w:val="single" w:sz="4" w:space="0" w:color="auto"/>
            </w:tcBorders>
            <w:shd w:val="clear" w:color="auto" w:fill="FABF8F"/>
            <w:vAlign w:val="center"/>
          </w:tcPr>
          <w:p w:rsidR="002B327C" w:rsidRPr="004D10F1" w:rsidDel="00E7100E" w:rsidRDefault="002B327C" w:rsidP="000C5B59">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4D10F1" w:rsidDel="00E7100E" w:rsidRDefault="002B327C" w:rsidP="000C5B59">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4D10F1" w:rsidDel="00E7100E" w:rsidRDefault="002B327C" w:rsidP="000C5B59">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4D10F1" w:rsidDel="00A53269" w:rsidRDefault="002253A3" w:rsidP="000C5B59">
            <w:pPr>
              <w:jc w:val="center"/>
              <w:rPr>
                <w:rFonts w:cs="Tahoma"/>
                <w:sz w:val="13"/>
                <w:szCs w:val="13"/>
              </w:rPr>
            </w:pPr>
            <w:r w:rsidRPr="004D10F1">
              <w:rPr>
                <w:rFonts w:cs="Tahoma"/>
                <w:sz w:val="13"/>
                <w:szCs w:val="13"/>
              </w:rPr>
              <w:t>D</w:t>
            </w:r>
          </w:p>
        </w:tc>
        <w:tc>
          <w:tcPr>
            <w:tcW w:w="360" w:type="dxa"/>
            <w:tcBorders>
              <w:left w:val="single" w:sz="18" w:space="0" w:color="auto"/>
              <w:bottom w:val="single" w:sz="4" w:space="0" w:color="auto"/>
              <w:right w:val="single" w:sz="18" w:space="0" w:color="auto"/>
            </w:tcBorders>
            <w:shd w:val="clear" w:color="auto" w:fill="FABF8F"/>
            <w:vAlign w:val="center"/>
          </w:tcPr>
          <w:p w:rsidR="002B327C" w:rsidRPr="004D10F1" w:rsidDel="00E7100E" w:rsidRDefault="002B327C" w:rsidP="000C5B59">
            <w:pPr>
              <w:jc w:val="center"/>
              <w:rPr>
                <w:rFonts w:cs="Tahoma"/>
                <w:sz w:val="13"/>
                <w:szCs w:val="13"/>
              </w:rPr>
            </w:pPr>
          </w:p>
        </w:tc>
        <w:tc>
          <w:tcPr>
            <w:tcW w:w="540" w:type="dxa"/>
            <w:tcBorders>
              <w:bottom w:val="single" w:sz="4" w:space="0" w:color="auto"/>
            </w:tcBorders>
            <w:shd w:val="clear" w:color="auto" w:fill="FABF8F"/>
            <w:vAlign w:val="center"/>
          </w:tcPr>
          <w:p w:rsidR="002B327C" w:rsidRPr="004D10F1" w:rsidDel="00E7100E" w:rsidRDefault="002B327C" w:rsidP="000C5B59">
            <w:pPr>
              <w:jc w:val="center"/>
              <w:rPr>
                <w:rFonts w:cs="Tahoma"/>
                <w:sz w:val="13"/>
                <w:szCs w:val="13"/>
              </w:rPr>
            </w:pPr>
          </w:p>
        </w:tc>
        <w:tc>
          <w:tcPr>
            <w:tcW w:w="540" w:type="dxa"/>
            <w:tcBorders>
              <w:bottom w:val="single" w:sz="4" w:space="0" w:color="auto"/>
            </w:tcBorders>
            <w:shd w:val="clear" w:color="auto" w:fill="FABF8F"/>
            <w:vAlign w:val="center"/>
          </w:tcPr>
          <w:p w:rsidR="002B327C" w:rsidRPr="004D10F1" w:rsidDel="00E7100E" w:rsidRDefault="002B327C" w:rsidP="000C5B59">
            <w:pPr>
              <w:jc w:val="center"/>
              <w:rPr>
                <w:rFonts w:cs="Tahoma"/>
                <w:color w:val="000000"/>
                <w:sz w:val="13"/>
                <w:szCs w:val="13"/>
              </w:rPr>
            </w:pPr>
          </w:p>
        </w:tc>
      </w:tr>
      <w:tr w:rsidR="00BE2E58"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162" w:name="_Toc336337925"/>
            <w:bookmarkStart w:id="163" w:name="_Toc363998687"/>
            <w:r w:rsidRPr="00C02B5C">
              <w:rPr>
                <w:rFonts w:ascii="Tahoma" w:hAnsi="Tahoma" w:cs="Tahoma"/>
                <w:b w:val="0"/>
                <w:sz w:val="14"/>
                <w:szCs w:val="14"/>
              </w:rPr>
              <w:t>Business Intelligence Appliance 2012</w:t>
            </w:r>
            <w:bookmarkEnd w:id="162"/>
            <w:bookmarkEnd w:id="163"/>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39_Business_Intelligence" w:history="1">
              <w:r w:rsidR="00316801" w:rsidRPr="00C02B5C">
                <w:rPr>
                  <w:rStyle w:val="Hyperlink"/>
                  <w:rFonts w:cs="Tahoma"/>
                  <w:b/>
                  <w:sz w:val="13"/>
                  <w:szCs w:val="13"/>
                </w:rPr>
                <w:t>39</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313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250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EF228F"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164" w:name="_Toc336337926"/>
            <w:bookmarkStart w:id="165" w:name="_Toc363998688"/>
            <w:r w:rsidRPr="00C02B5C">
              <w:rPr>
                <w:rFonts w:ascii="Tahoma" w:hAnsi="Tahoma" w:cs="Tahoma"/>
                <w:sz w:val="14"/>
                <w:szCs w:val="14"/>
                <w:lang w:val="de-DE"/>
              </w:rPr>
              <w:t>Core CAL Suite Bridge für Office 365 (Nutzer &amp; Gerät)</w:t>
            </w:r>
            <w:bookmarkEnd w:id="164"/>
            <w:bookmarkEnd w:id="165"/>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39_Core_CAL" w:history="1">
              <w:r w:rsidR="00316801" w:rsidRPr="00C02B5C">
                <w:rPr>
                  <w:rStyle w:val="Hyperlink"/>
                  <w:rFonts w:cs="Tahoma"/>
                  <w:b/>
                  <w:sz w:val="13"/>
                  <w:szCs w:val="13"/>
                </w:rPr>
                <w:t>40</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E</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E2E58"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166" w:name="_Toc336337927"/>
            <w:bookmarkStart w:id="167" w:name="_Toc363998689"/>
            <w:r w:rsidRPr="00C02B5C">
              <w:rPr>
                <w:rFonts w:ascii="Tahoma" w:hAnsi="Tahoma" w:cs="Tahoma"/>
                <w:sz w:val="14"/>
                <w:szCs w:val="14"/>
                <w:lang w:val="de-DE"/>
              </w:rPr>
              <w:t>Core CAL Suite Bridge für Office 365 und Windows</w:t>
            </w:r>
            <w:r w:rsidR="0069040B" w:rsidRPr="0069040B">
              <w:rPr>
                <w:rFonts w:ascii="Tahoma" w:hAnsi="Tahoma" w:cs="Tahoma"/>
                <w:sz w:val="14"/>
                <w:szCs w:val="14"/>
                <w:vertAlign w:val="superscript"/>
                <w:lang w:val="de-DE"/>
              </w:rPr>
              <w:t>®</w:t>
            </w:r>
            <w:r w:rsidRPr="00C02B5C">
              <w:rPr>
                <w:rFonts w:ascii="Tahoma" w:hAnsi="Tahoma" w:cs="Tahoma"/>
                <w:sz w:val="14"/>
                <w:szCs w:val="14"/>
                <w:lang w:val="de-DE"/>
              </w:rPr>
              <w:t xml:space="preserve"> Intune (Nutzer &amp; Gerät)</w:t>
            </w:r>
            <w:bookmarkEnd w:id="166"/>
            <w:bookmarkEnd w:id="167"/>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39_Core_CAL" w:history="1">
              <w:r w:rsidR="008849B7" w:rsidRPr="00C02B5C">
                <w:rPr>
                  <w:rStyle w:val="Hyperlink"/>
                  <w:rFonts w:cs="Tahoma"/>
                  <w:b/>
                  <w:sz w:val="13"/>
                  <w:szCs w:val="13"/>
                </w:rPr>
                <w:t>40</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E</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EF228F"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168" w:name="_Toc336337928"/>
            <w:bookmarkStart w:id="169" w:name="_Toc363998690"/>
            <w:r w:rsidRPr="00C02B5C">
              <w:rPr>
                <w:rFonts w:ascii="Tahoma" w:hAnsi="Tahoma" w:cs="Tahoma"/>
                <w:sz w:val="14"/>
                <w:szCs w:val="14"/>
                <w:lang w:val="de-DE"/>
              </w:rPr>
              <w:t>Core CAL Suite Bridge für Windows</w:t>
            </w:r>
            <w:r w:rsidR="0069040B" w:rsidRPr="0069040B">
              <w:rPr>
                <w:rFonts w:ascii="Tahoma" w:hAnsi="Tahoma" w:cs="Tahoma"/>
                <w:sz w:val="14"/>
                <w:szCs w:val="14"/>
                <w:vertAlign w:val="superscript"/>
                <w:lang w:val="de-DE"/>
              </w:rPr>
              <w:t>®</w:t>
            </w:r>
            <w:r w:rsidRPr="00C02B5C">
              <w:rPr>
                <w:rFonts w:ascii="Tahoma" w:hAnsi="Tahoma" w:cs="Tahoma"/>
                <w:sz w:val="14"/>
                <w:szCs w:val="14"/>
                <w:lang w:val="de-DE"/>
              </w:rPr>
              <w:t xml:space="preserve"> Intune (Nutzer &amp; Gerät)</w:t>
            </w:r>
            <w:bookmarkEnd w:id="168"/>
            <w:bookmarkEnd w:id="169"/>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39_Core_CAL" w:history="1">
              <w:r w:rsidR="008849B7" w:rsidRPr="00C02B5C">
                <w:rPr>
                  <w:rStyle w:val="Hyperlink"/>
                  <w:rFonts w:cs="Tahoma"/>
                  <w:b/>
                  <w:sz w:val="13"/>
                  <w:szCs w:val="13"/>
                </w:rPr>
                <w:t>40</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E2E58"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170" w:name="_Toc336337929"/>
            <w:bookmarkStart w:id="171" w:name="_Toc363998691"/>
            <w:r w:rsidRPr="00C02B5C">
              <w:rPr>
                <w:rFonts w:ascii="Tahoma" w:hAnsi="Tahoma" w:cs="Tahoma"/>
                <w:sz w:val="14"/>
                <w:szCs w:val="14"/>
                <w:lang w:val="de-DE"/>
              </w:rPr>
              <w:t>Core CAL Suite (Nutzer &amp; Gerät)</w:t>
            </w:r>
            <w:bookmarkEnd w:id="170"/>
            <w:bookmarkEnd w:id="171"/>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color w:val="0000FF"/>
                <w:sz w:val="13"/>
                <w:szCs w:val="13"/>
                <w:u w:val="single"/>
              </w:rPr>
            </w:pPr>
            <w:hyperlink w:anchor="_41_Core_CAL" w:history="1">
              <w:r w:rsidR="00316801" w:rsidRPr="00C02B5C">
                <w:rPr>
                  <w:rStyle w:val="Hyperlink"/>
                  <w:rFonts w:cs="Tahoma"/>
                  <w:b/>
                  <w:sz w:val="13"/>
                  <w:szCs w:val="13"/>
                </w:rPr>
                <w:t>41</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E, 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E</w:t>
            </w:r>
            <w:r w:rsidRPr="004D10F1">
              <w:rPr>
                <w:rFonts w:ascii="Tahoma" w:hAnsi="Tahoma" w:cs="Tahoma"/>
                <w:sz w:val="13"/>
              </w:rPr>
              <w:t>,ST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EF228F"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fr-FR"/>
              </w:rPr>
            </w:pPr>
            <w:bookmarkStart w:id="172" w:name="_Toc336337930"/>
            <w:bookmarkStart w:id="173" w:name="_Toc363998692"/>
            <w:r w:rsidRPr="00C02B5C">
              <w:rPr>
                <w:rFonts w:ascii="Tahoma" w:hAnsi="Tahoma" w:cs="Tahoma"/>
                <w:sz w:val="14"/>
                <w:szCs w:val="14"/>
                <w:lang w:val="fr-FR"/>
              </w:rPr>
              <w:t>Core Infrastructure Server Suite Standard</w:t>
            </w:r>
            <w:bookmarkEnd w:id="172"/>
            <w:bookmarkEnd w:id="173"/>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color w:val="0000FF"/>
                <w:sz w:val="13"/>
                <w:szCs w:val="13"/>
                <w:u w:val="single"/>
              </w:rPr>
            </w:pPr>
            <w:hyperlink w:anchor="_41_Core_Infrastructure" w:history="1">
              <w:r w:rsidR="00316801" w:rsidRPr="00C02B5C">
                <w:rPr>
                  <w:rStyle w:val="Hyperlink"/>
                  <w:rFonts w:cs="Tahoma"/>
                  <w:b/>
                  <w:sz w:val="13"/>
                  <w:szCs w:val="13"/>
                </w:rPr>
                <w:t>42</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63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C</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lang w:val="fr-FR"/>
              </w:rPr>
            </w:pPr>
            <w:bookmarkStart w:id="174" w:name="_Toc336337931"/>
            <w:bookmarkStart w:id="175" w:name="_Toc363998693"/>
            <w:r w:rsidRPr="00C02B5C">
              <w:rPr>
                <w:rFonts w:ascii="Tahoma" w:hAnsi="Tahoma" w:cs="Tahoma"/>
                <w:sz w:val="14"/>
                <w:szCs w:val="14"/>
                <w:lang w:val="fr-FR"/>
              </w:rPr>
              <w:t>Core Infrastructure Server Suite Enterprise</w:t>
            </w:r>
            <w:bookmarkEnd w:id="174"/>
            <w:bookmarkEnd w:id="175"/>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color w:val="0000FF"/>
                <w:sz w:val="13"/>
                <w:szCs w:val="13"/>
                <w:u w:val="single"/>
              </w:rPr>
            </w:pPr>
            <w:hyperlink w:anchor="_38_Core_Infrastructure" w:history="1">
              <w:r w:rsidR="00316801" w:rsidRPr="00C02B5C">
                <w:rPr>
                  <w:rStyle w:val="Hyperlink"/>
                  <w:rFonts w:cs="Tahoma"/>
                  <w:b/>
                  <w:sz w:val="13"/>
                  <w:szCs w:val="13"/>
                </w:rPr>
                <w:t>43</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fr-FR"/>
              </w:rPr>
            </w:pPr>
            <w:bookmarkStart w:id="176" w:name="_Toc336337932"/>
            <w:bookmarkStart w:id="177" w:name="_Toc363998694"/>
            <w:r w:rsidRPr="00C02B5C">
              <w:rPr>
                <w:rFonts w:ascii="Tahoma" w:hAnsi="Tahoma" w:cs="Tahoma"/>
                <w:sz w:val="14"/>
                <w:szCs w:val="14"/>
                <w:lang w:val="fr-FR"/>
              </w:rPr>
              <w:t>Core Infrastructure Server Suite Datacenter</w:t>
            </w:r>
            <w:bookmarkEnd w:id="176"/>
            <w:bookmarkEnd w:id="177"/>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color w:val="0000FF"/>
                <w:sz w:val="13"/>
                <w:szCs w:val="13"/>
                <w:u w:val="single"/>
              </w:rPr>
            </w:pPr>
            <w:hyperlink w:anchor="_44_Core_Infrastructure" w:history="1">
              <w:r w:rsidR="00316801" w:rsidRPr="00C02B5C">
                <w:rPr>
                  <w:rStyle w:val="Hyperlink"/>
                  <w:rFonts w:cs="Tahoma"/>
                  <w:b/>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150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lang w:eastAsia="ja-JP"/>
              </w:rPr>
            </w:pPr>
            <w:r w:rsidRPr="004D10F1">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lang w:eastAsia="ja-JP"/>
              </w:rPr>
            </w:pPr>
            <w:r w:rsidRPr="004D10F1">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lang w:eastAsia="ja-JP"/>
              </w:rPr>
            </w:pPr>
            <w:r w:rsidRPr="004D10F1">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lang w:eastAsia="ja-JP"/>
              </w:rPr>
            </w:pPr>
            <w:r w:rsidRPr="004D10F1">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lang w:eastAsia="ja-JP"/>
              </w:rPr>
            </w:pPr>
            <w:r w:rsidRPr="004D10F1">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lang w:eastAsia="ja-JP"/>
              </w:rPr>
            </w:pPr>
            <w:r w:rsidRPr="004D10F1">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C</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54609D" w:rsidRPr="004D10F1" w:rsidTr="000C5B59">
        <w:trPr>
          <w:trHeight w:val="145"/>
        </w:trPr>
        <w:tc>
          <w:tcPr>
            <w:tcW w:w="2734" w:type="dxa"/>
            <w:gridSpan w:val="2"/>
            <w:tcBorders>
              <w:bottom w:val="single" w:sz="4" w:space="0" w:color="auto"/>
            </w:tcBorders>
            <w:shd w:val="clear" w:color="auto" w:fill="auto"/>
            <w:vAlign w:val="center"/>
          </w:tcPr>
          <w:p w:rsidR="0054609D" w:rsidRPr="00C02B5C" w:rsidRDefault="0054609D" w:rsidP="00C02B5C">
            <w:pPr>
              <w:pStyle w:val="ProductNames"/>
              <w:spacing w:beforeLines="20" w:before="48" w:afterLines="20" w:after="48"/>
              <w:rPr>
                <w:rFonts w:ascii="Tahoma" w:hAnsi="Tahoma" w:cs="Tahoma"/>
                <w:color w:val="000000"/>
                <w:sz w:val="14"/>
                <w:szCs w:val="14"/>
              </w:rPr>
            </w:pPr>
            <w:bookmarkStart w:id="178" w:name="_Toc363998695"/>
            <w:r w:rsidRPr="00C02B5C">
              <w:rPr>
                <w:rFonts w:ascii="Tahoma" w:hAnsi="Tahoma" w:cs="Tahoma"/>
                <w:color w:val="000000"/>
                <w:sz w:val="14"/>
                <w:szCs w:val="14"/>
              </w:rPr>
              <w:t>Duet Enterprise 2</w:t>
            </w:r>
            <w:r w:rsidR="00844B7C">
              <w:rPr>
                <w:rFonts w:ascii="Tahoma" w:hAnsi="Tahoma" w:cs="Tahoma"/>
                <w:color w:val="000000"/>
                <w:sz w:val="14"/>
                <w:szCs w:val="14"/>
              </w:rPr>
              <w:t>.</w:t>
            </w:r>
            <w:r w:rsidRPr="00C02B5C">
              <w:rPr>
                <w:rFonts w:ascii="Tahoma" w:hAnsi="Tahoma" w:cs="Tahoma"/>
                <w:color w:val="000000"/>
                <w:sz w:val="14"/>
                <w:szCs w:val="14"/>
              </w:rPr>
              <w:t>0</w:t>
            </w:r>
            <w:bookmarkEnd w:id="178"/>
          </w:p>
        </w:tc>
        <w:tc>
          <w:tcPr>
            <w:tcW w:w="450" w:type="dxa"/>
            <w:tcBorders>
              <w:bottom w:val="single" w:sz="4" w:space="0" w:color="auto"/>
            </w:tcBorders>
            <w:shd w:val="clear" w:color="auto" w:fill="auto"/>
            <w:vAlign w:val="center"/>
          </w:tcPr>
          <w:p w:rsidR="0054609D" w:rsidRPr="00C02B5C" w:rsidDel="00132E08" w:rsidRDefault="005B744B" w:rsidP="00C02B5C">
            <w:pPr>
              <w:pStyle w:val="TableText"/>
              <w:widowControl w:val="0"/>
              <w:rPr>
                <w:rFonts w:cs="Tahoma"/>
                <w:b/>
                <w:sz w:val="13"/>
                <w:szCs w:val="13"/>
              </w:rPr>
            </w:pPr>
            <w:hyperlink w:anchor="_45_Duet_Enterprise" w:history="1">
              <w:r w:rsidR="00316801" w:rsidRPr="00C02B5C">
                <w:rPr>
                  <w:rStyle w:val="Hyperlink"/>
                  <w:rFonts w:cs="Tahoma"/>
                  <w:b/>
                  <w:sz w:val="13"/>
                  <w:szCs w:val="13"/>
                </w:rPr>
                <w:t>45</w:t>
              </w:r>
            </w:hyperlink>
          </w:p>
        </w:tc>
        <w:tc>
          <w:tcPr>
            <w:tcW w:w="450" w:type="dxa"/>
            <w:tcBorders>
              <w:bottom w:val="single" w:sz="4"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4D10F1" w:rsidRDefault="0054609D"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B413E" w:rsidP="00C02B5C">
            <w:pPr>
              <w:pStyle w:val="ProductNames"/>
              <w:spacing w:beforeLines="20" w:before="48" w:afterLines="20" w:after="48"/>
              <w:rPr>
                <w:rFonts w:ascii="Tahoma" w:hAnsi="Tahoma" w:cs="Tahoma"/>
                <w:sz w:val="14"/>
                <w:szCs w:val="14"/>
                <w:lang w:val="de-DE"/>
              </w:rPr>
            </w:pPr>
            <w:bookmarkStart w:id="179" w:name="_Toc336337935"/>
            <w:bookmarkStart w:id="180" w:name="_Toc363998696"/>
            <w:r w:rsidRPr="00C02B5C">
              <w:rPr>
                <w:rFonts w:ascii="Tahoma" w:hAnsi="Tahoma" w:cs="Tahoma"/>
                <w:color w:val="000000"/>
                <w:sz w:val="14"/>
                <w:szCs w:val="14"/>
                <w:lang w:val="de-DE"/>
              </w:rPr>
              <w:t>Microsoft Dynamics CRM Online-Zusatzspeicher</w:t>
            </w:r>
            <w:bookmarkEnd w:id="179"/>
            <w:bookmarkEnd w:id="180"/>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color w:val="0000FF"/>
                <w:sz w:val="13"/>
                <w:szCs w:val="13"/>
                <w:u w:val="single"/>
              </w:rPr>
            </w:pPr>
            <w:hyperlink w:anchor="_46_Microsoft_Dynamics" w:history="1">
              <w:r w:rsidR="00316801" w:rsidRPr="00C02B5C">
                <w:rPr>
                  <w:rStyle w:val="Hyperlink"/>
                  <w:rFonts w:cs="Tahoma"/>
                  <w:b/>
                  <w:sz w:val="13"/>
                  <w:szCs w:val="13"/>
                </w:rPr>
                <w:t>46</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6900D9"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B413E" w:rsidP="00C02B5C">
            <w:pPr>
              <w:pStyle w:val="ProductNames"/>
              <w:spacing w:beforeLines="20" w:before="48" w:afterLines="20" w:after="48"/>
              <w:rPr>
                <w:rFonts w:ascii="Tahoma" w:hAnsi="Tahoma" w:cs="Tahoma"/>
                <w:sz w:val="14"/>
                <w:szCs w:val="14"/>
                <w:lang w:val="de-DE"/>
              </w:rPr>
            </w:pPr>
            <w:bookmarkStart w:id="181" w:name="_Toc336337936"/>
            <w:bookmarkStart w:id="182" w:name="_Toc363998697"/>
            <w:r w:rsidRPr="00C02B5C">
              <w:rPr>
                <w:rFonts w:ascii="Tahoma" w:hAnsi="Tahoma" w:cs="Tahoma"/>
                <w:color w:val="000000"/>
                <w:sz w:val="14"/>
                <w:szCs w:val="14"/>
                <w:lang w:val="de-DE"/>
              </w:rPr>
              <w:t>Microsoft Dynamics CRM Online pro Nutzer</w:t>
            </w:r>
            <w:bookmarkEnd w:id="181"/>
            <w:bookmarkEnd w:id="182"/>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color w:val="0000FF"/>
                <w:sz w:val="13"/>
                <w:szCs w:val="13"/>
                <w:u w:val="single"/>
              </w:rPr>
            </w:pPr>
            <w:hyperlink w:anchor="_46_Microsoft_Dynamics" w:history="1">
              <w:r w:rsidR="005A5DD5" w:rsidRPr="00C02B5C">
                <w:rPr>
                  <w:rStyle w:val="Hyperlink"/>
                  <w:rFonts w:cs="Tahoma"/>
                  <w:b/>
                  <w:sz w:val="13"/>
                  <w:szCs w:val="13"/>
                </w:rPr>
                <w:t>46</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B413E" w:rsidP="00C02B5C">
            <w:pPr>
              <w:pStyle w:val="ProductNames"/>
              <w:spacing w:beforeLines="20" w:before="48" w:afterLines="20" w:after="48"/>
              <w:rPr>
                <w:rFonts w:ascii="Tahoma" w:hAnsi="Tahoma" w:cs="Tahoma"/>
                <w:sz w:val="14"/>
                <w:szCs w:val="14"/>
              </w:rPr>
            </w:pPr>
            <w:bookmarkStart w:id="183" w:name="_Toc336337937"/>
            <w:bookmarkStart w:id="184" w:name="_Toc363998698"/>
            <w:r w:rsidRPr="00C02B5C">
              <w:rPr>
                <w:rFonts w:ascii="Tahoma" w:hAnsi="Tahoma" w:cs="Tahoma"/>
                <w:color w:val="000000"/>
                <w:sz w:val="14"/>
                <w:szCs w:val="14"/>
              </w:rPr>
              <w:t>Microsoft Dynamics CRM Online für Software Assurance</w:t>
            </w:r>
            <w:bookmarkEnd w:id="183"/>
            <w:bookmarkEnd w:id="184"/>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color w:val="0000FF"/>
                <w:sz w:val="13"/>
                <w:szCs w:val="13"/>
                <w:u w:val="single"/>
              </w:rPr>
            </w:pPr>
            <w:hyperlink w:anchor="_46_Microsoft_Dynamics" w:history="1">
              <w:r w:rsidR="005A5DD5" w:rsidRPr="00C02B5C">
                <w:rPr>
                  <w:rStyle w:val="Hyperlink"/>
                  <w:rFonts w:cs="Tahoma"/>
                  <w:b/>
                  <w:sz w:val="13"/>
                  <w:szCs w:val="13"/>
                </w:rPr>
                <w:t>46</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6900D9"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185" w:name="_Toc336337942"/>
            <w:bookmarkStart w:id="186" w:name="_Toc363998699"/>
            <w:r w:rsidRPr="00C02B5C">
              <w:rPr>
                <w:rFonts w:ascii="Tahoma" w:hAnsi="Tahoma" w:cs="Tahoma"/>
                <w:sz w:val="14"/>
                <w:szCs w:val="14"/>
                <w:lang w:val="de-DE"/>
              </w:rPr>
              <w:t>Enterprise CAL Suite Bridge für Office 365 (Nutzer &amp; Gerät)</w:t>
            </w:r>
            <w:bookmarkEnd w:id="185"/>
            <w:bookmarkEnd w:id="186"/>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41_Enterprise_CAL" w:history="1">
              <w:r w:rsidR="00316801" w:rsidRPr="00C02B5C">
                <w:rPr>
                  <w:rStyle w:val="Hyperlink"/>
                  <w:rFonts w:cs="Tahoma"/>
                  <w:b/>
                  <w:sz w:val="13"/>
                  <w:szCs w:val="13"/>
                </w:rPr>
                <w:t>47</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E</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187" w:name="_Toc336337943"/>
            <w:bookmarkStart w:id="188" w:name="_Toc363998700"/>
            <w:r w:rsidRPr="00C02B5C">
              <w:rPr>
                <w:rFonts w:ascii="Tahoma" w:hAnsi="Tahoma" w:cs="Tahoma"/>
                <w:sz w:val="14"/>
                <w:szCs w:val="14"/>
                <w:lang w:val="de-DE"/>
              </w:rPr>
              <w:t>Enterprise CAL Suite Bridge für Office 365 und Windows</w:t>
            </w:r>
            <w:r w:rsidR="0069040B" w:rsidRPr="0069040B">
              <w:rPr>
                <w:rFonts w:ascii="Tahoma" w:hAnsi="Tahoma" w:cs="Tahoma"/>
                <w:sz w:val="14"/>
                <w:szCs w:val="14"/>
                <w:vertAlign w:val="superscript"/>
                <w:lang w:val="de-DE"/>
              </w:rPr>
              <w:t>®</w:t>
            </w:r>
            <w:r w:rsidRPr="00C02B5C">
              <w:rPr>
                <w:rFonts w:ascii="Tahoma" w:hAnsi="Tahoma" w:cs="Tahoma"/>
                <w:sz w:val="14"/>
                <w:szCs w:val="14"/>
                <w:lang w:val="de-DE"/>
              </w:rPr>
              <w:t xml:space="preserve"> Intune (Nutzer &amp; Gerät)</w:t>
            </w:r>
            <w:bookmarkEnd w:id="187"/>
            <w:bookmarkEnd w:id="188"/>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46_Enterprise_CAL" w:history="1">
              <w:r w:rsidR="008849B7" w:rsidRPr="00C02B5C">
                <w:rPr>
                  <w:rStyle w:val="Hyperlink"/>
                  <w:rFonts w:cs="Tahoma"/>
                  <w:b/>
                  <w:sz w:val="13"/>
                  <w:szCs w:val="13"/>
                </w:rPr>
                <w:t>47</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E</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6900D9" w:rsidRPr="004D10F1" w:rsidTr="000C5B59">
        <w:trPr>
          <w:trHeight w:val="278"/>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189" w:name="_Toc336337944"/>
            <w:bookmarkStart w:id="190" w:name="_Toc363998701"/>
            <w:r w:rsidRPr="00C02B5C">
              <w:rPr>
                <w:rFonts w:ascii="Tahoma" w:hAnsi="Tahoma" w:cs="Tahoma"/>
                <w:sz w:val="14"/>
                <w:szCs w:val="14"/>
                <w:lang w:val="de-DE"/>
              </w:rPr>
              <w:t>Enterprise CAL Suite Bridge für Windows</w:t>
            </w:r>
            <w:r w:rsidR="0069040B" w:rsidRPr="0069040B">
              <w:rPr>
                <w:rFonts w:ascii="Tahoma" w:hAnsi="Tahoma" w:cs="Tahoma"/>
                <w:sz w:val="14"/>
                <w:szCs w:val="14"/>
                <w:vertAlign w:val="superscript"/>
                <w:lang w:val="de-DE"/>
              </w:rPr>
              <w:t>®</w:t>
            </w:r>
            <w:r w:rsidRPr="00C02B5C">
              <w:rPr>
                <w:rFonts w:ascii="Tahoma" w:hAnsi="Tahoma" w:cs="Tahoma"/>
                <w:sz w:val="14"/>
                <w:szCs w:val="14"/>
                <w:lang w:val="de-DE"/>
              </w:rPr>
              <w:t xml:space="preserve"> Intune (Nutzer &amp; Gerät)</w:t>
            </w:r>
            <w:bookmarkEnd w:id="189"/>
            <w:bookmarkEnd w:id="190"/>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46_Enterprise_CAL" w:history="1">
              <w:r w:rsidR="008849B7" w:rsidRPr="00C02B5C">
                <w:rPr>
                  <w:rStyle w:val="Hyperlink"/>
                  <w:rFonts w:cs="Tahoma"/>
                  <w:b/>
                  <w:sz w:val="13"/>
                  <w:szCs w:val="13"/>
                </w:rPr>
                <w:t>47</w:t>
              </w:r>
            </w:hyperlink>
            <w:hyperlink w:anchor="Srv_45EntCALBridgeWinIntune" w:history="1"/>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191" w:name="_Toc336337945"/>
            <w:bookmarkStart w:id="192" w:name="_Toc363998702"/>
            <w:r w:rsidRPr="00C02B5C">
              <w:rPr>
                <w:rFonts w:ascii="Tahoma" w:hAnsi="Tahoma" w:cs="Tahoma"/>
                <w:sz w:val="14"/>
                <w:szCs w:val="14"/>
                <w:lang w:val="de-DE"/>
              </w:rPr>
              <w:t>Enterprise CAL Suite (Nutzer &amp; Gerät)</w:t>
            </w:r>
            <w:bookmarkEnd w:id="191"/>
            <w:bookmarkEnd w:id="192"/>
            <w:r w:rsidRPr="00C02B5C">
              <w:rPr>
                <w:rFonts w:ascii="Tahoma" w:hAnsi="Tahoma" w:cs="Tahoma"/>
                <w:sz w:val="14"/>
                <w:szCs w:val="14"/>
                <w:lang w:val="de-DE"/>
              </w:rPr>
              <w:t xml:space="preserve"> </w:t>
            </w:r>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color w:val="0000FF"/>
                <w:sz w:val="13"/>
                <w:szCs w:val="13"/>
                <w:u w:val="single"/>
              </w:rPr>
            </w:pPr>
            <w:hyperlink w:anchor="_48_Enterprise_CAL" w:history="1">
              <w:r w:rsidR="00316801" w:rsidRPr="00C02B5C">
                <w:rPr>
                  <w:rStyle w:val="Hyperlink"/>
                  <w:rFonts w:cs="Tahoma"/>
                  <w:b/>
                  <w:sz w:val="13"/>
                  <w:szCs w:val="13"/>
                </w:rPr>
                <w:t>48</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bCs/>
                <w:color w:val="000000"/>
                <w:sz w:val="13"/>
              </w:rPr>
              <w:t>13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bCs/>
                <w:color w:val="000000"/>
                <w:sz w:val="13"/>
              </w:rPr>
              <w:t>10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E, 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E,ST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6900D9"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193" w:name="_Toc363998703"/>
            <w:r w:rsidRPr="00C02B5C">
              <w:rPr>
                <w:rFonts w:ascii="Tahoma" w:hAnsi="Tahoma" w:cs="Tahoma"/>
                <w:sz w:val="14"/>
                <w:szCs w:val="14"/>
                <w:lang w:val="de-DE"/>
              </w:rPr>
              <w:t>Exchange Enterprise CAL mit Diensten2013</w:t>
            </w:r>
            <w:bookmarkEnd w:id="193"/>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sz w:val="13"/>
                <w:szCs w:val="13"/>
                <w:u w:val="single"/>
              </w:rPr>
            </w:pPr>
            <w:hyperlink w:anchor="_49_Exchange_Enterprise" w:history="1">
              <w:r w:rsidR="00316801" w:rsidRPr="00C02B5C">
                <w:rPr>
                  <w:rStyle w:val="Hyperlink"/>
                  <w:rFonts w:cs="Tahoma"/>
                  <w:b/>
                  <w:sz w:val="13"/>
                  <w:szCs w:val="13"/>
                </w:rPr>
                <w:t>49</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bCs/>
                <w:color w:val="000000"/>
                <w:sz w:val="13"/>
              </w:rPr>
            </w:pPr>
            <w:r w:rsidRPr="004D10F1">
              <w:rPr>
                <w:rFonts w:ascii="Tahoma" w:hAnsi="Tahoma" w:cs="Tahoma"/>
                <w:bCs/>
                <w:color w:val="000000"/>
                <w:sz w:val="13"/>
              </w:rPr>
              <w:t>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bCs/>
                <w:color w:val="000000"/>
                <w:sz w:val="13"/>
              </w:rPr>
            </w:pPr>
            <w:r w:rsidRPr="004D10F1">
              <w:rPr>
                <w:rFonts w:ascii="Tahoma" w:hAnsi="Tahoma" w:cs="Tahoma"/>
                <w:bCs/>
                <w:color w:val="000000"/>
                <w:sz w:val="13"/>
              </w:rPr>
              <w:t>2</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bCs/>
                <w:color w:val="000000"/>
                <w:sz w:val="13"/>
              </w:rPr>
            </w:pPr>
            <w:r w:rsidRPr="004D10F1">
              <w:rPr>
                <w:rFonts w:ascii="Tahoma" w:hAnsi="Tahoma" w:cs="Tahoma"/>
                <w:bCs/>
                <w:color w:val="000000"/>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bCs/>
                <w:color w:val="000000"/>
                <w:sz w:val="13"/>
              </w:rPr>
            </w:pPr>
            <w:r w:rsidRPr="004D10F1">
              <w:rPr>
                <w:rFonts w:ascii="Tahoma" w:hAnsi="Tahoma" w:cs="Tahoma"/>
                <w:bCs/>
                <w:color w:val="000000"/>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bCs/>
                <w:color w:val="000000"/>
                <w:sz w:val="13"/>
              </w:rPr>
            </w:pPr>
            <w:r w:rsidRPr="004D10F1">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5A76F9">
            <w:pPr>
              <w:pStyle w:val="Heading2"/>
              <w:spacing w:beforeLines="20" w:before="48" w:afterLines="20" w:after="48"/>
              <w:ind w:left="0"/>
              <w:rPr>
                <w:rFonts w:ascii="Tahoma" w:hAnsi="Tahoma" w:cs="Tahoma"/>
                <w:b w:val="0"/>
                <w:sz w:val="14"/>
                <w:szCs w:val="14"/>
              </w:rPr>
            </w:pPr>
            <w:bookmarkStart w:id="194" w:name="_Toc363998704"/>
            <w:r w:rsidRPr="00C02B5C">
              <w:rPr>
                <w:rFonts w:ascii="Tahoma" w:hAnsi="Tahoma" w:cs="Tahoma"/>
                <w:b w:val="0"/>
                <w:sz w:val="14"/>
                <w:szCs w:val="14"/>
              </w:rPr>
              <w:t>Exchange Enterprise CAL ohne Dienste</w:t>
            </w:r>
            <w:r w:rsidR="005A76F9">
              <w:rPr>
                <w:rFonts w:ascii="Tahoma" w:hAnsi="Tahoma" w:cs="Tahoma"/>
                <w:b w:val="0"/>
                <w:sz w:val="14"/>
                <w:szCs w:val="14"/>
              </w:rPr>
              <w:t> </w:t>
            </w:r>
            <w:r w:rsidRPr="00C02B5C">
              <w:rPr>
                <w:rFonts w:ascii="Tahoma" w:hAnsi="Tahoma" w:cs="Tahoma"/>
                <w:b w:val="0"/>
                <w:sz w:val="14"/>
                <w:szCs w:val="14"/>
              </w:rPr>
              <w:t>2013</w:t>
            </w:r>
            <w:bookmarkEnd w:id="194"/>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AO,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6900D9"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195" w:name="_Toc336337946"/>
            <w:bookmarkStart w:id="196" w:name="_Toc363998705"/>
            <w:r w:rsidRPr="00C02B5C">
              <w:rPr>
                <w:rFonts w:ascii="Tahoma" w:hAnsi="Tahoma" w:cs="Tahoma"/>
                <w:b w:val="0"/>
                <w:sz w:val="14"/>
                <w:szCs w:val="14"/>
                <w:lang w:val="de-DE"/>
              </w:rPr>
              <w:t>Exchange Online-Archivierung</w:t>
            </w:r>
            <w:bookmarkEnd w:id="195"/>
            <w:r w:rsidRPr="00C02B5C">
              <w:rPr>
                <w:rFonts w:ascii="Tahoma" w:hAnsi="Tahoma" w:cs="Tahoma"/>
                <w:b w:val="0"/>
                <w:sz w:val="14"/>
                <w:szCs w:val="14"/>
                <w:lang w:val="de-DE"/>
              </w:rPr>
              <w:t xml:space="preserve"> für Exchange Server (Nutzer-AL)</w:t>
            </w:r>
            <w:bookmarkEnd w:id="196"/>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50_Exchange_Online-Archivierung" w:history="1">
              <w:r w:rsidR="00316801" w:rsidRPr="00C02B5C">
                <w:rPr>
                  <w:rStyle w:val="Hyperlink"/>
                  <w:rFonts w:cs="Tahoma"/>
                  <w:b/>
                  <w:sz w:val="13"/>
                  <w:szCs w:val="13"/>
                </w:rPr>
                <w:t>50</w:t>
              </w:r>
            </w:hyperlink>
          </w:p>
        </w:tc>
        <w:tc>
          <w:tcPr>
            <w:tcW w:w="450" w:type="dxa"/>
            <w:tcBorders>
              <w:bottom w:val="single" w:sz="4" w:space="0" w:color="auto"/>
            </w:tcBorders>
            <w:shd w:val="clear" w:color="auto" w:fill="auto"/>
            <w:vAlign w:val="center"/>
          </w:tcPr>
          <w:p w:rsidR="001A63C6" w:rsidRPr="004D10F1" w:rsidDel="00876599" w:rsidRDefault="001A63C6" w:rsidP="000C5B59">
            <w:pPr>
              <w:pStyle w:val="TableText"/>
              <w:widowControl w:val="0"/>
              <w:rPr>
                <w:rFonts w:ascii="Tahoma" w:hAnsi="Tahoma" w:cs="Tahoma"/>
                <w:sz w:val="13"/>
              </w:rPr>
            </w:pPr>
            <w:r w:rsidRPr="004D10F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500991" w:rsidRPr="00C02B5C" w:rsidRDefault="00500991" w:rsidP="00C02B5C">
            <w:pPr>
              <w:pStyle w:val="Heading3"/>
              <w:spacing w:beforeLines="20" w:before="48" w:afterLines="20" w:after="48"/>
              <w:rPr>
                <w:rFonts w:ascii="Tahoma" w:hAnsi="Tahoma" w:cs="Tahoma"/>
                <w:b w:val="0"/>
                <w:sz w:val="14"/>
                <w:szCs w:val="14"/>
                <w:lang w:val="de-DE"/>
              </w:rPr>
            </w:pPr>
            <w:bookmarkStart w:id="197" w:name="_Toc336337947"/>
            <w:bookmarkStart w:id="198" w:name="_Toc363998706"/>
            <w:r w:rsidRPr="00C02B5C">
              <w:rPr>
                <w:rFonts w:ascii="Tahoma" w:hAnsi="Tahoma" w:cs="Tahoma"/>
                <w:b w:val="0"/>
                <w:sz w:val="14"/>
                <w:szCs w:val="14"/>
                <w:lang w:val="de-DE"/>
              </w:rPr>
              <w:t>Exchange Online-Archivierung für Exchange Server A (Nutzer-AL)</w:t>
            </w:r>
            <w:bookmarkEnd w:id="197"/>
            <w:bookmarkEnd w:id="198"/>
          </w:p>
        </w:tc>
        <w:tc>
          <w:tcPr>
            <w:tcW w:w="450" w:type="dxa"/>
            <w:tcBorders>
              <w:bottom w:val="single" w:sz="4" w:space="0" w:color="auto"/>
            </w:tcBorders>
            <w:shd w:val="clear" w:color="auto" w:fill="FABF8F"/>
            <w:vAlign w:val="center"/>
          </w:tcPr>
          <w:p w:rsidR="00500991" w:rsidRPr="00C02B5C" w:rsidRDefault="005B744B" w:rsidP="00C02B5C">
            <w:pPr>
              <w:pStyle w:val="TableText"/>
              <w:widowControl w:val="0"/>
              <w:rPr>
                <w:rFonts w:cs="Tahoma"/>
                <w:b/>
                <w:color w:val="000000"/>
                <w:sz w:val="13"/>
                <w:szCs w:val="13"/>
                <w:u w:val="single"/>
              </w:rPr>
            </w:pPr>
            <w:hyperlink w:anchor="_51_Exchange_Online-Archivierung" w:history="1">
              <w:r w:rsidR="00316801" w:rsidRPr="00C02B5C">
                <w:rPr>
                  <w:rStyle w:val="Hyperlink"/>
                  <w:rFonts w:cs="Tahoma"/>
                  <w:b/>
                  <w:sz w:val="13"/>
                  <w:szCs w:val="13"/>
                </w:rPr>
                <w:t>51</w:t>
              </w:r>
            </w:hyperlink>
            <w:hyperlink w:anchor="_47__Exchange" w:history="1"/>
          </w:p>
        </w:tc>
        <w:tc>
          <w:tcPr>
            <w:tcW w:w="45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r w:rsidRPr="004D10F1">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r w:rsidRPr="004D10F1">
              <w:rPr>
                <w:rFonts w:ascii="Tahoma" w:hAnsi="Tahoma" w:cs="Tahoma"/>
                <w:sz w:val="13"/>
              </w:rPr>
              <w:t>A, ST (nur EES)</w:t>
            </w:r>
          </w:p>
        </w:tc>
        <w:tc>
          <w:tcPr>
            <w:tcW w:w="54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FFFFF" w:themeFill="background1"/>
            <w:vAlign w:val="center"/>
          </w:tcPr>
          <w:p w:rsidR="00500991" w:rsidRPr="00C02B5C" w:rsidRDefault="00500991" w:rsidP="00C02B5C">
            <w:pPr>
              <w:pStyle w:val="ProductNames"/>
              <w:spacing w:beforeLines="20" w:before="48" w:afterLines="20" w:after="48"/>
              <w:rPr>
                <w:rFonts w:ascii="Tahoma" w:hAnsi="Tahoma" w:cs="Tahoma"/>
                <w:sz w:val="14"/>
                <w:szCs w:val="14"/>
                <w:lang w:val="de-DE"/>
              </w:rPr>
            </w:pPr>
            <w:bookmarkStart w:id="199" w:name="_Toc336337948"/>
            <w:bookmarkStart w:id="200" w:name="_Toc363998707"/>
            <w:r w:rsidRPr="00C02B5C">
              <w:rPr>
                <w:rFonts w:ascii="Tahoma" w:hAnsi="Tahoma" w:cs="Tahoma"/>
                <w:sz w:val="14"/>
                <w:szCs w:val="14"/>
                <w:lang w:val="de-DE"/>
              </w:rPr>
              <w:t>Exchange Hosted Archive (Nutzer-AL)</w:t>
            </w:r>
            <w:bookmarkEnd w:id="199"/>
            <w:bookmarkEnd w:id="200"/>
          </w:p>
        </w:tc>
        <w:tc>
          <w:tcPr>
            <w:tcW w:w="450" w:type="dxa"/>
            <w:tcBorders>
              <w:bottom w:val="single" w:sz="4" w:space="0" w:color="auto"/>
            </w:tcBorders>
            <w:shd w:val="clear" w:color="auto" w:fill="FFFFFF" w:themeFill="background1"/>
            <w:vAlign w:val="center"/>
          </w:tcPr>
          <w:p w:rsidR="00500991" w:rsidRPr="00C02B5C" w:rsidRDefault="005B744B" w:rsidP="00C02B5C">
            <w:pPr>
              <w:pStyle w:val="TableText"/>
              <w:widowControl w:val="0"/>
              <w:rPr>
                <w:rFonts w:cs="Tahoma"/>
                <w:b/>
                <w:color w:val="000000"/>
                <w:sz w:val="13"/>
                <w:szCs w:val="13"/>
                <w:u w:val="single"/>
              </w:rPr>
            </w:pPr>
            <w:hyperlink w:anchor="_45_Exchange_Hosted" w:history="1">
              <w:r w:rsidR="00316801" w:rsidRPr="00C02B5C">
                <w:rPr>
                  <w:rStyle w:val="Hyperlink"/>
                  <w:rFonts w:cs="Tahoma"/>
                  <w:b/>
                  <w:sz w:val="13"/>
                  <w:szCs w:val="13"/>
                </w:rPr>
                <w:t>52</w:t>
              </w:r>
            </w:hyperlink>
          </w:p>
        </w:tc>
        <w:tc>
          <w:tcPr>
            <w:tcW w:w="450" w:type="dxa"/>
            <w:tcBorders>
              <w:bottom w:val="single" w:sz="4"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500991" w:rsidRPr="004D10F1" w:rsidRDefault="00500991" w:rsidP="000C5B59">
            <w:pPr>
              <w:pStyle w:val="TableText"/>
              <w:widowControl w:val="0"/>
              <w:rPr>
                <w:rFonts w:ascii="Tahoma" w:hAnsi="Tahoma" w:cs="Tahoma"/>
                <w:sz w:val="13"/>
              </w:rPr>
            </w:pPr>
          </w:p>
        </w:tc>
      </w:tr>
      <w:tr w:rsidR="00500991" w:rsidRPr="004D10F1" w:rsidTr="00F674A6">
        <w:trPr>
          <w:cantSplit/>
          <w:trHeight w:val="145"/>
        </w:trPr>
        <w:tc>
          <w:tcPr>
            <w:tcW w:w="2734" w:type="dxa"/>
            <w:gridSpan w:val="2"/>
            <w:tcBorders>
              <w:bottom w:val="single" w:sz="4" w:space="0" w:color="auto"/>
            </w:tcBorders>
            <w:shd w:val="clear" w:color="auto" w:fill="FABF8F"/>
            <w:vAlign w:val="center"/>
          </w:tcPr>
          <w:p w:rsidR="00500991" w:rsidRPr="00C02B5C" w:rsidRDefault="00500991" w:rsidP="00C02B5C">
            <w:pPr>
              <w:pStyle w:val="ProductNames"/>
              <w:spacing w:beforeLines="20" w:before="48" w:afterLines="20" w:after="48"/>
              <w:rPr>
                <w:rFonts w:ascii="Tahoma" w:hAnsi="Tahoma" w:cs="Tahoma"/>
                <w:sz w:val="14"/>
                <w:szCs w:val="14"/>
                <w:lang w:val="de-DE"/>
              </w:rPr>
            </w:pPr>
            <w:bookmarkStart w:id="201" w:name="_Toc336337949"/>
            <w:bookmarkStart w:id="202" w:name="_Toc363998708"/>
            <w:r w:rsidRPr="00C02B5C">
              <w:rPr>
                <w:rFonts w:ascii="Tahoma" w:hAnsi="Tahoma" w:cs="Tahoma"/>
                <w:sz w:val="14"/>
                <w:szCs w:val="14"/>
                <w:lang w:val="de-DE"/>
              </w:rPr>
              <w:t>Exchange Hosted Archive Extra Storage (Nutzer-AL)</w:t>
            </w:r>
            <w:bookmarkEnd w:id="201"/>
            <w:bookmarkEnd w:id="202"/>
          </w:p>
        </w:tc>
        <w:tc>
          <w:tcPr>
            <w:tcW w:w="450" w:type="dxa"/>
            <w:tcBorders>
              <w:bottom w:val="single" w:sz="4" w:space="0" w:color="auto"/>
            </w:tcBorders>
            <w:shd w:val="clear" w:color="auto" w:fill="FABF8F"/>
            <w:vAlign w:val="center"/>
          </w:tcPr>
          <w:p w:rsidR="00500991" w:rsidRPr="00C02B5C" w:rsidRDefault="005B744B" w:rsidP="00C02B5C">
            <w:pPr>
              <w:pStyle w:val="TableText"/>
              <w:widowControl w:val="0"/>
              <w:rPr>
                <w:rFonts w:cs="Tahoma"/>
                <w:b/>
                <w:color w:val="000000"/>
                <w:sz w:val="13"/>
                <w:szCs w:val="13"/>
                <w:u w:val="single"/>
              </w:rPr>
            </w:pPr>
            <w:hyperlink w:anchor="_45_Exchange_Hosted" w:history="1">
              <w:r w:rsidR="00316801" w:rsidRPr="00C02B5C">
                <w:rPr>
                  <w:rStyle w:val="Hyperlink"/>
                  <w:rFonts w:cs="Tahoma"/>
                  <w:b/>
                  <w:sz w:val="13"/>
                  <w:szCs w:val="13"/>
                </w:rPr>
                <w:t>52</w:t>
              </w:r>
            </w:hyperlink>
          </w:p>
        </w:tc>
        <w:tc>
          <w:tcPr>
            <w:tcW w:w="45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FFFFF" w:themeFill="background1"/>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203" w:name="_Toc336337950"/>
            <w:bookmarkStart w:id="204" w:name="_Toc363998709"/>
            <w:r w:rsidRPr="00C02B5C">
              <w:rPr>
                <w:rFonts w:ascii="Tahoma" w:hAnsi="Tahoma" w:cs="Tahoma"/>
                <w:sz w:val="14"/>
                <w:szCs w:val="14"/>
                <w:lang w:val="de-DE"/>
              </w:rPr>
              <w:t>Exchange Hosted Encryption (Nutzer-AL)</w:t>
            </w:r>
            <w:bookmarkEnd w:id="203"/>
            <w:bookmarkEnd w:id="204"/>
          </w:p>
        </w:tc>
        <w:tc>
          <w:tcPr>
            <w:tcW w:w="450" w:type="dxa"/>
            <w:tcBorders>
              <w:bottom w:val="single" w:sz="4" w:space="0" w:color="auto"/>
            </w:tcBorders>
            <w:shd w:val="clear" w:color="auto" w:fill="FFFFFF" w:themeFill="background1"/>
            <w:vAlign w:val="center"/>
          </w:tcPr>
          <w:p w:rsidR="001A63C6" w:rsidRPr="00C02B5C" w:rsidRDefault="005B744B" w:rsidP="00C02B5C">
            <w:pPr>
              <w:pStyle w:val="TableText"/>
              <w:widowControl w:val="0"/>
              <w:rPr>
                <w:rStyle w:val="EndnoteReference"/>
                <w:rFonts w:cs="Tahoma"/>
                <w:b w:val="0"/>
                <w:color w:val="000000"/>
                <w:sz w:val="13"/>
                <w:szCs w:val="13"/>
                <w:u w:val="single"/>
              </w:rPr>
            </w:pPr>
            <w:hyperlink w:anchor="_53_Exchange_Hosted" w:history="1">
              <w:r w:rsidR="00316801" w:rsidRPr="00C02B5C">
                <w:rPr>
                  <w:rStyle w:val="Hyperlink"/>
                  <w:rFonts w:cs="Tahoma"/>
                  <w:b/>
                  <w:sz w:val="13"/>
                  <w:szCs w:val="13"/>
                </w:rPr>
                <w:t>53</w:t>
              </w:r>
            </w:hyperlink>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 Punkt</w:t>
            </w: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05" w:name="_Toc363998710"/>
            <w:r w:rsidRPr="00C02B5C">
              <w:rPr>
                <w:rFonts w:ascii="Tahoma" w:hAnsi="Tahoma" w:cs="Tahoma"/>
                <w:b w:val="0"/>
                <w:sz w:val="14"/>
                <w:szCs w:val="14"/>
                <w:lang w:val="de-DE"/>
              </w:rPr>
              <w:t>Exchange Online-Archivierung für Exchange Online A</w:t>
            </w:r>
            <w:bookmarkEnd w:id="205"/>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Fonts w:cs="Tahoma"/>
                <w:sz w:val="13"/>
                <w:szCs w:val="13"/>
                <w:lang w:val="de-D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 (nur EES)</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1933C6" w:rsidRPr="004D10F1" w:rsidTr="000C5B59">
        <w:trPr>
          <w:trHeight w:val="145"/>
        </w:trPr>
        <w:tc>
          <w:tcPr>
            <w:tcW w:w="2734" w:type="dxa"/>
            <w:gridSpan w:val="2"/>
            <w:tcBorders>
              <w:bottom w:val="single" w:sz="4" w:space="0" w:color="auto"/>
            </w:tcBorders>
            <w:shd w:val="clear" w:color="auto" w:fill="FFFFFF" w:themeFill="background1"/>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06" w:name="_Toc363998711"/>
            <w:r w:rsidRPr="00C02B5C">
              <w:rPr>
                <w:rFonts w:ascii="Tahoma" w:hAnsi="Tahoma" w:cs="Tahoma"/>
                <w:b w:val="0"/>
                <w:sz w:val="14"/>
                <w:szCs w:val="14"/>
                <w:lang w:val="de-DE"/>
              </w:rPr>
              <w:t>Exchange Online-Archivierung für Exchange Online</w:t>
            </w:r>
            <w:bookmarkEnd w:id="206"/>
          </w:p>
        </w:tc>
        <w:tc>
          <w:tcPr>
            <w:tcW w:w="450" w:type="dxa"/>
            <w:tcBorders>
              <w:bottom w:val="single" w:sz="4" w:space="0" w:color="auto"/>
            </w:tcBorders>
            <w:shd w:val="clear" w:color="auto" w:fill="FFFFFF" w:themeFill="background1"/>
            <w:vAlign w:val="center"/>
          </w:tcPr>
          <w:p w:rsidR="001A63C6" w:rsidRPr="00C02B5C" w:rsidRDefault="001A63C6" w:rsidP="00C02B5C">
            <w:pPr>
              <w:pStyle w:val="TableText"/>
              <w:widowControl w:val="0"/>
              <w:rPr>
                <w:rFonts w:cs="Tahoma"/>
                <w:sz w:val="13"/>
                <w:szCs w:val="13"/>
                <w:lang w:val="de-DE"/>
              </w:rPr>
            </w:pPr>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FFFFF" w:themeFill="background1"/>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07" w:name="_Toc336337951"/>
            <w:bookmarkStart w:id="208" w:name="_Toc363998712"/>
            <w:r w:rsidRPr="00C02B5C">
              <w:rPr>
                <w:rFonts w:ascii="Tahoma" w:hAnsi="Tahoma" w:cs="Tahoma"/>
                <w:b w:val="0"/>
                <w:sz w:val="14"/>
                <w:szCs w:val="14"/>
                <w:lang w:val="de-DE"/>
              </w:rPr>
              <w:t>Exchange Online Kiosk (Nutzer-AL)</w:t>
            </w:r>
            <w:bookmarkEnd w:id="207"/>
            <w:bookmarkEnd w:id="208"/>
          </w:p>
        </w:tc>
        <w:tc>
          <w:tcPr>
            <w:tcW w:w="450" w:type="dxa"/>
            <w:tcBorders>
              <w:bottom w:val="single" w:sz="4" w:space="0" w:color="auto"/>
            </w:tcBorders>
            <w:shd w:val="clear" w:color="auto" w:fill="FFFFFF" w:themeFill="background1"/>
            <w:vAlign w:val="center"/>
          </w:tcPr>
          <w:p w:rsidR="001A63C6" w:rsidRPr="00C02B5C" w:rsidRDefault="005B744B" w:rsidP="00C02B5C">
            <w:pPr>
              <w:pStyle w:val="TableText"/>
              <w:widowControl w:val="0"/>
              <w:rPr>
                <w:rStyle w:val="EndnoteReference"/>
                <w:rFonts w:cs="Tahoma"/>
                <w:b w:val="0"/>
                <w:color w:val="000000"/>
                <w:sz w:val="13"/>
                <w:szCs w:val="13"/>
                <w:u w:val="single"/>
              </w:rPr>
            </w:pPr>
            <w:hyperlink w:anchor="_50_Exchange_Online" w:history="1">
              <w:r w:rsidR="00316801" w:rsidRPr="00C02B5C">
                <w:rPr>
                  <w:rStyle w:val="Hyperlink"/>
                  <w:rFonts w:cs="Tahoma"/>
                  <w:b/>
                  <w:sz w:val="13"/>
                  <w:szCs w:val="13"/>
                </w:rPr>
                <w:t>54</w:t>
              </w:r>
            </w:hyperlink>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r>
      <w:tr w:rsidR="009C7B23" w:rsidRPr="004D10F1" w:rsidTr="000C5B59">
        <w:trPr>
          <w:trHeight w:val="395"/>
        </w:trPr>
        <w:tc>
          <w:tcPr>
            <w:tcW w:w="2734" w:type="dxa"/>
            <w:gridSpan w:val="2"/>
            <w:tcBorders>
              <w:bottom w:val="single" w:sz="4" w:space="0" w:color="auto"/>
            </w:tcBorders>
            <w:shd w:val="clear" w:color="auto" w:fill="FABF8F"/>
            <w:vAlign w:val="center"/>
          </w:tcPr>
          <w:p w:rsidR="009C7B23" w:rsidRPr="00C02B5C" w:rsidRDefault="009C7B23" w:rsidP="00C02B5C">
            <w:pPr>
              <w:pStyle w:val="Heading2"/>
              <w:spacing w:beforeLines="20" w:before="48" w:afterLines="20" w:after="48"/>
              <w:ind w:left="0"/>
              <w:rPr>
                <w:rFonts w:ascii="Tahoma" w:hAnsi="Tahoma" w:cs="Tahoma"/>
                <w:b w:val="0"/>
                <w:sz w:val="14"/>
                <w:szCs w:val="14"/>
                <w:lang w:val="de-DE"/>
              </w:rPr>
            </w:pPr>
            <w:bookmarkStart w:id="209" w:name="_Toc363998713"/>
            <w:r w:rsidRPr="00C02B5C">
              <w:rPr>
                <w:rFonts w:ascii="Tahoma" w:hAnsi="Tahoma" w:cs="Tahoma"/>
                <w:b w:val="0"/>
                <w:sz w:val="14"/>
                <w:szCs w:val="14"/>
                <w:lang w:val="de-DE"/>
              </w:rPr>
              <w:t>Add-On für Exchange Online Plan 1(Nutzer-AL)</w:t>
            </w:r>
            <w:bookmarkEnd w:id="209"/>
          </w:p>
        </w:tc>
        <w:tc>
          <w:tcPr>
            <w:tcW w:w="450" w:type="dxa"/>
            <w:tcBorders>
              <w:bottom w:val="single" w:sz="4" w:space="0" w:color="auto"/>
            </w:tcBorders>
            <w:shd w:val="clear" w:color="auto" w:fill="FABF8F"/>
            <w:vAlign w:val="center"/>
          </w:tcPr>
          <w:p w:rsidR="009C7B23" w:rsidRPr="00C02B5C" w:rsidRDefault="005B744B" w:rsidP="00C02B5C">
            <w:pPr>
              <w:pStyle w:val="TableText"/>
              <w:widowControl w:val="0"/>
              <w:rPr>
                <w:rFonts w:cs="Tahoma"/>
                <w:b/>
                <w:sz w:val="13"/>
                <w:szCs w:val="13"/>
              </w:rPr>
            </w:pPr>
            <w:hyperlink w:anchor="_7_Add-on_User" w:history="1">
              <w:r w:rsidR="00316801" w:rsidRPr="00C02B5C">
                <w:rPr>
                  <w:rStyle w:val="Hyperlink"/>
                  <w:rFonts w:cs="Tahoma"/>
                  <w:b/>
                  <w:sz w:val="13"/>
                  <w:szCs w:val="13"/>
                </w:rPr>
                <w:t>7</w:t>
              </w:r>
            </w:hyperlink>
          </w:p>
        </w:tc>
        <w:tc>
          <w:tcPr>
            <w:tcW w:w="450" w:type="dxa"/>
            <w:tcBorders>
              <w:bottom w:val="single" w:sz="4"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r w:rsidRPr="004D10F1">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C7B23" w:rsidRPr="004D10F1" w:rsidRDefault="009C7B23" w:rsidP="000C5B59">
            <w:pPr>
              <w:pStyle w:val="TableText"/>
              <w:widowControl w:val="0"/>
              <w:rPr>
                <w:rFonts w:ascii="Tahoma" w:hAnsi="Tahoma" w:cs="Tahoma"/>
                <w:sz w:val="13"/>
              </w:rPr>
            </w:pPr>
          </w:p>
        </w:tc>
      </w:tr>
      <w:tr w:rsidR="001933C6" w:rsidRPr="004D10F1" w:rsidTr="000C5B59">
        <w:trPr>
          <w:trHeight w:val="395"/>
        </w:trPr>
        <w:tc>
          <w:tcPr>
            <w:tcW w:w="2734" w:type="dxa"/>
            <w:gridSpan w:val="2"/>
            <w:tcBorders>
              <w:bottom w:val="single" w:sz="4" w:space="0" w:color="auto"/>
            </w:tcBorders>
            <w:shd w:val="clear" w:color="auto" w:fill="FFFFFF" w:themeFill="background1"/>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10" w:name="_Toc336337952"/>
            <w:bookmarkStart w:id="211" w:name="_Toc363998714"/>
            <w:r w:rsidRPr="00C02B5C">
              <w:rPr>
                <w:rFonts w:ascii="Tahoma" w:hAnsi="Tahoma" w:cs="Tahoma"/>
                <w:b w:val="0"/>
                <w:sz w:val="14"/>
                <w:szCs w:val="14"/>
                <w:lang w:val="de-DE"/>
              </w:rPr>
              <w:t>Exchange Online Plan 1 (Nutzer-AL)</w:t>
            </w:r>
            <w:bookmarkEnd w:id="210"/>
            <w:bookmarkEnd w:id="211"/>
          </w:p>
        </w:tc>
        <w:tc>
          <w:tcPr>
            <w:tcW w:w="450" w:type="dxa"/>
            <w:tcBorders>
              <w:bottom w:val="single" w:sz="4" w:space="0" w:color="auto"/>
            </w:tcBorders>
            <w:shd w:val="clear" w:color="auto" w:fill="FFFFFF" w:themeFill="background1"/>
            <w:vAlign w:val="center"/>
          </w:tcPr>
          <w:p w:rsidR="001A63C6" w:rsidRPr="00C02B5C" w:rsidRDefault="005B744B" w:rsidP="00C02B5C">
            <w:pPr>
              <w:pStyle w:val="TableText"/>
              <w:widowControl w:val="0"/>
              <w:rPr>
                <w:rStyle w:val="EndnoteReference"/>
                <w:rFonts w:cs="Tahoma"/>
                <w:color w:val="0000FF"/>
                <w:sz w:val="13"/>
                <w:szCs w:val="13"/>
                <w:u w:val="single"/>
              </w:rPr>
            </w:pPr>
            <w:hyperlink w:anchor="_48_Exchange_Online" w:history="1">
              <w:r w:rsidR="00316801" w:rsidRPr="00C02B5C">
                <w:rPr>
                  <w:rStyle w:val="Hyperlink"/>
                  <w:rFonts w:cs="Tahoma"/>
                  <w:b/>
                  <w:sz w:val="13"/>
                  <w:szCs w:val="13"/>
                </w:rPr>
                <w:t>55</w:t>
              </w:r>
            </w:hyperlink>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D10F1" w:rsidRDefault="00D55AB9"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D10F1" w:rsidRDefault="00D55AB9" w:rsidP="000C5B59">
            <w:pPr>
              <w:pStyle w:val="TableText"/>
              <w:widowControl w:val="0"/>
              <w:rPr>
                <w:rFonts w:ascii="Tahoma" w:hAnsi="Tahoma" w:cs="Tahoma"/>
                <w:sz w:val="13"/>
              </w:rPr>
            </w:pPr>
            <w:r w:rsidRPr="004D10F1">
              <w:rPr>
                <w:rFonts w:ascii="Tahoma" w:hAnsi="Tahoma" w:cs="Tahoma"/>
                <w:sz w:val="13"/>
              </w:rPr>
              <w:t>OV</w:t>
            </w: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12" w:name="_Toc336337953"/>
            <w:bookmarkStart w:id="213" w:name="_Toc363998715"/>
            <w:r w:rsidRPr="00C02B5C">
              <w:rPr>
                <w:rFonts w:ascii="Tahoma" w:hAnsi="Tahoma" w:cs="Tahoma"/>
                <w:b w:val="0"/>
                <w:sz w:val="14"/>
                <w:szCs w:val="14"/>
                <w:lang w:val="de-DE"/>
              </w:rPr>
              <w:t>Exchange Online Plan 2 (Nutzer-AL)</w:t>
            </w:r>
            <w:bookmarkEnd w:id="212"/>
            <w:bookmarkEnd w:id="213"/>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color w:val="000000"/>
                <w:sz w:val="13"/>
                <w:szCs w:val="13"/>
                <w:u w:val="single"/>
              </w:rPr>
            </w:pPr>
            <w:hyperlink w:anchor="_49_Exchange_Online" w:history="1">
              <w:r w:rsidR="00316801" w:rsidRPr="00C02B5C">
                <w:rPr>
                  <w:rStyle w:val="Hyperlink"/>
                  <w:rFonts w:cs="Tahoma"/>
                  <w:b/>
                  <w:sz w:val="13"/>
                  <w:szCs w:val="13"/>
                </w:rPr>
                <w:t>56</w:t>
              </w:r>
            </w:hyperlink>
            <w:hyperlink w:anchor="_49_Exchange_Online"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1933C6" w:rsidRPr="004D10F1" w:rsidTr="000C5B59">
        <w:trPr>
          <w:trHeight w:val="145"/>
        </w:trPr>
        <w:tc>
          <w:tcPr>
            <w:tcW w:w="2734" w:type="dxa"/>
            <w:gridSpan w:val="2"/>
            <w:tcBorders>
              <w:bottom w:val="single" w:sz="4" w:space="0" w:color="auto"/>
            </w:tcBorders>
            <w:shd w:val="clear" w:color="auto" w:fill="FFFFFF" w:themeFill="background1"/>
            <w:vAlign w:val="center"/>
          </w:tcPr>
          <w:p w:rsidR="001A63C6" w:rsidRPr="00C02B5C" w:rsidRDefault="001A63C6" w:rsidP="00C02B5C">
            <w:pPr>
              <w:pStyle w:val="Heading3"/>
              <w:spacing w:beforeLines="20" w:before="48" w:afterLines="20" w:after="48"/>
              <w:rPr>
                <w:rFonts w:ascii="Tahoma" w:hAnsi="Tahoma" w:cs="Tahoma"/>
                <w:b w:val="0"/>
                <w:sz w:val="14"/>
                <w:szCs w:val="14"/>
                <w:lang w:val="de-DE"/>
              </w:rPr>
            </w:pPr>
            <w:bookmarkStart w:id="214" w:name="_Toc336337954"/>
            <w:bookmarkStart w:id="215" w:name="_Toc363998716"/>
            <w:r w:rsidRPr="00C02B5C">
              <w:rPr>
                <w:rFonts w:ascii="Tahoma" w:hAnsi="Tahoma" w:cs="Tahoma"/>
                <w:b w:val="0"/>
                <w:sz w:val="14"/>
                <w:szCs w:val="14"/>
                <w:lang w:val="de-DE"/>
              </w:rPr>
              <w:t>Exchange Online Plan 1A für Alumni (Nutzer-AL)</w:t>
            </w:r>
            <w:bookmarkEnd w:id="214"/>
            <w:bookmarkEnd w:id="215"/>
          </w:p>
        </w:tc>
        <w:tc>
          <w:tcPr>
            <w:tcW w:w="450" w:type="dxa"/>
            <w:tcBorders>
              <w:bottom w:val="single" w:sz="4" w:space="0" w:color="auto"/>
            </w:tcBorders>
            <w:shd w:val="clear" w:color="auto" w:fill="FFFFFF" w:themeFill="background1"/>
            <w:vAlign w:val="center"/>
          </w:tcPr>
          <w:p w:rsidR="001A63C6" w:rsidRPr="00C02B5C" w:rsidRDefault="001A63C6" w:rsidP="00C02B5C">
            <w:pPr>
              <w:pStyle w:val="TableText"/>
              <w:widowControl w:val="0"/>
              <w:rPr>
                <w:rFonts w:cs="Tahoma"/>
                <w:b/>
                <w:color w:val="000000"/>
                <w:sz w:val="13"/>
                <w:szCs w:val="13"/>
                <w:u w:val="single"/>
                <w:lang w:val="de-DE"/>
              </w:rPr>
            </w:pPr>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(nur EES)</w:t>
            </w: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3"/>
              <w:spacing w:beforeLines="20" w:before="48" w:afterLines="20" w:after="48"/>
              <w:rPr>
                <w:rFonts w:ascii="Tahoma" w:hAnsi="Tahoma" w:cs="Tahoma"/>
                <w:b w:val="0"/>
                <w:sz w:val="14"/>
                <w:szCs w:val="14"/>
                <w:lang w:val="de-DE"/>
              </w:rPr>
            </w:pPr>
            <w:bookmarkStart w:id="216" w:name="_Toc336337955"/>
            <w:bookmarkStart w:id="217" w:name="_Toc363998717"/>
            <w:r w:rsidRPr="00C02B5C">
              <w:rPr>
                <w:rFonts w:ascii="Tahoma" w:hAnsi="Tahoma" w:cs="Tahoma"/>
                <w:b w:val="0"/>
                <w:sz w:val="14"/>
                <w:szCs w:val="14"/>
                <w:lang w:val="de-DE"/>
              </w:rPr>
              <w:t>Exchange Online Plan 2A (Nutzer-AL)</w:t>
            </w:r>
            <w:bookmarkEnd w:id="216"/>
            <w:bookmarkEnd w:id="217"/>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Fonts w:cs="Tahoma"/>
                <w:b/>
                <w:color w:val="000000"/>
                <w:sz w:val="13"/>
                <w:szCs w:val="13"/>
                <w:u w:val="single"/>
                <w:lang w:val="de-D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(nur EES)</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1933C6" w:rsidRPr="004D10F1" w:rsidTr="000C5B59">
        <w:trPr>
          <w:trHeight w:val="145"/>
        </w:trPr>
        <w:tc>
          <w:tcPr>
            <w:tcW w:w="2734" w:type="dxa"/>
            <w:gridSpan w:val="2"/>
            <w:tcBorders>
              <w:bottom w:val="single" w:sz="4" w:space="0" w:color="auto"/>
            </w:tcBorders>
            <w:shd w:val="clear" w:color="auto" w:fill="FFFFFF" w:themeFill="background1"/>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218" w:name="_Toc363998718"/>
            <w:r w:rsidRPr="00C02B5C">
              <w:rPr>
                <w:rFonts w:ascii="Tahoma" w:hAnsi="Tahoma" w:cs="Tahoma"/>
                <w:sz w:val="14"/>
                <w:szCs w:val="14"/>
                <w:lang w:val="de-DE"/>
              </w:rPr>
              <w:t>Exchange Online Protection (Nutzer-AL)</w:t>
            </w:r>
            <w:bookmarkEnd w:id="218"/>
          </w:p>
        </w:tc>
        <w:tc>
          <w:tcPr>
            <w:tcW w:w="450" w:type="dxa"/>
            <w:tcBorders>
              <w:bottom w:val="single" w:sz="4" w:space="0" w:color="auto"/>
            </w:tcBorders>
            <w:shd w:val="clear" w:color="auto" w:fill="FFFFFF" w:themeFill="background1"/>
            <w:vAlign w:val="center"/>
          </w:tcPr>
          <w:p w:rsidR="001A63C6" w:rsidRPr="00C02B5C" w:rsidRDefault="005B744B" w:rsidP="00C02B5C">
            <w:pPr>
              <w:pStyle w:val="TableText"/>
              <w:widowControl w:val="0"/>
              <w:rPr>
                <w:rFonts w:cs="Tahoma"/>
                <w:sz w:val="13"/>
                <w:szCs w:val="13"/>
              </w:rPr>
            </w:pPr>
            <w:hyperlink w:anchor="_57_Exchange_Online" w:history="1">
              <w:r w:rsidR="00316801" w:rsidRPr="00C02B5C">
                <w:rPr>
                  <w:rStyle w:val="Hyperlink"/>
                  <w:rFonts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D10F1" w:rsidRDefault="00D55AB9"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D10F1" w:rsidRDefault="00D55AB9" w:rsidP="000C5B59">
            <w:pPr>
              <w:pStyle w:val="TableText"/>
              <w:widowControl w:val="0"/>
              <w:rPr>
                <w:rFonts w:ascii="Tahoma" w:hAnsi="Tahoma" w:cs="Tahoma"/>
                <w:sz w:val="13"/>
              </w:rPr>
            </w:pPr>
            <w:r w:rsidRPr="004D10F1">
              <w:rPr>
                <w:rFonts w:ascii="Tahoma" w:hAnsi="Tahoma" w:cs="Tahoma"/>
                <w:sz w:val="13"/>
              </w:rPr>
              <w:t>OV</w:t>
            </w: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219" w:name="_Toc336337958"/>
            <w:bookmarkStart w:id="220" w:name="_Toc363998719"/>
            <w:r w:rsidRPr="00C02B5C">
              <w:rPr>
                <w:rFonts w:ascii="Tahoma" w:hAnsi="Tahoma" w:cs="Tahoma"/>
                <w:sz w:val="14"/>
                <w:szCs w:val="14"/>
              </w:rPr>
              <w:t>Exchange Server Enterprise</w:t>
            </w:r>
            <w:bookmarkEnd w:id="219"/>
            <w:r w:rsidRPr="00C02B5C">
              <w:rPr>
                <w:rFonts w:ascii="Tahoma" w:hAnsi="Tahoma" w:cs="Tahoma"/>
                <w:sz w:val="14"/>
                <w:szCs w:val="14"/>
              </w:rPr>
              <w:t xml:space="preserve"> 2013</w:t>
            </w:r>
            <w:bookmarkEnd w:id="220"/>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52_51_Exchange" w:history="1">
              <w:r w:rsidR="00316801" w:rsidRPr="00C02B5C">
                <w:rPr>
                  <w:rStyle w:val="Hyperlink"/>
                  <w:rFonts w:cs="Tahoma"/>
                  <w:b/>
                  <w:sz w:val="13"/>
                  <w:szCs w:val="13"/>
                </w:rPr>
                <w:t>58</w:t>
              </w:r>
            </w:hyperlink>
            <w:hyperlink w:anchor="_49_Exchange_Server"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1933C6" w:rsidRPr="004D10F1" w:rsidTr="000C5B59">
        <w:trPr>
          <w:trHeight w:val="145"/>
        </w:trPr>
        <w:tc>
          <w:tcPr>
            <w:tcW w:w="2734" w:type="dxa"/>
            <w:gridSpan w:val="2"/>
            <w:tcBorders>
              <w:bottom w:val="single" w:sz="4" w:space="0" w:color="auto"/>
            </w:tcBorders>
            <w:shd w:val="clear" w:color="auto" w:fill="FFFFFF" w:themeFill="background1"/>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221" w:name="_Toc336337959"/>
            <w:bookmarkStart w:id="222" w:name="_Toc363998720"/>
            <w:r w:rsidRPr="00C02B5C">
              <w:rPr>
                <w:rFonts w:ascii="Tahoma" w:hAnsi="Tahoma" w:cs="Tahoma"/>
                <w:sz w:val="14"/>
                <w:szCs w:val="14"/>
              </w:rPr>
              <w:t>Exchange Server Standard</w:t>
            </w:r>
            <w:bookmarkEnd w:id="221"/>
            <w:r w:rsidRPr="00C02B5C">
              <w:rPr>
                <w:rFonts w:ascii="Tahoma" w:hAnsi="Tahoma" w:cs="Tahoma"/>
                <w:sz w:val="14"/>
                <w:szCs w:val="14"/>
              </w:rPr>
              <w:t xml:space="preserve"> 2013</w:t>
            </w:r>
            <w:bookmarkEnd w:id="222"/>
          </w:p>
        </w:tc>
        <w:tc>
          <w:tcPr>
            <w:tcW w:w="450" w:type="dxa"/>
            <w:tcBorders>
              <w:bottom w:val="single" w:sz="4" w:space="0" w:color="auto"/>
            </w:tcBorders>
            <w:shd w:val="clear" w:color="auto" w:fill="FFFFFF" w:themeFill="background1"/>
            <w:vAlign w:val="center"/>
          </w:tcPr>
          <w:p w:rsidR="001A63C6" w:rsidRPr="00C02B5C" w:rsidRDefault="005B744B" w:rsidP="00C02B5C">
            <w:pPr>
              <w:pStyle w:val="TableText"/>
              <w:widowControl w:val="0"/>
              <w:rPr>
                <w:rFonts w:cs="Tahoma"/>
                <w:b/>
                <w:color w:val="0000FF"/>
                <w:sz w:val="13"/>
                <w:szCs w:val="13"/>
                <w:u w:val="single"/>
              </w:rPr>
            </w:pPr>
            <w:hyperlink w:anchor="_57_Exchange_Server" w:history="1">
              <w:r w:rsidR="00A67771" w:rsidRPr="00C02B5C">
                <w:rPr>
                  <w:rStyle w:val="Hyperlink"/>
                  <w:rFonts w:cs="Tahoma"/>
                  <w:b/>
                  <w:sz w:val="13"/>
                  <w:szCs w:val="13"/>
                </w:rPr>
                <w:t>58</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223" w:name="_Toc336337960"/>
            <w:bookmarkStart w:id="224" w:name="_Toc363998721"/>
            <w:r w:rsidRPr="00C02B5C">
              <w:rPr>
                <w:rFonts w:ascii="Tahoma" w:hAnsi="Tahoma" w:cs="Tahoma"/>
                <w:sz w:val="14"/>
                <w:szCs w:val="14"/>
              </w:rPr>
              <w:t>Exchange Server 2007 Standard für Small Business</w:t>
            </w:r>
            <w:bookmarkEnd w:id="223"/>
            <w:bookmarkEnd w:id="224"/>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1933C6" w:rsidRPr="004D10F1" w:rsidTr="000C5B59">
        <w:trPr>
          <w:trHeight w:val="145"/>
        </w:trPr>
        <w:tc>
          <w:tcPr>
            <w:tcW w:w="2734" w:type="dxa"/>
            <w:gridSpan w:val="2"/>
            <w:tcBorders>
              <w:bottom w:val="single" w:sz="4" w:space="0" w:color="auto"/>
            </w:tcBorders>
            <w:shd w:val="clear" w:color="auto" w:fill="FFFFFF" w:themeFill="background1"/>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225" w:name="_Toc336337961"/>
            <w:bookmarkStart w:id="226" w:name="_Toc363998722"/>
            <w:r w:rsidRPr="00C02B5C">
              <w:rPr>
                <w:rFonts w:ascii="Tahoma" w:hAnsi="Tahoma" w:cs="Tahoma"/>
                <w:sz w:val="14"/>
                <w:szCs w:val="14"/>
              </w:rPr>
              <w:t>CAL für Exchange Server 2007 Standard für Small Business</w:t>
            </w:r>
            <w:bookmarkEnd w:id="225"/>
            <w:bookmarkEnd w:id="226"/>
          </w:p>
        </w:tc>
        <w:tc>
          <w:tcPr>
            <w:tcW w:w="450" w:type="dxa"/>
            <w:tcBorders>
              <w:bottom w:val="single" w:sz="4" w:space="0" w:color="auto"/>
            </w:tcBorders>
            <w:shd w:val="clear" w:color="auto" w:fill="FFFFFF" w:themeFill="background1"/>
            <w:vAlign w:val="center"/>
          </w:tcPr>
          <w:p w:rsidR="001A63C6" w:rsidRPr="00C02B5C" w:rsidRDefault="001A63C6" w:rsidP="00C02B5C">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227" w:name="_Toc336337963"/>
            <w:bookmarkStart w:id="228" w:name="_Toc363998723"/>
            <w:r w:rsidRPr="00C02B5C">
              <w:rPr>
                <w:rFonts w:ascii="Tahoma" w:hAnsi="Tahoma" w:cs="Tahoma"/>
                <w:sz w:val="14"/>
                <w:szCs w:val="14"/>
                <w:lang w:val="de-DE"/>
              </w:rPr>
              <w:t>Standard-CAL für Exchange Server 2010 (Gerät &amp; Nutzer)</w:t>
            </w:r>
            <w:bookmarkEnd w:id="227"/>
            <w:bookmarkEnd w:id="228"/>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color w:val="0000FF"/>
                <w:sz w:val="13"/>
                <w:szCs w:val="13"/>
                <w:u w:val="single"/>
              </w:rPr>
            </w:pPr>
            <w:hyperlink w:anchor="_59_Exchange_Server" w:history="1">
              <w:r w:rsidR="00316801" w:rsidRPr="00C02B5C">
                <w:rPr>
                  <w:rStyle w:val="Hyperlink"/>
                  <w:rFonts w:cs="Tahoma"/>
                  <w:b/>
                  <w:sz w:val="13"/>
                  <w:szCs w:val="13"/>
                </w:rPr>
                <w:t>59</w:t>
              </w:r>
            </w:hyperlink>
            <w:hyperlink w:anchor="_50_Exchange_Server"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AO,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EF228F" w:rsidRPr="004D10F1" w:rsidDel="00515A83" w:rsidTr="000C5B59">
        <w:trPr>
          <w:trHeight w:val="145"/>
        </w:trPr>
        <w:tc>
          <w:tcPr>
            <w:tcW w:w="2734" w:type="dxa"/>
            <w:gridSpan w:val="2"/>
            <w:tcBorders>
              <w:bottom w:val="single" w:sz="4" w:space="0" w:color="auto"/>
            </w:tcBorders>
            <w:shd w:val="clear" w:color="auto" w:fill="FFFFFF" w:themeFill="background1"/>
            <w:vAlign w:val="center"/>
          </w:tcPr>
          <w:p w:rsidR="001A63C6" w:rsidRPr="00C02B5C" w:rsidDel="00515A83" w:rsidRDefault="001A63C6" w:rsidP="00C02B5C">
            <w:pPr>
              <w:pStyle w:val="ProductNames"/>
              <w:spacing w:beforeLines="20" w:before="48" w:afterLines="20" w:after="48"/>
              <w:rPr>
                <w:rFonts w:ascii="Tahoma" w:hAnsi="Tahoma" w:cs="Tahoma"/>
                <w:sz w:val="14"/>
                <w:szCs w:val="14"/>
              </w:rPr>
            </w:pPr>
            <w:bookmarkStart w:id="229" w:name="_Toc336337965"/>
            <w:bookmarkStart w:id="230" w:name="_Toc363998724"/>
            <w:r w:rsidRPr="00C02B5C">
              <w:rPr>
                <w:rFonts w:ascii="Tahoma" w:hAnsi="Tahoma" w:cs="Tahoma"/>
                <w:sz w:val="14"/>
                <w:szCs w:val="14"/>
              </w:rPr>
              <w:t>Forefront Endpoint Protection</w:t>
            </w:r>
            <w:bookmarkEnd w:id="229"/>
            <w:bookmarkEnd w:id="230"/>
          </w:p>
        </w:tc>
        <w:tc>
          <w:tcPr>
            <w:tcW w:w="450" w:type="dxa"/>
            <w:tcBorders>
              <w:bottom w:val="single" w:sz="4" w:space="0" w:color="auto"/>
            </w:tcBorders>
            <w:shd w:val="clear" w:color="auto" w:fill="FFFFFF" w:themeFill="background1"/>
            <w:vAlign w:val="center"/>
          </w:tcPr>
          <w:p w:rsidR="001A63C6" w:rsidRPr="00C02B5C" w:rsidDel="00515A83" w:rsidRDefault="005B744B" w:rsidP="00C02B5C">
            <w:pPr>
              <w:pStyle w:val="TableText"/>
              <w:widowControl w:val="0"/>
              <w:rPr>
                <w:rStyle w:val="EndnoteReference"/>
                <w:rFonts w:cs="Tahoma"/>
                <w:color w:val="000000"/>
                <w:sz w:val="13"/>
                <w:szCs w:val="13"/>
                <w:u w:val="single"/>
              </w:rPr>
            </w:pPr>
            <w:hyperlink w:anchor="_60_Forefront_Endpoint" w:history="1">
              <w:r w:rsidR="00316801" w:rsidRPr="00C02B5C">
                <w:rPr>
                  <w:rStyle w:val="Hyperlink"/>
                  <w:rFonts w:cs="Tahoma"/>
                  <w:b/>
                  <w:sz w:val="13"/>
                  <w:szCs w:val="13"/>
                </w:rPr>
                <w:t>60</w:t>
              </w:r>
            </w:hyperlink>
          </w:p>
        </w:tc>
        <w:tc>
          <w:tcPr>
            <w:tcW w:w="450" w:type="dxa"/>
            <w:tcBorders>
              <w:bottom w:val="single" w:sz="4" w:space="0" w:color="auto"/>
            </w:tcBorders>
            <w:shd w:val="clear" w:color="auto" w:fill="FFFFFF" w:themeFill="background1"/>
            <w:vAlign w:val="center"/>
          </w:tcPr>
          <w:p w:rsidR="001A63C6" w:rsidRPr="004D10F1" w:rsidDel="00515A83"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D10F1" w:rsidDel="00515A83" w:rsidRDefault="001A63C6" w:rsidP="000C5B59">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4D10F1" w:rsidDel="00515A83"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D10F1" w:rsidDel="00515A83"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D10F1" w:rsidDel="00515A83"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D10F1" w:rsidDel="00515A83"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D10F1" w:rsidDel="00515A83"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D10F1" w:rsidDel="00515A83"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D10F1" w:rsidDel="00515A83"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D10F1" w:rsidDel="00515A83"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D10F1" w:rsidDel="00515A83"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231" w:name="_Toc336337966"/>
            <w:bookmarkStart w:id="232" w:name="_Toc363998725"/>
            <w:r w:rsidRPr="00C02B5C">
              <w:rPr>
                <w:rFonts w:ascii="Tahoma" w:hAnsi="Tahoma" w:cs="Tahoma"/>
                <w:sz w:val="14"/>
                <w:szCs w:val="14"/>
                <w:lang w:val="de-DE"/>
              </w:rPr>
              <w:t>CAL für Forefront Identity Manager 2010 R2 (nur Nutzer)</w:t>
            </w:r>
            <w:bookmarkEnd w:id="231"/>
            <w:bookmarkEnd w:id="232"/>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54_Forefront_Identity" w:history="1">
              <w:r w:rsidR="00316801" w:rsidRPr="00C02B5C">
                <w:rPr>
                  <w:rStyle w:val="Hyperlink"/>
                  <w:rFonts w:cs="Tahoma"/>
                  <w:b/>
                  <w:sz w:val="13"/>
                  <w:szCs w:val="13"/>
                </w:rPr>
                <w:t>61</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1933C6" w:rsidRPr="004D10F1" w:rsidTr="000C5B59">
        <w:trPr>
          <w:trHeight w:val="145"/>
        </w:trPr>
        <w:tc>
          <w:tcPr>
            <w:tcW w:w="2734" w:type="dxa"/>
            <w:gridSpan w:val="2"/>
            <w:tcBorders>
              <w:bottom w:val="single" w:sz="4" w:space="0" w:color="auto"/>
            </w:tcBorders>
            <w:shd w:val="clear" w:color="auto" w:fill="FFFFFF" w:themeFill="background1"/>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233" w:name="_Toc336337967"/>
            <w:bookmarkStart w:id="234" w:name="_Toc363998726"/>
            <w:r w:rsidRPr="00C02B5C">
              <w:rPr>
                <w:rFonts w:ascii="Tahoma" w:hAnsi="Tahoma" w:cs="Tahoma"/>
                <w:sz w:val="14"/>
                <w:szCs w:val="14"/>
              </w:rPr>
              <w:t>Externer Connector für Forefront Identity Manager 2010 R2</w:t>
            </w:r>
            <w:bookmarkEnd w:id="233"/>
            <w:bookmarkEnd w:id="234"/>
          </w:p>
        </w:tc>
        <w:tc>
          <w:tcPr>
            <w:tcW w:w="450" w:type="dxa"/>
            <w:tcBorders>
              <w:bottom w:val="single" w:sz="4" w:space="0" w:color="auto"/>
            </w:tcBorders>
            <w:shd w:val="clear" w:color="auto" w:fill="FFFFFF" w:themeFill="background1"/>
            <w:vAlign w:val="center"/>
          </w:tcPr>
          <w:p w:rsidR="001A63C6" w:rsidRPr="00C02B5C" w:rsidRDefault="005B744B" w:rsidP="00C02B5C">
            <w:pPr>
              <w:pStyle w:val="TableText"/>
              <w:widowControl w:val="0"/>
              <w:rPr>
                <w:rStyle w:val="EndnoteReference"/>
                <w:rFonts w:cs="Tahoma"/>
                <w:color w:val="000000"/>
                <w:sz w:val="13"/>
                <w:szCs w:val="13"/>
                <w:u w:val="single"/>
              </w:rPr>
            </w:pPr>
            <w:hyperlink w:anchor="_54_Forefront_Identity" w:history="1">
              <w:r w:rsidR="00A67771" w:rsidRPr="00C02B5C">
                <w:rPr>
                  <w:rStyle w:val="Hyperlink"/>
                  <w:rFonts w:cs="Tahoma"/>
                  <w:b/>
                  <w:sz w:val="13"/>
                  <w:szCs w:val="13"/>
                </w:rPr>
                <w:t>61</w:t>
              </w:r>
            </w:hyperlink>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235" w:name="_Toc336337968"/>
            <w:bookmarkStart w:id="236" w:name="_Toc363998727"/>
            <w:r w:rsidRPr="00C02B5C">
              <w:rPr>
                <w:rFonts w:ascii="Tahoma" w:hAnsi="Tahoma" w:cs="Tahoma"/>
                <w:sz w:val="14"/>
                <w:szCs w:val="14"/>
              </w:rPr>
              <w:t>Forefront Identity Manager 2010 R2 Server</w:t>
            </w:r>
            <w:bookmarkEnd w:id="235"/>
            <w:bookmarkEnd w:id="236"/>
            <w:r w:rsidRPr="00C02B5C">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color w:val="000000"/>
                <w:sz w:val="13"/>
                <w:szCs w:val="13"/>
                <w:u w:val="single"/>
              </w:rPr>
            </w:pPr>
            <w:hyperlink w:anchor="_54_Forefront_Identity" w:history="1">
              <w:r w:rsidR="00A67771" w:rsidRPr="00C02B5C">
                <w:rPr>
                  <w:rStyle w:val="Hyperlink"/>
                  <w:rFonts w:cs="Tahoma"/>
                  <w:b/>
                  <w:sz w:val="13"/>
                  <w:szCs w:val="13"/>
                </w:rPr>
                <w:t>61</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125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313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250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1933C6" w:rsidRPr="004D10F1" w:rsidTr="000C5B59">
        <w:trPr>
          <w:trHeight w:val="145"/>
        </w:trPr>
        <w:tc>
          <w:tcPr>
            <w:tcW w:w="2734" w:type="dxa"/>
            <w:gridSpan w:val="2"/>
            <w:tcBorders>
              <w:bottom w:val="single" w:sz="4" w:space="0" w:color="auto"/>
            </w:tcBorders>
            <w:shd w:val="clear" w:color="auto" w:fill="FFFFFF" w:themeFill="background1"/>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237" w:name="_Toc336337969"/>
            <w:bookmarkStart w:id="238" w:name="_Toc363998728"/>
            <w:r w:rsidRPr="00C02B5C">
              <w:rPr>
                <w:rFonts w:ascii="Tahoma" w:hAnsi="Tahoma" w:cs="Tahoma"/>
                <w:b w:val="0"/>
                <w:sz w:val="14"/>
                <w:szCs w:val="14"/>
              </w:rPr>
              <w:t>Forefront Identity Manager 2010 R2 – Windows Live Edition</w:t>
            </w:r>
            <w:bookmarkEnd w:id="237"/>
            <w:bookmarkEnd w:id="238"/>
          </w:p>
        </w:tc>
        <w:tc>
          <w:tcPr>
            <w:tcW w:w="450" w:type="dxa"/>
            <w:tcBorders>
              <w:bottom w:val="single" w:sz="4" w:space="0" w:color="auto"/>
            </w:tcBorders>
            <w:shd w:val="clear" w:color="auto" w:fill="FFFFFF" w:themeFill="background1"/>
            <w:vAlign w:val="center"/>
          </w:tcPr>
          <w:p w:rsidR="001A63C6" w:rsidRPr="00C02B5C" w:rsidRDefault="005B744B" w:rsidP="00C02B5C">
            <w:pPr>
              <w:pStyle w:val="TableText"/>
              <w:widowControl w:val="0"/>
              <w:rPr>
                <w:rFonts w:cs="Tahoma"/>
                <w:b/>
                <w:color w:val="0000FF"/>
                <w:sz w:val="13"/>
                <w:szCs w:val="13"/>
                <w:u w:val="single"/>
              </w:rPr>
            </w:pPr>
            <w:hyperlink w:anchor="_62_Forefront_Identity" w:history="1">
              <w:r w:rsidR="00316801" w:rsidRPr="00C02B5C">
                <w:rPr>
                  <w:rStyle w:val="Hyperlink"/>
                  <w:rFonts w:cs="Tahoma"/>
                  <w:b/>
                  <w:sz w:val="13"/>
                  <w:szCs w:val="13"/>
                </w:rPr>
                <w:t>62</w:t>
              </w:r>
            </w:hyperlink>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szCs w:val="13"/>
              </w:rPr>
            </w:pPr>
            <w:r w:rsidRPr="004D10F1">
              <w:rPr>
                <w:rFonts w:ascii="Tahoma" w:hAnsi="Tahoma" w:cs="Tahoma"/>
                <w:sz w:val="13"/>
                <w:szCs w:val="13"/>
              </w:rPr>
              <w:t>25</w:t>
            </w: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szCs w:val="13"/>
              </w:rPr>
            </w:pPr>
            <w:r w:rsidRPr="004D10F1">
              <w:rPr>
                <w:rFonts w:ascii="Tahoma" w:hAnsi="Tahoma" w:cs="Tahoma"/>
                <w:sz w:val="13"/>
                <w:szCs w:val="13"/>
              </w:rPr>
              <w:t>63</w:t>
            </w: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szCs w:val="13"/>
              </w:rPr>
            </w:pPr>
            <w:r w:rsidRPr="004D10F1">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szCs w:val="13"/>
              </w:rPr>
            </w:pPr>
            <w:r w:rsidRPr="004D10F1">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szCs w:val="13"/>
              </w:rPr>
            </w:pPr>
            <w:r w:rsidRPr="004D10F1">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szCs w:val="13"/>
              </w:rPr>
            </w:pPr>
            <w:r w:rsidRPr="004D10F1">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szCs w:val="13"/>
              </w:rPr>
            </w:pPr>
            <w:r w:rsidRPr="004D10F1">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szCs w:val="13"/>
              </w:rPr>
            </w:pPr>
            <w:r w:rsidRPr="004D10F1">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szCs w:val="13"/>
              </w:rPr>
            </w:pPr>
            <w:r w:rsidRPr="004D10F1">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szCs w:val="13"/>
              </w:rPr>
            </w:pPr>
            <w:r w:rsidRPr="004D10F1">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szCs w:val="13"/>
              </w:rPr>
            </w:pPr>
            <w:r w:rsidRPr="004D10F1">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D10F1" w:rsidRDefault="001A63C6" w:rsidP="000C5B59">
            <w:pPr>
              <w:pStyle w:val="TableText"/>
              <w:widowControl w:val="0"/>
              <w:rPr>
                <w:rFonts w:ascii="Tahoma" w:hAnsi="Tahoma" w:cs="Tahoma"/>
                <w:sz w:val="13"/>
              </w:rPr>
            </w:pPr>
          </w:p>
        </w:tc>
      </w:tr>
      <w:tr w:rsidR="002B5C31" w:rsidRPr="004D10F1" w:rsidTr="000C5B59">
        <w:trPr>
          <w:trHeight w:val="145"/>
        </w:trPr>
        <w:tc>
          <w:tcPr>
            <w:tcW w:w="2734" w:type="dxa"/>
            <w:gridSpan w:val="2"/>
            <w:tcBorders>
              <w:bottom w:val="single" w:sz="4" w:space="0" w:color="auto"/>
            </w:tcBorders>
            <w:shd w:val="clear" w:color="auto" w:fill="FABF8F"/>
            <w:vAlign w:val="center"/>
          </w:tcPr>
          <w:p w:rsidR="002B5C31" w:rsidRPr="00C02B5C" w:rsidRDefault="002B5C31" w:rsidP="00C02B5C">
            <w:pPr>
              <w:pStyle w:val="Heading2"/>
              <w:spacing w:beforeLines="20" w:before="48" w:afterLines="20" w:after="48"/>
              <w:ind w:left="0"/>
              <w:rPr>
                <w:rFonts w:ascii="Tahoma" w:hAnsi="Tahoma" w:cs="Tahoma"/>
                <w:b w:val="0"/>
                <w:sz w:val="14"/>
                <w:szCs w:val="14"/>
                <w:lang w:val="de-DE"/>
              </w:rPr>
            </w:pPr>
            <w:bookmarkStart w:id="239" w:name="_Toc363998729"/>
            <w:r w:rsidRPr="00C02B5C">
              <w:rPr>
                <w:rFonts w:ascii="Tahoma" w:hAnsi="Tahoma" w:cs="Tahoma"/>
                <w:b w:val="0"/>
                <w:sz w:val="14"/>
                <w:szCs w:val="14"/>
                <w:lang w:val="de-DE"/>
              </w:rPr>
              <w:t>Forefront Online Protection für Exchange (Geräte- und Nutzer-AL)</w:t>
            </w:r>
            <w:bookmarkEnd w:id="239"/>
          </w:p>
        </w:tc>
        <w:tc>
          <w:tcPr>
            <w:tcW w:w="450" w:type="dxa"/>
            <w:tcBorders>
              <w:bottom w:val="single" w:sz="4" w:space="0" w:color="auto"/>
            </w:tcBorders>
            <w:shd w:val="clear" w:color="auto" w:fill="FABF8F"/>
            <w:vAlign w:val="center"/>
          </w:tcPr>
          <w:p w:rsidR="002B5C31" w:rsidRPr="00C02B5C" w:rsidRDefault="005B744B" w:rsidP="00C02B5C">
            <w:pPr>
              <w:pStyle w:val="TableText"/>
              <w:widowControl w:val="0"/>
              <w:rPr>
                <w:rFonts w:cs="Tahoma"/>
                <w:b/>
                <w:sz w:val="13"/>
                <w:szCs w:val="13"/>
              </w:rPr>
            </w:pPr>
            <w:hyperlink w:anchor="_59_Forefront_Online" w:history="1">
              <w:r w:rsidR="00316801" w:rsidRPr="00C02B5C">
                <w:rPr>
                  <w:rStyle w:val="Hyperlink"/>
                  <w:rFonts w:cs="Tahoma"/>
                  <w:b/>
                  <w:sz w:val="13"/>
                  <w:szCs w:val="13"/>
                </w:rPr>
                <w:t>63</w:t>
              </w:r>
            </w:hyperlink>
          </w:p>
        </w:tc>
        <w:tc>
          <w:tcPr>
            <w:tcW w:w="450" w:type="dxa"/>
            <w:tcBorders>
              <w:bottom w:val="single" w:sz="4" w:space="0" w:color="auto"/>
            </w:tcBorders>
            <w:shd w:val="clear" w:color="auto" w:fill="FABF8F"/>
            <w:vAlign w:val="center"/>
          </w:tcPr>
          <w:p w:rsidR="002B5C31" w:rsidRPr="004D10F1" w:rsidRDefault="002B5C31" w:rsidP="000C5B59">
            <w:pPr>
              <w:pStyle w:val="TableText"/>
              <w:widowControl w:val="0"/>
              <w:rPr>
                <w:rFonts w:ascii="Tahoma" w:hAnsi="Tahoma" w:cs="Tahoma"/>
                <w:sz w:val="13"/>
              </w:rPr>
            </w:pPr>
            <w:r w:rsidRPr="004D10F1">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4D10F1" w:rsidRDefault="002B5C31"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B5C31" w:rsidRPr="004D10F1" w:rsidRDefault="002B5C31"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4D10F1" w:rsidRDefault="002B5C31"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4D10F1" w:rsidRDefault="002B5C31" w:rsidP="000C5B59">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2B5C31" w:rsidRPr="004D10F1" w:rsidRDefault="002B5C31"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4D10F1" w:rsidRDefault="002B5C31"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4D10F1" w:rsidRDefault="002B5C31" w:rsidP="000C5B59">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2B5C31" w:rsidRPr="004D10F1" w:rsidRDefault="002B5C31"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4D10F1" w:rsidRDefault="002B5C31" w:rsidP="000C5B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2B5C31" w:rsidRPr="004D10F1" w:rsidRDefault="002B5C31"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4D10F1" w:rsidRDefault="002B5C31"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4D10F1" w:rsidRDefault="002B5C31"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4D10F1" w:rsidRDefault="002B5C31"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2B5C31" w:rsidRPr="004D10F1" w:rsidRDefault="002B5C31"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5C31" w:rsidRPr="004D10F1" w:rsidRDefault="002B5C31"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5C31" w:rsidRPr="004D10F1" w:rsidRDefault="002B5C31" w:rsidP="000C5B59">
            <w:pPr>
              <w:pStyle w:val="TableText"/>
              <w:widowControl w:val="0"/>
              <w:rPr>
                <w:rFonts w:ascii="Tahoma" w:hAnsi="Tahoma" w:cs="Tahoma"/>
                <w:sz w:val="13"/>
              </w:rPr>
            </w:pPr>
          </w:p>
        </w:tc>
      </w:tr>
      <w:tr w:rsidR="00AF7309" w:rsidRPr="004D10F1" w:rsidTr="000C5B59">
        <w:trPr>
          <w:trHeight w:val="145"/>
        </w:trPr>
        <w:tc>
          <w:tcPr>
            <w:tcW w:w="2734" w:type="dxa"/>
            <w:gridSpan w:val="2"/>
            <w:tcBorders>
              <w:bottom w:val="single" w:sz="4" w:space="0" w:color="auto"/>
            </w:tcBorders>
            <w:shd w:val="clear" w:color="auto" w:fill="auto"/>
            <w:vAlign w:val="center"/>
          </w:tcPr>
          <w:p w:rsidR="00AF7309" w:rsidRPr="00C02B5C" w:rsidRDefault="00AF7309" w:rsidP="00C02B5C">
            <w:pPr>
              <w:pStyle w:val="ProductNames"/>
              <w:spacing w:beforeLines="20" w:before="48" w:afterLines="20" w:after="48"/>
              <w:rPr>
                <w:rFonts w:ascii="Tahoma" w:hAnsi="Tahoma" w:cs="Tahoma"/>
                <w:sz w:val="14"/>
                <w:szCs w:val="14"/>
                <w:lang w:val="de-DE"/>
              </w:rPr>
            </w:pPr>
            <w:bookmarkStart w:id="240" w:name="_Toc336337971"/>
            <w:bookmarkStart w:id="241" w:name="_Toc363998730"/>
            <w:r w:rsidRPr="00C02B5C">
              <w:rPr>
                <w:rFonts w:ascii="Tahoma" w:hAnsi="Tahoma" w:cs="Tahoma"/>
                <w:sz w:val="14"/>
                <w:szCs w:val="14"/>
                <w:lang w:val="de-DE"/>
              </w:rPr>
              <w:t>Forefront Protection 2010 für Exchange Server (Geräte- und Nutzer-AL)</w:t>
            </w:r>
            <w:bookmarkEnd w:id="240"/>
            <w:bookmarkEnd w:id="241"/>
          </w:p>
        </w:tc>
        <w:tc>
          <w:tcPr>
            <w:tcW w:w="450" w:type="dxa"/>
            <w:tcBorders>
              <w:bottom w:val="single" w:sz="4" w:space="0" w:color="auto"/>
            </w:tcBorders>
            <w:shd w:val="clear" w:color="auto" w:fill="auto"/>
            <w:vAlign w:val="center"/>
          </w:tcPr>
          <w:p w:rsidR="00AF7309" w:rsidRPr="00C02B5C" w:rsidRDefault="005B744B" w:rsidP="00C02B5C">
            <w:pPr>
              <w:pStyle w:val="TableText"/>
              <w:widowControl w:val="0"/>
              <w:rPr>
                <w:rFonts w:cs="Tahoma"/>
                <w:b/>
                <w:color w:val="000000"/>
                <w:sz w:val="13"/>
                <w:szCs w:val="13"/>
                <w:u w:val="single"/>
              </w:rPr>
            </w:pPr>
            <w:hyperlink w:anchor="_54_Forefront_Protection" w:history="1">
              <w:r w:rsidR="00316801" w:rsidRPr="00C02B5C">
                <w:rPr>
                  <w:rStyle w:val="Hyperlink"/>
                  <w:rFonts w:cs="Tahoma"/>
                  <w:b/>
                  <w:sz w:val="13"/>
                  <w:szCs w:val="13"/>
                </w:rPr>
                <w:t>64</w:t>
              </w:r>
            </w:hyperlink>
          </w:p>
        </w:tc>
        <w:tc>
          <w:tcPr>
            <w:tcW w:w="450" w:type="dxa"/>
            <w:tcBorders>
              <w:bottom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r>
      <w:tr w:rsidR="00AF7309" w:rsidRPr="004D10F1" w:rsidTr="000C5B59">
        <w:trPr>
          <w:trHeight w:val="145"/>
        </w:trPr>
        <w:tc>
          <w:tcPr>
            <w:tcW w:w="2734" w:type="dxa"/>
            <w:gridSpan w:val="2"/>
            <w:tcBorders>
              <w:bottom w:val="single" w:sz="4" w:space="0" w:color="auto"/>
            </w:tcBorders>
            <w:shd w:val="clear" w:color="auto" w:fill="FABF8F"/>
            <w:vAlign w:val="center"/>
          </w:tcPr>
          <w:p w:rsidR="00AF7309" w:rsidRPr="00C02B5C" w:rsidRDefault="00AF7309" w:rsidP="00C02B5C">
            <w:pPr>
              <w:pStyle w:val="ProductNames"/>
              <w:spacing w:beforeLines="20" w:before="48" w:afterLines="20" w:after="48"/>
              <w:rPr>
                <w:rFonts w:ascii="Tahoma" w:hAnsi="Tahoma" w:cs="Tahoma"/>
                <w:sz w:val="14"/>
                <w:szCs w:val="14"/>
                <w:lang w:val="de-DE"/>
              </w:rPr>
            </w:pPr>
            <w:bookmarkStart w:id="242" w:name="_Toc336337973"/>
            <w:bookmarkStart w:id="243" w:name="_Toc363998731"/>
            <w:r w:rsidRPr="00C02B5C">
              <w:rPr>
                <w:rFonts w:ascii="Tahoma" w:hAnsi="Tahoma" w:cs="Tahoma"/>
                <w:sz w:val="14"/>
                <w:szCs w:val="14"/>
                <w:lang w:val="de-DE"/>
              </w:rPr>
              <w:t>Forefront Protection Suite (Geräte- und Nutzer-AL)</w:t>
            </w:r>
            <w:bookmarkEnd w:id="242"/>
            <w:bookmarkEnd w:id="243"/>
          </w:p>
        </w:tc>
        <w:tc>
          <w:tcPr>
            <w:tcW w:w="450" w:type="dxa"/>
            <w:tcBorders>
              <w:bottom w:val="single" w:sz="4" w:space="0" w:color="auto"/>
            </w:tcBorders>
            <w:shd w:val="clear" w:color="auto" w:fill="FABF8F"/>
            <w:vAlign w:val="center"/>
          </w:tcPr>
          <w:p w:rsidR="00AF7309" w:rsidRPr="00C02B5C" w:rsidRDefault="005B744B" w:rsidP="00C02B5C">
            <w:pPr>
              <w:pStyle w:val="TableText"/>
              <w:widowControl w:val="0"/>
              <w:rPr>
                <w:rStyle w:val="EndnoteReference"/>
                <w:rFonts w:cs="Tahoma"/>
                <w:b w:val="0"/>
                <w:color w:val="0000FF"/>
                <w:sz w:val="13"/>
                <w:szCs w:val="13"/>
                <w:u w:val="single"/>
              </w:rPr>
            </w:pPr>
            <w:hyperlink w:anchor="_65_Forefront_Protection" w:history="1">
              <w:hyperlink w:anchor="_61_Forefront_Protection" w:history="1">
                <w:r w:rsidR="00316801" w:rsidRPr="00A67771">
                  <w:rPr>
                    <w:rStyle w:val="Hyperlink"/>
                    <w:rFonts w:cs="Tahoma"/>
                    <w:b/>
                    <w:sz w:val="13"/>
                    <w:szCs w:val="13"/>
                  </w:rPr>
                  <w:t>6</w:t>
                </w:r>
              </w:hyperlink>
              <w:r w:rsidR="00316801" w:rsidRPr="00A67771">
                <w:rPr>
                  <w:rStyle w:val="Hyperlink"/>
                  <w:rFonts w:cs="Tahoma"/>
                  <w:b/>
                  <w:sz w:val="13"/>
                  <w:szCs w:val="13"/>
                </w:rPr>
                <w:t>5</w:t>
              </w:r>
            </w:hyperlink>
          </w:p>
        </w:tc>
        <w:tc>
          <w:tcPr>
            <w:tcW w:w="450" w:type="dxa"/>
            <w:tcBorders>
              <w:bottom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r>
      <w:tr w:rsidR="00AF7309" w:rsidRPr="004D10F1" w:rsidTr="000C5B59">
        <w:trPr>
          <w:trHeight w:val="145"/>
        </w:trPr>
        <w:tc>
          <w:tcPr>
            <w:tcW w:w="2734" w:type="dxa"/>
            <w:gridSpan w:val="2"/>
            <w:tcBorders>
              <w:bottom w:val="single" w:sz="4" w:space="0" w:color="auto"/>
            </w:tcBorders>
            <w:shd w:val="clear" w:color="auto" w:fill="auto"/>
            <w:vAlign w:val="center"/>
          </w:tcPr>
          <w:p w:rsidR="00AF7309" w:rsidRPr="00C02B5C" w:rsidRDefault="00AF7309" w:rsidP="00C02B5C">
            <w:pPr>
              <w:pStyle w:val="ProductNames"/>
              <w:spacing w:beforeLines="20" w:before="48" w:afterLines="20" w:after="48"/>
              <w:rPr>
                <w:rFonts w:ascii="Tahoma" w:hAnsi="Tahoma" w:cs="Tahoma"/>
                <w:sz w:val="14"/>
                <w:szCs w:val="14"/>
              </w:rPr>
            </w:pPr>
            <w:bookmarkStart w:id="244" w:name="_Toc336337974"/>
            <w:bookmarkStart w:id="245" w:name="_Toc363998732"/>
            <w:r w:rsidRPr="00C02B5C">
              <w:rPr>
                <w:rFonts w:ascii="Tahoma" w:hAnsi="Tahoma" w:cs="Tahoma"/>
                <w:sz w:val="14"/>
                <w:szCs w:val="14"/>
              </w:rPr>
              <w:t>Forefront Security für Office Communications Server (Nutzer- und Geräte-AL)</w:t>
            </w:r>
            <w:bookmarkEnd w:id="244"/>
            <w:bookmarkEnd w:id="245"/>
          </w:p>
        </w:tc>
        <w:tc>
          <w:tcPr>
            <w:tcW w:w="450" w:type="dxa"/>
            <w:tcBorders>
              <w:bottom w:val="single" w:sz="4" w:space="0" w:color="auto"/>
            </w:tcBorders>
            <w:shd w:val="clear" w:color="auto" w:fill="auto"/>
            <w:vAlign w:val="center"/>
          </w:tcPr>
          <w:p w:rsidR="00AF7309" w:rsidRPr="00C02B5C" w:rsidRDefault="005B744B" w:rsidP="00C02B5C">
            <w:pPr>
              <w:pStyle w:val="TableText"/>
              <w:widowControl w:val="0"/>
              <w:rPr>
                <w:rStyle w:val="EndnoteReference"/>
                <w:rFonts w:cs="Tahoma"/>
                <w:color w:val="000000"/>
                <w:sz w:val="13"/>
                <w:szCs w:val="13"/>
                <w:u w:val="single"/>
              </w:rPr>
            </w:pPr>
            <w:hyperlink w:anchor="_66_Forefront_Security" w:history="1">
              <w:r w:rsidR="00316801" w:rsidRPr="00C02B5C">
                <w:rPr>
                  <w:rStyle w:val="Hyperlink"/>
                  <w:rFonts w:cs="Tahoma"/>
                  <w:b/>
                  <w:sz w:val="13"/>
                  <w:szCs w:val="13"/>
                </w:rPr>
                <w:t>66</w:t>
              </w:r>
            </w:hyperlink>
          </w:p>
        </w:tc>
        <w:tc>
          <w:tcPr>
            <w:tcW w:w="450" w:type="dxa"/>
            <w:tcBorders>
              <w:bottom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AF7309" w:rsidRPr="004D10F1" w:rsidRDefault="00AF7309" w:rsidP="000C5B59">
            <w:pPr>
              <w:pStyle w:val="TableText"/>
              <w:widowControl w:val="0"/>
              <w:rPr>
                <w:rFonts w:ascii="Tahoma" w:hAnsi="Tahoma" w:cs="Tahoma"/>
                <w:sz w:val="13"/>
              </w:rPr>
            </w:pPr>
          </w:p>
        </w:tc>
      </w:tr>
      <w:tr w:rsidR="00AF7309" w:rsidRPr="004D10F1" w:rsidTr="000C5B59">
        <w:trPr>
          <w:trHeight w:val="145"/>
        </w:trPr>
        <w:tc>
          <w:tcPr>
            <w:tcW w:w="2734" w:type="dxa"/>
            <w:gridSpan w:val="2"/>
            <w:tcBorders>
              <w:bottom w:val="single" w:sz="4" w:space="0" w:color="auto"/>
            </w:tcBorders>
            <w:shd w:val="clear" w:color="auto" w:fill="FABF8F"/>
            <w:vAlign w:val="center"/>
          </w:tcPr>
          <w:p w:rsidR="00AF7309" w:rsidRPr="00C02B5C" w:rsidRDefault="00AF7309" w:rsidP="00C02B5C">
            <w:pPr>
              <w:pStyle w:val="ProductNames"/>
              <w:spacing w:beforeLines="20" w:before="48" w:afterLines="20" w:after="48"/>
              <w:rPr>
                <w:rFonts w:ascii="Tahoma" w:hAnsi="Tahoma" w:cs="Tahoma"/>
                <w:sz w:val="14"/>
                <w:szCs w:val="14"/>
              </w:rPr>
            </w:pPr>
            <w:bookmarkStart w:id="246" w:name="_Toc336337976"/>
            <w:bookmarkStart w:id="247" w:name="_Toc363998733"/>
            <w:r w:rsidRPr="00C02B5C">
              <w:rPr>
                <w:rFonts w:ascii="Tahoma" w:hAnsi="Tahoma" w:cs="Tahoma"/>
                <w:sz w:val="14"/>
                <w:szCs w:val="14"/>
              </w:rPr>
              <w:t>Forefront Protection 2010 for SharePoint (Geräte- und Nutzer-AL)</w:t>
            </w:r>
            <w:bookmarkEnd w:id="246"/>
            <w:bookmarkEnd w:id="247"/>
          </w:p>
        </w:tc>
        <w:tc>
          <w:tcPr>
            <w:tcW w:w="450" w:type="dxa"/>
            <w:tcBorders>
              <w:bottom w:val="single" w:sz="4" w:space="0" w:color="auto"/>
            </w:tcBorders>
            <w:shd w:val="clear" w:color="auto" w:fill="FABF8F"/>
            <w:vAlign w:val="center"/>
          </w:tcPr>
          <w:p w:rsidR="00AF7309" w:rsidRPr="00C02B5C" w:rsidRDefault="005B744B" w:rsidP="00C02B5C">
            <w:pPr>
              <w:pStyle w:val="TableText"/>
              <w:widowControl w:val="0"/>
              <w:rPr>
                <w:rStyle w:val="EndnoteReference"/>
                <w:rFonts w:cs="Tahoma"/>
                <w:b w:val="0"/>
                <w:color w:val="000000"/>
                <w:sz w:val="13"/>
                <w:szCs w:val="13"/>
                <w:u w:val="single"/>
              </w:rPr>
            </w:pPr>
            <w:hyperlink w:anchor="_54_Forefront_Protection" w:history="1">
              <w:r w:rsidR="00316801" w:rsidRPr="00C02B5C">
                <w:rPr>
                  <w:rStyle w:val="Hyperlink"/>
                  <w:rFonts w:cs="Tahoma"/>
                  <w:b/>
                  <w:sz w:val="13"/>
                  <w:szCs w:val="13"/>
                </w:rPr>
                <w:t>64</w:t>
              </w:r>
            </w:hyperlink>
          </w:p>
        </w:tc>
        <w:tc>
          <w:tcPr>
            <w:tcW w:w="450" w:type="dxa"/>
            <w:tcBorders>
              <w:bottom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AF7309" w:rsidRPr="004D10F1" w:rsidRDefault="00AF7309"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248" w:name="_Toc336337977"/>
            <w:bookmarkStart w:id="249" w:name="_Toc363998734"/>
            <w:r w:rsidRPr="00C02B5C">
              <w:rPr>
                <w:rFonts w:ascii="Tahoma" w:hAnsi="Tahoma" w:cs="Tahoma"/>
                <w:sz w:val="14"/>
                <w:szCs w:val="14"/>
              </w:rPr>
              <w:t>Forefront Protection 2010 for SharePoint for Internet Sites (Add-On-AL)</w:t>
            </w:r>
            <w:bookmarkEnd w:id="248"/>
            <w:bookmarkEnd w:id="249"/>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00"/>
                <w:sz w:val="13"/>
                <w:szCs w:val="13"/>
                <w:u w:val="single"/>
              </w:rPr>
            </w:pPr>
            <w:hyperlink w:anchor="_54_Forefront_Protection" w:history="1">
              <w:r w:rsidR="00A67771" w:rsidRPr="00C02B5C">
                <w:rPr>
                  <w:rStyle w:val="Hyperlink"/>
                  <w:rFonts w:cs="Tahoma"/>
                  <w:b/>
                  <w:sz w:val="13"/>
                  <w:szCs w:val="13"/>
                </w:rPr>
                <w:t>64</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 Punkte</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OV</w:t>
            </w:r>
          </w:p>
        </w:tc>
      </w:tr>
      <w:tr w:rsidR="00193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250" w:name="_Toc336337981"/>
            <w:bookmarkStart w:id="251" w:name="_Toc363998735"/>
            <w:r w:rsidRPr="00C02B5C">
              <w:rPr>
                <w:rFonts w:ascii="Tahoma" w:hAnsi="Tahoma" w:cs="Tahoma"/>
                <w:sz w:val="14"/>
                <w:szCs w:val="14"/>
              </w:rPr>
              <w:t>Forefront Threat Management Gateway Web Protection Services</w:t>
            </w:r>
            <w:bookmarkEnd w:id="250"/>
            <w:bookmarkEnd w:id="251"/>
            <w:r w:rsidRPr="00C02B5C">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67_Forefront_Threat" w:history="1">
              <w:r w:rsidR="00316801" w:rsidRPr="00C02B5C">
                <w:rPr>
                  <w:rStyle w:val="Hyperlink"/>
                  <w:rFonts w:cs="Tahoma"/>
                  <w:b/>
                  <w:sz w:val="13"/>
                  <w:szCs w:val="13"/>
                </w:rPr>
                <w:t>67</w:t>
              </w:r>
            </w:hyperlink>
            <w:hyperlink w:anchor="_57_Forefront_Threat"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cantSplit/>
          <w:trHeight w:val="145"/>
        </w:trPr>
        <w:tc>
          <w:tcPr>
            <w:tcW w:w="2734" w:type="dxa"/>
            <w:gridSpan w:val="2"/>
            <w:tcBorders>
              <w:bottom w:val="single" w:sz="4" w:space="0" w:color="auto"/>
            </w:tcBorders>
            <w:shd w:val="clear" w:color="auto" w:fill="auto"/>
            <w:vAlign w:val="center"/>
          </w:tcPr>
          <w:p w:rsidR="001A63C6" w:rsidRPr="00C02B5C" w:rsidRDefault="001A63C6" w:rsidP="005A76F9">
            <w:pPr>
              <w:pStyle w:val="ProductNames"/>
              <w:spacing w:beforeLines="20" w:before="48" w:afterLines="20" w:after="48"/>
              <w:rPr>
                <w:rFonts w:ascii="Tahoma" w:hAnsi="Tahoma" w:cs="Tahoma"/>
                <w:sz w:val="14"/>
                <w:szCs w:val="14"/>
              </w:rPr>
            </w:pPr>
            <w:bookmarkStart w:id="252" w:name="_Toc336337982"/>
            <w:bookmarkStart w:id="253" w:name="_Toc363998736"/>
            <w:r w:rsidRPr="00C02B5C">
              <w:rPr>
                <w:rFonts w:ascii="Tahoma" w:hAnsi="Tahoma" w:cs="Tahoma"/>
                <w:sz w:val="14"/>
                <w:szCs w:val="14"/>
              </w:rPr>
              <w:t>Forefront Unified Access Gateway Server</w:t>
            </w:r>
            <w:r w:rsidR="005A76F9">
              <w:rPr>
                <w:rFonts w:ascii="Tahoma" w:hAnsi="Tahoma" w:cs="Tahoma"/>
                <w:sz w:val="14"/>
                <w:szCs w:val="14"/>
              </w:rPr>
              <w:t> </w:t>
            </w:r>
            <w:r w:rsidRPr="00C02B5C">
              <w:rPr>
                <w:rFonts w:ascii="Tahoma" w:hAnsi="Tahoma" w:cs="Tahoma"/>
                <w:sz w:val="14"/>
                <w:szCs w:val="14"/>
              </w:rPr>
              <w:t>2010</w:t>
            </w:r>
            <w:bookmarkEnd w:id="252"/>
            <w:bookmarkEnd w:id="253"/>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00"/>
                <w:sz w:val="13"/>
                <w:szCs w:val="13"/>
                <w:u w:val="single"/>
              </w:rPr>
            </w:pPr>
            <w:hyperlink w:anchor="_68_Forefront_Unified" w:history="1">
              <w:r w:rsidR="00316801" w:rsidRPr="00C02B5C">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193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254" w:name="_Toc336337983"/>
            <w:bookmarkStart w:id="255" w:name="_Toc363998737"/>
            <w:r w:rsidRPr="00C02B5C">
              <w:rPr>
                <w:rFonts w:ascii="Tahoma" w:hAnsi="Tahoma" w:cs="Tahoma"/>
                <w:sz w:val="14"/>
                <w:szCs w:val="14"/>
              </w:rPr>
              <w:t>Externer Connector für Forefront Unified Access Gateway 2010</w:t>
            </w:r>
            <w:bookmarkEnd w:id="254"/>
            <w:bookmarkEnd w:id="255"/>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00"/>
                <w:sz w:val="13"/>
                <w:szCs w:val="13"/>
                <w:u w:val="single"/>
              </w:rPr>
            </w:pPr>
            <w:hyperlink w:anchor="_68_Forefront_Unified" w:history="1">
              <w:r w:rsidR="00605070" w:rsidRPr="00C02B5C">
                <w:rPr>
                  <w:rStyle w:val="Hyperlink"/>
                  <w:rFonts w:cs="Tahoma"/>
                  <w:b/>
                  <w:sz w:val="13"/>
                  <w:szCs w:val="13"/>
                </w:rPr>
                <w:t>68</w:t>
              </w:r>
            </w:hyperlink>
            <w:hyperlink w:anchor="Srv_56ForefrontUnifiedAccessGtwy2010"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5A76F9">
            <w:pPr>
              <w:pStyle w:val="ProductNames"/>
              <w:spacing w:beforeLines="20" w:before="48" w:afterLines="20" w:after="48"/>
              <w:rPr>
                <w:rFonts w:ascii="Tahoma" w:hAnsi="Tahoma" w:cs="Tahoma"/>
                <w:sz w:val="14"/>
                <w:szCs w:val="14"/>
              </w:rPr>
            </w:pPr>
            <w:bookmarkStart w:id="256" w:name="_Toc336337984"/>
            <w:bookmarkStart w:id="257" w:name="_Toc363998738"/>
            <w:r w:rsidRPr="00C02B5C">
              <w:rPr>
                <w:rFonts w:ascii="Tahoma" w:hAnsi="Tahoma" w:cs="Tahoma"/>
                <w:sz w:val="14"/>
                <w:szCs w:val="14"/>
              </w:rPr>
              <w:t>CAL für Forefront Unified Access Gateway</w:t>
            </w:r>
            <w:r w:rsidR="005A76F9">
              <w:rPr>
                <w:rFonts w:ascii="Tahoma" w:hAnsi="Tahoma" w:cs="Tahoma"/>
                <w:sz w:val="14"/>
                <w:szCs w:val="14"/>
              </w:rPr>
              <w:t> </w:t>
            </w:r>
            <w:r w:rsidRPr="00C02B5C">
              <w:rPr>
                <w:rFonts w:ascii="Tahoma" w:hAnsi="Tahoma" w:cs="Tahoma"/>
                <w:sz w:val="14"/>
                <w:szCs w:val="14"/>
              </w:rPr>
              <w:t>2010</w:t>
            </w:r>
            <w:bookmarkEnd w:id="256"/>
            <w:bookmarkEnd w:id="257"/>
            <w:r w:rsidRPr="00C02B5C">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00"/>
                <w:sz w:val="13"/>
                <w:szCs w:val="13"/>
                <w:u w:val="single"/>
              </w:rPr>
            </w:pPr>
            <w:hyperlink w:anchor="_68_Forefront_Unified" w:history="1">
              <w:r w:rsidR="00605070" w:rsidRPr="00C02B5C">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AO,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EF228F"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258" w:name="_Toc336337985"/>
            <w:bookmarkStart w:id="259" w:name="_Toc363998739"/>
            <w:r w:rsidRPr="00C02B5C">
              <w:rPr>
                <w:rFonts w:ascii="Tahoma" w:hAnsi="Tahoma" w:cs="Tahoma"/>
                <w:sz w:val="14"/>
                <w:szCs w:val="14"/>
              </w:rPr>
              <w:t>10K CAL Pack für Forefront Unified Access Gateway 2010</w:t>
            </w:r>
            <w:bookmarkEnd w:id="258"/>
            <w:bookmarkEnd w:id="259"/>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00"/>
                <w:sz w:val="13"/>
                <w:szCs w:val="13"/>
                <w:u w:val="single"/>
              </w:rPr>
            </w:pPr>
            <w:hyperlink w:anchor="_68_Forefront_Unified" w:history="1">
              <w:r w:rsidR="00605070" w:rsidRPr="00C02B5C">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EF228F"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260" w:name="_Toc336337990"/>
            <w:bookmarkStart w:id="261" w:name="_Toc363998740"/>
            <w:r w:rsidRPr="00C02B5C">
              <w:rPr>
                <w:rFonts w:ascii="Tahoma" w:hAnsi="Tahoma" w:cs="Tahoma"/>
                <w:sz w:val="14"/>
                <w:szCs w:val="14"/>
              </w:rPr>
              <w:t>HPC Pack 2008 R2 Enterprise</w:t>
            </w:r>
            <w:bookmarkEnd w:id="260"/>
            <w:bookmarkEnd w:id="261"/>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color w:val="000000"/>
                <w:sz w:val="13"/>
                <w:szCs w:val="13"/>
                <w:u w:val="single"/>
              </w:rPr>
            </w:pPr>
            <w:hyperlink w:anchor="_69_HPC_Pack" w:history="1">
              <w:hyperlink w:anchor="_51_High_Performance" w:history="1">
                <w:r w:rsidR="00316801" w:rsidRPr="00A67771">
                  <w:rPr>
                    <w:rStyle w:val="Hyperlink"/>
                    <w:rFonts w:cs="Tahoma"/>
                    <w:b/>
                    <w:sz w:val="13"/>
                    <w:szCs w:val="13"/>
                  </w:rPr>
                  <w:t>6</w:t>
                </w:r>
              </w:hyperlink>
              <w:r w:rsidR="00316801" w:rsidRPr="00A67771">
                <w:rPr>
                  <w:rStyle w:val="Hyperlink"/>
                  <w:rFonts w:cs="Tahoma"/>
                  <w:b/>
                  <w:sz w:val="13"/>
                  <w:szCs w:val="13"/>
                </w:rPr>
                <w:t>9</w:t>
              </w:r>
            </w:hyperlink>
            <w:hyperlink w:anchor="Srv_54HighPerfComputingPack" w:history="1"/>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262" w:name="_Toc336337991"/>
            <w:bookmarkStart w:id="263" w:name="_Toc363998741"/>
            <w:r w:rsidRPr="00C02B5C">
              <w:rPr>
                <w:rFonts w:ascii="Tahoma" w:hAnsi="Tahoma" w:cs="Tahoma"/>
                <w:sz w:val="14"/>
                <w:szCs w:val="14"/>
                <w:lang w:val="de-DE"/>
              </w:rPr>
              <w:t>HPC Pack 2008 R2 für Workstation</w:t>
            </w:r>
            <w:bookmarkEnd w:id="262"/>
            <w:bookmarkEnd w:id="263"/>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color w:val="000000"/>
                <w:sz w:val="13"/>
                <w:szCs w:val="13"/>
                <w:u w:val="single"/>
              </w:rPr>
            </w:pPr>
            <w:hyperlink w:anchor="_69_HPC_Pack" w:history="1">
              <w:hyperlink w:anchor="_51_High_Performance" w:history="1">
                <w:r w:rsidR="00605070" w:rsidRPr="00A67771">
                  <w:rPr>
                    <w:rStyle w:val="Hyperlink"/>
                    <w:rFonts w:cs="Tahoma"/>
                    <w:b/>
                    <w:sz w:val="13"/>
                    <w:szCs w:val="13"/>
                  </w:rPr>
                  <w:t>6</w:t>
                </w:r>
              </w:hyperlink>
              <w:r w:rsidR="00605070" w:rsidRPr="00A67771">
                <w:rPr>
                  <w:rStyle w:val="Hyperlink"/>
                  <w:rFonts w:cs="Tahoma"/>
                  <w:b/>
                  <w:sz w:val="13"/>
                  <w:szCs w:val="13"/>
                </w:rPr>
                <w:t>9</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9C7B23" w:rsidRPr="004D10F1" w:rsidTr="000C5B59">
        <w:trPr>
          <w:trHeight w:val="145"/>
        </w:trPr>
        <w:tc>
          <w:tcPr>
            <w:tcW w:w="2734" w:type="dxa"/>
            <w:gridSpan w:val="2"/>
            <w:tcBorders>
              <w:bottom w:val="single" w:sz="4" w:space="0" w:color="auto"/>
            </w:tcBorders>
            <w:shd w:val="clear" w:color="auto" w:fill="auto"/>
            <w:vAlign w:val="center"/>
          </w:tcPr>
          <w:p w:rsidR="009C7B23" w:rsidRPr="00C02B5C" w:rsidRDefault="009C7B23" w:rsidP="00C02B5C">
            <w:pPr>
              <w:pStyle w:val="Heading2"/>
              <w:spacing w:beforeLines="20" w:before="48" w:afterLines="20" w:after="48"/>
              <w:ind w:left="0"/>
              <w:rPr>
                <w:rFonts w:ascii="Tahoma" w:hAnsi="Tahoma" w:cs="Tahoma"/>
                <w:b w:val="0"/>
                <w:sz w:val="14"/>
                <w:szCs w:val="14"/>
                <w:lang w:val="de-DE"/>
              </w:rPr>
            </w:pPr>
            <w:bookmarkStart w:id="264" w:name="_Toc363998742"/>
            <w:r w:rsidRPr="00C02B5C">
              <w:rPr>
                <w:rFonts w:ascii="Tahoma" w:hAnsi="Tahoma" w:cs="Tahoma"/>
                <w:b w:val="0"/>
                <w:sz w:val="14"/>
                <w:szCs w:val="14"/>
                <w:lang w:val="de-DE"/>
              </w:rPr>
              <w:t>Add-On für Lync Online Plan 1 (Nutzer-AL)</w:t>
            </w:r>
            <w:bookmarkEnd w:id="264"/>
          </w:p>
        </w:tc>
        <w:tc>
          <w:tcPr>
            <w:tcW w:w="450" w:type="dxa"/>
            <w:tcBorders>
              <w:bottom w:val="single" w:sz="4" w:space="0" w:color="auto"/>
            </w:tcBorders>
            <w:shd w:val="clear" w:color="auto" w:fill="auto"/>
            <w:vAlign w:val="center"/>
          </w:tcPr>
          <w:p w:rsidR="009C7B23" w:rsidRPr="00C02B5C" w:rsidRDefault="005B744B" w:rsidP="00C02B5C">
            <w:pPr>
              <w:pStyle w:val="TableText"/>
              <w:widowControl w:val="0"/>
              <w:rPr>
                <w:rFonts w:cs="Tahoma"/>
                <w:b/>
                <w:sz w:val="13"/>
                <w:szCs w:val="13"/>
              </w:rPr>
            </w:pPr>
            <w:hyperlink w:anchor="_58_Learning_Solutions" w:history="1">
              <w:r w:rsidR="00316801" w:rsidRPr="00C02B5C">
                <w:rPr>
                  <w:rStyle w:val="Hyperlink"/>
                  <w:rFonts w:cs="Tahoma"/>
                  <w:b/>
                  <w:sz w:val="13"/>
                  <w:szCs w:val="13"/>
                </w:rPr>
                <w:t>70</w:t>
              </w:r>
            </w:hyperlink>
          </w:p>
        </w:tc>
        <w:tc>
          <w:tcPr>
            <w:tcW w:w="450" w:type="dxa"/>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color w:val="000000"/>
                <w:sz w:val="13"/>
              </w:rPr>
            </w:pPr>
            <w:r w:rsidRPr="004D10F1">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65" w:name="_Toc336337995"/>
            <w:bookmarkStart w:id="266" w:name="_Toc363998743"/>
            <w:r w:rsidRPr="00C02B5C">
              <w:rPr>
                <w:rFonts w:ascii="Tahoma" w:hAnsi="Tahoma" w:cs="Tahoma"/>
                <w:b w:val="0"/>
                <w:sz w:val="14"/>
                <w:szCs w:val="14"/>
                <w:lang w:val="de-DE"/>
              </w:rPr>
              <w:t>Lync Online Plan 1 (Nutzer-AL)</w:t>
            </w:r>
            <w:bookmarkEnd w:id="265"/>
            <w:bookmarkEnd w:id="266"/>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65_63_Lync" w:history="1">
              <w:r w:rsidR="00A67771" w:rsidRPr="00C02B5C">
                <w:rPr>
                  <w:rStyle w:val="Hyperlink"/>
                  <w:rFonts w:cs="Tahoma"/>
                  <w:b/>
                  <w:sz w:val="13"/>
                  <w:szCs w:val="13"/>
                </w:rPr>
                <w:t>70</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E2E58"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67" w:name="_Toc336337996"/>
            <w:bookmarkStart w:id="268" w:name="_Toc363998744"/>
            <w:r w:rsidRPr="00C02B5C">
              <w:rPr>
                <w:rFonts w:ascii="Tahoma" w:hAnsi="Tahoma" w:cs="Tahoma"/>
                <w:b w:val="0"/>
                <w:sz w:val="14"/>
                <w:szCs w:val="14"/>
                <w:lang w:val="de-DE"/>
              </w:rPr>
              <w:t>Lync Online Plan 2 (Nutzer-AL)</w:t>
            </w:r>
            <w:bookmarkEnd w:id="267"/>
            <w:bookmarkEnd w:id="268"/>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65_63_Lync" w:history="1">
              <w:r w:rsidR="00A67771" w:rsidRPr="00C02B5C">
                <w:rPr>
                  <w:rStyle w:val="Hyperlink"/>
                  <w:rFonts w:cs="Tahoma"/>
                  <w:b/>
                  <w:sz w:val="13"/>
                  <w:szCs w:val="13"/>
                </w:rPr>
                <w:t>70</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69" w:name="_Toc336337997"/>
            <w:bookmarkStart w:id="270" w:name="_Toc363998745"/>
            <w:r w:rsidRPr="00C02B5C">
              <w:rPr>
                <w:rFonts w:ascii="Tahoma" w:hAnsi="Tahoma" w:cs="Tahoma"/>
                <w:b w:val="0"/>
                <w:sz w:val="14"/>
                <w:szCs w:val="14"/>
                <w:lang w:val="de-DE"/>
              </w:rPr>
              <w:t>Lync Online Plan 3 (Nutzer-AL)</w:t>
            </w:r>
            <w:bookmarkEnd w:id="269"/>
            <w:bookmarkEnd w:id="270"/>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65_63_Lync" w:history="1">
              <w:r w:rsidR="00A67771" w:rsidRPr="00C02B5C">
                <w:rPr>
                  <w:rStyle w:val="Hyperlink"/>
                  <w:rFonts w:cs="Tahoma"/>
                  <w:b/>
                  <w:sz w:val="13"/>
                  <w:szCs w:val="13"/>
                </w:rPr>
                <w:t>70</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E2E58"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71" w:name="_Toc336337998"/>
            <w:bookmarkStart w:id="272" w:name="_Toc363998746"/>
            <w:r w:rsidRPr="00C02B5C">
              <w:rPr>
                <w:rFonts w:ascii="Tahoma" w:hAnsi="Tahoma" w:cs="Tahoma"/>
                <w:b w:val="0"/>
                <w:sz w:val="14"/>
                <w:szCs w:val="14"/>
                <w:lang w:val="de-DE"/>
              </w:rPr>
              <w:t>Lync Online Plan 3A (Nutzer-AL)</w:t>
            </w:r>
            <w:bookmarkEnd w:id="271"/>
            <w:bookmarkEnd w:id="272"/>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65_63_Lync" w:history="1">
              <w:r w:rsidR="00A67771" w:rsidRPr="00C02B5C">
                <w:rPr>
                  <w:rStyle w:val="Hyperlink"/>
                  <w:rFonts w:cs="Tahoma"/>
                  <w:b/>
                  <w:sz w:val="13"/>
                  <w:szCs w:val="13"/>
                </w:rPr>
                <w:t>70</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 (nur EES)</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273" w:name="_Toc336337999"/>
            <w:bookmarkStart w:id="274" w:name="_Toc363998747"/>
            <w:r w:rsidRPr="00C02B5C">
              <w:rPr>
                <w:rFonts w:ascii="Tahoma" w:hAnsi="Tahoma" w:cs="Tahoma"/>
                <w:b w:val="0"/>
                <w:sz w:val="14"/>
                <w:szCs w:val="14"/>
              </w:rPr>
              <w:t xml:space="preserve">Lync Server </w:t>
            </w:r>
            <w:bookmarkEnd w:id="273"/>
            <w:r w:rsidRPr="00C02B5C">
              <w:rPr>
                <w:rFonts w:ascii="Tahoma" w:hAnsi="Tahoma" w:cs="Tahoma"/>
                <w:b w:val="0"/>
                <w:sz w:val="14"/>
                <w:szCs w:val="14"/>
              </w:rPr>
              <w:t>2013</w:t>
            </w:r>
            <w:bookmarkEnd w:id="274"/>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62_Lync_Server" w:history="1">
              <w:r w:rsidR="00316801" w:rsidRPr="00C02B5C">
                <w:rPr>
                  <w:rStyle w:val="Hyperlink"/>
                  <w:rFonts w:cs="Tahoma"/>
                  <w:b/>
                  <w:sz w:val="13"/>
                  <w:szCs w:val="13"/>
                </w:rPr>
                <w:t>71</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D10F1" w:rsidRDefault="00D050E2"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EF228F" w:rsidRPr="004D10F1" w:rsidTr="000C5B59">
        <w:trPr>
          <w:trHeight w:val="145"/>
        </w:trPr>
        <w:tc>
          <w:tcPr>
            <w:tcW w:w="2734" w:type="dxa"/>
            <w:gridSpan w:val="2"/>
            <w:tcBorders>
              <w:bottom w:val="single" w:sz="4" w:space="0" w:color="auto"/>
            </w:tcBorders>
            <w:shd w:val="clear" w:color="auto" w:fill="auto"/>
            <w:vAlign w:val="center"/>
          </w:tcPr>
          <w:p w:rsidR="001A63C6" w:rsidRPr="00C02B5C" w:rsidDel="006A2F66" w:rsidRDefault="001A63C6" w:rsidP="00C02B5C">
            <w:pPr>
              <w:pStyle w:val="Heading2"/>
              <w:spacing w:beforeLines="20" w:before="48" w:afterLines="20" w:after="48"/>
              <w:ind w:left="0"/>
              <w:rPr>
                <w:rFonts w:ascii="Tahoma" w:hAnsi="Tahoma" w:cs="Tahoma"/>
                <w:b w:val="0"/>
                <w:sz w:val="14"/>
                <w:szCs w:val="14"/>
              </w:rPr>
            </w:pPr>
            <w:bookmarkStart w:id="275" w:name="_Toc336338000"/>
            <w:bookmarkStart w:id="276" w:name="_Toc363998748"/>
            <w:r w:rsidRPr="00C02B5C">
              <w:rPr>
                <w:rFonts w:ascii="Tahoma" w:hAnsi="Tahoma" w:cs="Tahoma"/>
                <w:b w:val="0"/>
                <w:sz w:val="14"/>
                <w:szCs w:val="14"/>
              </w:rPr>
              <w:t>Enterprise-CAL für Lync Server</w:t>
            </w:r>
            <w:bookmarkEnd w:id="275"/>
            <w:r w:rsidRPr="00C02B5C">
              <w:rPr>
                <w:rFonts w:ascii="Tahoma" w:hAnsi="Tahoma" w:cs="Tahoma"/>
                <w:b w:val="0"/>
                <w:sz w:val="14"/>
                <w:szCs w:val="14"/>
              </w:rPr>
              <w:t xml:space="preserve"> 2013</w:t>
            </w:r>
            <w:bookmarkEnd w:id="276"/>
          </w:p>
        </w:tc>
        <w:tc>
          <w:tcPr>
            <w:tcW w:w="450" w:type="dxa"/>
            <w:tcBorders>
              <w:bottom w:val="single" w:sz="4" w:space="0" w:color="auto"/>
            </w:tcBorders>
            <w:shd w:val="clear" w:color="auto" w:fill="auto"/>
            <w:vAlign w:val="center"/>
          </w:tcPr>
          <w:p w:rsidR="001A63C6" w:rsidRPr="00C02B5C" w:rsidDel="006A2F66" w:rsidRDefault="001A63C6" w:rsidP="00C02B5C">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color w:val="000000"/>
                <w:sz w:val="13"/>
              </w:rPr>
            </w:pPr>
            <w:r w:rsidRPr="004D10F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D10F1" w:rsidDel="006A2F66" w:rsidRDefault="00D050E2"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AO,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Del="006A2F66" w:rsidRDefault="001A63C6" w:rsidP="00C02B5C">
            <w:pPr>
              <w:pStyle w:val="Heading2"/>
              <w:spacing w:beforeLines="20" w:before="48" w:afterLines="20" w:after="48"/>
              <w:ind w:left="0"/>
              <w:rPr>
                <w:rFonts w:ascii="Tahoma" w:hAnsi="Tahoma" w:cs="Tahoma"/>
                <w:b w:val="0"/>
                <w:sz w:val="14"/>
                <w:szCs w:val="14"/>
              </w:rPr>
            </w:pPr>
            <w:bookmarkStart w:id="277" w:name="_Toc336338002"/>
            <w:bookmarkStart w:id="278" w:name="_Toc363998749"/>
            <w:r w:rsidRPr="00C02B5C">
              <w:rPr>
                <w:rFonts w:ascii="Tahoma" w:hAnsi="Tahoma" w:cs="Tahoma"/>
                <w:b w:val="0"/>
                <w:sz w:val="14"/>
                <w:szCs w:val="14"/>
              </w:rPr>
              <w:t>CAL für Lync Server Plus</w:t>
            </w:r>
            <w:bookmarkEnd w:id="277"/>
            <w:r w:rsidRPr="00C02B5C">
              <w:rPr>
                <w:rFonts w:ascii="Tahoma" w:hAnsi="Tahoma" w:cs="Tahoma"/>
                <w:b w:val="0"/>
                <w:sz w:val="14"/>
                <w:szCs w:val="14"/>
              </w:rPr>
              <w:t xml:space="preserve"> 2013</w:t>
            </w:r>
            <w:bookmarkEnd w:id="278"/>
          </w:p>
        </w:tc>
        <w:tc>
          <w:tcPr>
            <w:tcW w:w="450" w:type="dxa"/>
            <w:tcBorders>
              <w:bottom w:val="single" w:sz="4" w:space="0" w:color="auto"/>
            </w:tcBorders>
            <w:shd w:val="clear" w:color="auto" w:fill="FABF8F"/>
            <w:vAlign w:val="center"/>
          </w:tcPr>
          <w:p w:rsidR="001A63C6" w:rsidRPr="00C02B5C" w:rsidDel="006A2F66" w:rsidRDefault="001A63C6" w:rsidP="00C02B5C">
            <w:pPr>
              <w:pStyle w:val="TableText"/>
              <w:widowControl w:val="0"/>
              <w:rPr>
                <w:rFonts w:cs="Tahoma"/>
                <w:b/>
                <w:color w:val="0000FF"/>
                <w:sz w:val="13"/>
                <w:szCs w:val="13"/>
                <w:u w:val="single"/>
              </w:rPr>
            </w:pPr>
            <w:bookmarkStart w:id="279" w:name="_Hlt335908886"/>
          </w:p>
        </w:tc>
        <w:bookmarkEnd w:id="279"/>
        <w:tc>
          <w:tcPr>
            <w:tcW w:w="450" w:type="dxa"/>
            <w:tcBorders>
              <w:bottom w:val="single" w:sz="4"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color w:val="000000"/>
                <w:sz w:val="13"/>
              </w:rPr>
            </w:pPr>
            <w:r w:rsidRPr="004D10F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D10F1" w:rsidDel="006A2F66" w:rsidRDefault="00D050E2"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EF228F" w:rsidRPr="004D10F1" w:rsidTr="000C5B59">
        <w:trPr>
          <w:trHeight w:val="145"/>
        </w:trPr>
        <w:tc>
          <w:tcPr>
            <w:tcW w:w="2734" w:type="dxa"/>
            <w:gridSpan w:val="2"/>
            <w:tcBorders>
              <w:bottom w:val="single" w:sz="4" w:space="0" w:color="auto"/>
            </w:tcBorders>
            <w:shd w:val="clear" w:color="auto" w:fill="auto"/>
            <w:vAlign w:val="center"/>
          </w:tcPr>
          <w:p w:rsidR="001A63C6" w:rsidRPr="00C02B5C" w:rsidDel="006A2F66" w:rsidRDefault="001A63C6" w:rsidP="00C02B5C">
            <w:pPr>
              <w:pStyle w:val="Heading2"/>
              <w:spacing w:beforeLines="20" w:before="48" w:afterLines="20" w:after="48"/>
              <w:ind w:left="0"/>
              <w:rPr>
                <w:rFonts w:ascii="Tahoma" w:hAnsi="Tahoma" w:cs="Tahoma"/>
                <w:b w:val="0"/>
                <w:sz w:val="14"/>
                <w:szCs w:val="14"/>
              </w:rPr>
            </w:pPr>
            <w:bookmarkStart w:id="280" w:name="_Toc336338005"/>
            <w:bookmarkStart w:id="281" w:name="_Toc363998750"/>
            <w:r w:rsidRPr="00C02B5C">
              <w:rPr>
                <w:rFonts w:ascii="Tahoma" w:hAnsi="Tahoma" w:cs="Tahoma"/>
                <w:b w:val="0"/>
                <w:sz w:val="14"/>
                <w:szCs w:val="14"/>
              </w:rPr>
              <w:t>Standard-CAL für Lync Server</w:t>
            </w:r>
            <w:bookmarkEnd w:id="280"/>
            <w:r w:rsidRPr="00C02B5C">
              <w:rPr>
                <w:rFonts w:ascii="Tahoma" w:hAnsi="Tahoma" w:cs="Tahoma"/>
                <w:b w:val="0"/>
                <w:sz w:val="14"/>
                <w:szCs w:val="14"/>
              </w:rPr>
              <w:t xml:space="preserve"> 2013</w:t>
            </w:r>
            <w:bookmarkEnd w:id="281"/>
          </w:p>
        </w:tc>
        <w:tc>
          <w:tcPr>
            <w:tcW w:w="450" w:type="dxa"/>
            <w:tcBorders>
              <w:bottom w:val="single" w:sz="4" w:space="0" w:color="auto"/>
            </w:tcBorders>
            <w:shd w:val="clear" w:color="auto" w:fill="auto"/>
            <w:vAlign w:val="center"/>
          </w:tcPr>
          <w:p w:rsidR="001A63C6" w:rsidRPr="00C02B5C" w:rsidDel="006A2F66" w:rsidRDefault="001A63C6" w:rsidP="00C02B5C">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color w:val="000000"/>
                <w:sz w:val="13"/>
              </w:rPr>
            </w:pPr>
            <w:r w:rsidRPr="004D10F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D10F1" w:rsidDel="006A2F66" w:rsidRDefault="00D050E2"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Del="006A2F66"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70"/>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82" w:name="_Toc336338007"/>
            <w:bookmarkStart w:id="283" w:name="_Toc363998751"/>
            <w:r w:rsidRPr="00C02B5C">
              <w:rPr>
                <w:rFonts w:ascii="Tahoma" w:hAnsi="Tahoma" w:cs="Tahoma"/>
                <w:b w:val="0"/>
                <w:sz w:val="14"/>
                <w:szCs w:val="14"/>
                <w:lang w:val="de-DE"/>
              </w:rPr>
              <w:t>Zusätzliche CAL für Microsoft Dynamics AX 2012 R2 Enterprise (Nutzer &amp; Gerät)</w:t>
            </w:r>
            <w:bookmarkEnd w:id="282"/>
            <w:bookmarkEnd w:id="283"/>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72_Microsoft_Dynamics" w:history="1">
              <w:r w:rsidR="00316801" w:rsidRPr="00C02B5C">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E2E58"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84" w:name="_Toc336338008"/>
            <w:bookmarkStart w:id="285" w:name="_Toc363998752"/>
            <w:r w:rsidRPr="00C02B5C">
              <w:rPr>
                <w:rFonts w:ascii="Tahoma" w:hAnsi="Tahoma" w:cs="Tahoma"/>
                <w:b w:val="0"/>
                <w:sz w:val="14"/>
                <w:szCs w:val="14"/>
                <w:lang w:val="de-DE"/>
              </w:rPr>
              <w:t>CAL für Microsoft Dynamics AX 2012 R2 Enterprise (Nutzer &amp; Gerät)</w:t>
            </w:r>
            <w:bookmarkEnd w:id="284"/>
            <w:bookmarkEnd w:id="285"/>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72_Microsoft_Dynamics" w:history="1">
              <w:r w:rsidR="00A67771" w:rsidRPr="00C02B5C">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86" w:name="_Toc336338009"/>
            <w:bookmarkStart w:id="287" w:name="_Toc363998753"/>
            <w:r w:rsidRPr="00C02B5C">
              <w:rPr>
                <w:rFonts w:ascii="Tahoma" w:hAnsi="Tahoma" w:cs="Tahoma"/>
                <w:b w:val="0"/>
                <w:sz w:val="14"/>
                <w:szCs w:val="14"/>
                <w:lang w:val="de-DE"/>
              </w:rPr>
              <w:t>Zusätzliche Funktions-CAL für Microsoft Dynamics AX 2012 R2 (Nutzer &amp; Gerät)</w:t>
            </w:r>
            <w:bookmarkEnd w:id="286"/>
            <w:bookmarkEnd w:id="287"/>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72_Microsoft_Dynamics" w:history="1">
              <w:r w:rsidR="00A67771" w:rsidRPr="00C02B5C">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E2E58"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88" w:name="_Toc336338010"/>
            <w:bookmarkStart w:id="289" w:name="_Toc363998754"/>
            <w:r w:rsidRPr="00C02B5C">
              <w:rPr>
                <w:rFonts w:ascii="Tahoma" w:hAnsi="Tahoma" w:cs="Tahoma"/>
                <w:b w:val="0"/>
                <w:sz w:val="14"/>
                <w:szCs w:val="14"/>
                <w:lang w:val="de-DE"/>
              </w:rPr>
              <w:t>Funktions-CAL für Microsoft Dynamics AX 2012 R2 (Nutzer &amp; Gerät)</w:t>
            </w:r>
            <w:bookmarkEnd w:id="288"/>
            <w:bookmarkEnd w:id="289"/>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70_Microsoft_Dynamics" w:history="1">
              <w:r w:rsidR="00316801" w:rsidRPr="00C02B5C">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233"/>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90" w:name="_Toc336338011"/>
            <w:bookmarkStart w:id="291" w:name="_Toc363998755"/>
            <w:r w:rsidRPr="00C02B5C">
              <w:rPr>
                <w:rFonts w:ascii="Tahoma" w:hAnsi="Tahoma" w:cs="Tahoma"/>
                <w:b w:val="0"/>
                <w:sz w:val="14"/>
                <w:szCs w:val="14"/>
                <w:lang w:val="de-DE"/>
              </w:rPr>
              <w:t>CAL für Microsoft Dynamics AX 2012 R2 Self-Service (Nutzer &amp; Gerät)</w:t>
            </w:r>
            <w:bookmarkEnd w:id="290"/>
            <w:bookmarkEnd w:id="291"/>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72_Microsoft_Dynamics" w:history="1">
              <w:r w:rsidR="00A67771" w:rsidRPr="00C02B5C">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E2E58" w:rsidRPr="004D10F1" w:rsidTr="000C5B59">
        <w:trPr>
          <w:trHeight w:val="242"/>
        </w:trPr>
        <w:tc>
          <w:tcPr>
            <w:tcW w:w="2734" w:type="dxa"/>
            <w:gridSpan w:val="2"/>
            <w:tcBorders>
              <w:bottom w:val="single" w:sz="4" w:space="0" w:color="auto"/>
            </w:tcBorders>
            <w:shd w:val="clear" w:color="auto" w:fill="auto"/>
            <w:vAlign w:val="center"/>
          </w:tcPr>
          <w:p w:rsidR="001A63C6" w:rsidRPr="008849B7" w:rsidRDefault="001A63C6" w:rsidP="00C02B5C">
            <w:pPr>
              <w:pStyle w:val="Heading2"/>
              <w:spacing w:beforeLines="20" w:before="48" w:afterLines="20" w:after="48"/>
              <w:ind w:left="0"/>
              <w:rPr>
                <w:rFonts w:ascii="Tahoma" w:hAnsi="Tahoma" w:cs="Tahoma"/>
                <w:b w:val="0"/>
                <w:sz w:val="14"/>
                <w:szCs w:val="14"/>
                <w:lang w:val="pt-BR"/>
              </w:rPr>
            </w:pPr>
            <w:bookmarkStart w:id="292" w:name="_Toc336338012"/>
            <w:bookmarkStart w:id="293" w:name="_Toc363998756"/>
            <w:r w:rsidRPr="008849B7">
              <w:rPr>
                <w:rFonts w:ascii="Tahoma" w:hAnsi="Tahoma" w:cs="Tahoma"/>
                <w:b w:val="0"/>
                <w:sz w:val="14"/>
                <w:szCs w:val="14"/>
                <w:lang w:val="pt-BR"/>
              </w:rPr>
              <w:t>Microsoft Dynamics AX 2012 R2 Server</w:t>
            </w:r>
            <w:bookmarkEnd w:id="292"/>
            <w:bookmarkEnd w:id="293"/>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72_Microsoft_Dynamics" w:history="1">
              <w:r w:rsidR="00A67771" w:rsidRPr="00C02B5C">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278"/>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94" w:name="_Toc336338013"/>
            <w:bookmarkStart w:id="295" w:name="_Toc363998757"/>
            <w:r w:rsidRPr="00C02B5C">
              <w:rPr>
                <w:rFonts w:ascii="Tahoma" w:hAnsi="Tahoma" w:cs="Tahoma"/>
                <w:b w:val="0"/>
                <w:sz w:val="14"/>
                <w:szCs w:val="14"/>
                <w:lang w:val="de-DE"/>
              </w:rPr>
              <w:t>Zusätzliche Aufgaben-CAL für Microsoft Dynamics AX 2012 R2 (Nutzer &amp; Gerät)</w:t>
            </w:r>
            <w:bookmarkEnd w:id="294"/>
            <w:bookmarkEnd w:id="295"/>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72_Microsoft_Dynamics" w:history="1">
              <w:r w:rsidR="00A67771" w:rsidRPr="00C02B5C">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E2E58"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96" w:name="_Toc336338014"/>
            <w:bookmarkStart w:id="297" w:name="_Toc363998758"/>
            <w:r w:rsidRPr="00C02B5C">
              <w:rPr>
                <w:rFonts w:ascii="Tahoma" w:hAnsi="Tahoma" w:cs="Tahoma"/>
                <w:b w:val="0"/>
                <w:sz w:val="14"/>
                <w:szCs w:val="14"/>
                <w:lang w:val="de-DE"/>
              </w:rPr>
              <w:t>Aufgaben-CAL für Microsoft Dynamics AX 2012 R2 (Nutzer &amp; Gerät)</w:t>
            </w:r>
            <w:bookmarkEnd w:id="296"/>
            <w:bookmarkEnd w:id="297"/>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72_Microsoft_Dynamics" w:history="1">
              <w:r w:rsidR="00A67771" w:rsidRPr="00C02B5C">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298" w:name="_Toc336338015"/>
            <w:bookmarkStart w:id="299" w:name="_Toc363998759"/>
            <w:r w:rsidRPr="00C02B5C">
              <w:rPr>
                <w:rFonts w:ascii="Tahoma" w:hAnsi="Tahoma" w:cs="Tahoma"/>
                <w:b w:val="0"/>
                <w:sz w:val="14"/>
                <w:szCs w:val="14"/>
                <w:lang w:val="de-DE"/>
              </w:rPr>
              <w:t>CAL für Microsoft Dynamics CRM 2011 (Nutzer &amp; Gerät)</w:t>
            </w:r>
            <w:bookmarkEnd w:id="298"/>
            <w:bookmarkEnd w:id="299"/>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70_Microsoft_Dynamics" w:history="1">
              <w:r w:rsidR="00A67771" w:rsidRPr="00C02B5C">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BE2E58"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300" w:name="_Toc336338016"/>
            <w:bookmarkStart w:id="301" w:name="_Toc363998760"/>
            <w:r w:rsidRPr="00C02B5C">
              <w:rPr>
                <w:rFonts w:ascii="Tahoma" w:hAnsi="Tahoma" w:cs="Tahoma"/>
                <w:b w:val="0"/>
                <w:sz w:val="14"/>
                <w:szCs w:val="14"/>
              </w:rPr>
              <w:t>CAL für Microsoft Dynamics CRM 2011 Employee Self Service (Nutzer &amp; Gerät)</w:t>
            </w:r>
            <w:bookmarkEnd w:id="300"/>
            <w:bookmarkEnd w:id="301"/>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70_Microsoft_Dynamics" w:history="1">
              <w:r w:rsidR="00605070" w:rsidRPr="00C02B5C">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302" w:name="_Toc336338017"/>
            <w:bookmarkStart w:id="303" w:name="_Toc363998761"/>
            <w:r w:rsidRPr="00C02B5C">
              <w:rPr>
                <w:rFonts w:ascii="Tahoma" w:hAnsi="Tahoma" w:cs="Tahoma"/>
                <w:b w:val="0"/>
                <w:sz w:val="14"/>
                <w:szCs w:val="14"/>
              </w:rPr>
              <w:t>Externer Connector für Microsoft Dynamics CRM 2011</w:t>
            </w:r>
            <w:bookmarkEnd w:id="302"/>
            <w:bookmarkEnd w:id="303"/>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70_Microsoft_Dynamics" w:history="1">
              <w:r w:rsidR="00605070" w:rsidRPr="00C02B5C">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304" w:name="_Toc336338018"/>
            <w:bookmarkStart w:id="305" w:name="_Toc363998762"/>
            <w:r w:rsidRPr="00C02B5C">
              <w:rPr>
                <w:rFonts w:ascii="Tahoma" w:hAnsi="Tahoma" w:cs="Tahoma"/>
                <w:b w:val="0"/>
                <w:sz w:val="14"/>
                <w:szCs w:val="14"/>
                <w:lang w:val="de-DE"/>
              </w:rPr>
              <w:t>Zusätzliche CAL zur vollständigen Verwendung von Microsoft Dynamics CRM 2011 (Nutzer &amp; Gerät)</w:t>
            </w:r>
            <w:bookmarkEnd w:id="304"/>
            <w:bookmarkEnd w:id="305"/>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70_Microsoft_Dynamics" w:history="1">
              <w:r w:rsidR="00605070" w:rsidRPr="00C02B5C">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306" w:name="_Toc336338019"/>
            <w:bookmarkStart w:id="307" w:name="_Toc363998763"/>
            <w:r w:rsidRPr="00C02B5C">
              <w:rPr>
                <w:rFonts w:ascii="Tahoma" w:hAnsi="Tahoma" w:cs="Tahoma"/>
                <w:b w:val="0"/>
                <w:sz w:val="14"/>
                <w:szCs w:val="14"/>
                <w:lang w:val="de-DE"/>
              </w:rPr>
              <w:t>CAL zur Eingeschränkten Verwendung von Microsoft Dynamics CRM 2011 (Nutzer &amp; Gerät)</w:t>
            </w:r>
            <w:bookmarkEnd w:id="306"/>
            <w:bookmarkEnd w:id="307"/>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70_Microsoft_Dynamics" w:history="1">
              <w:r w:rsidR="00605070" w:rsidRPr="00C02B5C">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B33D0E" w:rsidRPr="004D10F1" w:rsidTr="000C5B59">
        <w:trPr>
          <w:cantSplit/>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308" w:name="_Toc336338020"/>
            <w:bookmarkStart w:id="309" w:name="_Toc363998764"/>
            <w:r w:rsidRPr="00C02B5C">
              <w:rPr>
                <w:rFonts w:ascii="Tahoma" w:hAnsi="Tahoma" w:cs="Tahoma"/>
                <w:b w:val="0"/>
                <w:sz w:val="14"/>
                <w:szCs w:val="14"/>
                <w:lang w:val="de-DE"/>
              </w:rPr>
              <w:t>Zusätzliche CAL zur Eingeschränkten Verwendung von Microsoft Dynamics CRM 2011 (Nutzer &amp; Gerät)</w:t>
            </w:r>
            <w:bookmarkEnd w:id="308"/>
            <w:bookmarkEnd w:id="309"/>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70_Microsoft_Dynamics" w:history="1">
              <w:r w:rsidR="00605070" w:rsidRPr="00C02B5C">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310" w:name="_Toc336338021"/>
            <w:bookmarkStart w:id="311" w:name="_Toc363998765"/>
            <w:r w:rsidRPr="00C02B5C">
              <w:rPr>
                <w:rFonts w:ascii="Tahoma" w:hAnsi="Tahoma" w:cs="Tahoma"/>
                <w:b w:val="0"/>
                <w:sz w:val="14"/>
                <w:szCs w:val="14"/>
              </w:rPr>
              <w:t>Microsoft Dynamics CRM Server 2011</w:t>
            </w:r>
            <w:bookmarkEnd w:id="310"/>
            <w:bookmarkEnd w:id="311"/>
            <w:r w:rsidRPr="00C02B5C">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66_Microsoft_Dynamics" w:history="1">
              <w:hyperlink w:anchor="_71_Microsoft_Dynamics" w:history="1">
                <w:r w:rsidR="00316801" w:rsidRPr="00A67771">
                  <w:rPr>
                    <w:rStyle w:val="Hyperlink"/>
                    <w:rFonts w:cs="Tahoma"/>
                    <w:b/>
                    <w:sz w:val="13"/>
                    <w:szCs w:val="13"/>
                  </w:rPr>
                  <w:t>7</w:t>
                </w:r>
              </w:hyperlink>
              <w:r w:rsidR="00316801" w:rsidRPr="00A67771">
                <w:rPr>
                  <w:rStyle w:val="Hyperlink"/>
                  <w:rFonts w:cs="Tahoma"/>
                  <w:b/>
                  <w:sz w:val="13"/>
                  <w:szCs w:val="13"/>
                </w:rPr>
                <w:t>4</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312" w:name="_Toc336338022"/>
            <w:bookmarkStart w:id="313" w:name="_Toc363998766"/>
            <w:r w:rsidRPr="00C02B5C">
              <w:rPr>
                <w:rFonts w:ascii="Tahoma" w:hAnsi="Tahoma" w:cs="Tahoma"/>
                <w:b w:val="0"/>
                <w:sz w:val="14"/>
                <w:szCs w:val="14"/>
              </w:rPr>
              <w:t>Microsoft Dynamics CRM Workgroup Server 2011</w:t>
            </w:r>
            <w:bookmarkEnd w:id="312"/>
            <w:bookmarkEnd w:id="313"/>
            <w:r w:rsidRPr="00C02B5C">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66_Microsoft_Dynamics" w:history="1">
              <w:hyperlink w:anchor="_71_Microsoft_Dynamics" w:history="1">
                <w:r w:rsidR="00605070" w:rsidRPr="00A67771">
                  <w:rPr>
                    <w:rStyle w:val="Hyperlink"/>
                    <w:rFonts w:cs="Tahoma"/>
                    <w:b/>
                    <w:sz w:val="13"/>
                    <w:szCs w:val="13"/>
                  </w:rPr>
                  <w:t>7</w:t>
                </w:r>
              </w:hyperlink>
              <w:r w:rsidR="00605070" w:rsidRPr="00A67771">
                <w:rPr>
                  <w:rStyle w:val="Hyperlink"/>
                  <w:rFonts w:cs="Tahoma"/>
                  <w:b/>
                  <w:sz w:val="13"/>
                  <w:szCs w:val="13"/>
                </w:rPr>
                <w:t>4</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60</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6B1A76" w:rsidRPr="004D10F1" w:rsidTr="000C5B59">
        <w:trPr>
          <w:trHeight w:val="145"/>
        </w:trPr>
        <w:tc>
          <w:tcPr>
            <w:tcW w:w="2734" w:type="dxa"/>
            <w:gridSpan w:val="2"/>
            <w:tcBorders>
              <w:bottom w:val="single" w:sz="4" w:space="0" w:color="auto"/>
            </w:tcBorders>
            <w:shd w:val="clear" w:color="auto" w:fill="FABF8F"/>
            <w:vAlign w:val="center"/>
          </w:tcPr>
          <w:p w:rsidR="006B1A76" w:rsidRPr="00C02B5C" w:rsidRDefault="006B1A76" w:rsidP="00C02B5C">
            <w:pPr>
              <w:pStyle w:val="ProductNames"/>
              <w:spacing w:beforeLines="20" w:before="48" w:afterLines="20" w:after="48"/>
              <w:rPr>
                <w:rFonts w:ascii="Tahoma" w:hAnsi="Tahoma" w:cs="Tahoma"/>
                <w:sz w:val="14"/>
                <w:szCs w:val="14"/>
              </w:rPr>
            </w:pPr>
            <w:bookmarkStart w:id="314" w:name="_Toc363998767"/>
            <w:r w:rsidRPr="00C02B5C">
              <w:rPr>
                <w:rFonts w:ascii="Tahoma" w:hAnsi="Tahoma" w:cs="Tahoma"/>
                <w:sz w:val="14"/>
                <w:szCs w:val="14"/>
              </w:rPr>
              <w:t>Microsoft Learning E-Reference Library (Nutzer-AL)</w:t>
            </w:r>
            <w:bookmarkEnd w:id="314"/>
          </w:p>
        </w:tc>
        <w:tc>
          <w:tcPr>
            <w:tcW w:w="450" w:type="dxa"/>
            <w:tcBorders>
              <w:bottom w:val="single" w:sz="4" w:space="0" w:color="auto"/>
            </w:tcBorders>
            <w:shd w:val="clear" w:color="auto" w:fill="FABF8F"/>
            <w:vAlign w:val="center"/>
          </w:tcPr>
          <w:p w:rsidR="006B1A76" w:rsidRPr="00C02B5C" w:rsidRDefault="006B1A76" w:rsidP="00C02B5C">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r>
      <w:tr w:rsidR="006B1A76" w:rsidRPr="004D10F1" w:rsidTr="000C5B59">
        <w:trPr>
          <w:trHeight w:val="145"/>
        </w:trPr>
        <w:tc>
          <w:tcPr>
            <w:tcW w:w="2734" w:type="dxa"/>
            <w:gridSpan w:val="2"/>
            <w:tcBorders>
              <w:bottom w:val="single" w:sz="4" w:space="0" w:color="auto"/>
            </w:tcBorders>
            <w:shd w:val="clear" w:color="auto" w:fill="auto"/>
            <w:vAlign w:val="center"/>
          </w:tcPr>
          <w:p w:rsidR="006B1A76" w:rsidRPr="00C02B5C" w:rsidRDefault="006B1A76" w:rsidP="00C02B5C">
            <w:pPr>
              <w:pStyle w:val="ProductNames"/>
              <w:spacing w:beforeLines="20" w:before="48" w:afterLines="20" w:after="48"/>
              <w:rPr>
                <w:rFonts w:ascii="Tahoma" w:hAnsi="Tahoma" w:cs="Tahoma"/>
                <w:sz w:val="14"/>
                <w:szCs w:val="14"/>
              </w:rPr>
            </w:pPr>
            <w:bookmarkStart w:id="315" w:name="_Toc363998768"/>
            <w:r w:rsidRPr="00C02B5C">
              <w:rPr>
                <w:rFonts w:ascii="Tahoma" w:hAnsi="Tahoma" w:cs="Tahoma"/>
                <w:sz w:val="14"/>
                <w:szCs w:val="14"/>
              </w:rPr>
              <w:t xml:space="preserve">Microsoft Learning IT Academy </w:t>
            </w:r>
            <w:r w:rsidR="00C02B5C">
              <w:rPr>
                <w:rFonts w:ascii="Tahoma" w:hAnsi="Tahoma" w:cs="Tahoma"/>
                <w:sz w:val="14"/>
                <w:szCs w:val="14"/>
              </w:rPr>
              <w:br/>
            </w:r>
            <w:r w:rsidRPr="00C02B5C">
              <w:rPr>
                <w:rFonts w:ascii="Tahoma" w:hAnsi="Tahoma" w:cs="Tahoma"/>
                <w:sz w:val="14"/>
                <w:szCs w:val="14"/>
              </w:rPr>
              <w:t>(Dienste-AL)</w:t>
            </w:r>
            <w:bookmarkEnd w:id="315"/>
          </w:p>
        </w:tc>
        <w:tc>
          <w:tcPr>
            <w:tcW w:w="450" w:type="dxa"/>
            <w:tcBorders>
              <w:bottom w:val="single" w:sz="4" w:space="0" w:color="auto"/>
            </w:tcBorders>
            <w:shd w:val="clear" w:color="auto" w:fill="auto"/>
            <w:vAlign w:val="center"/>
          </w:tcPr>
          <w:p w:rsidR="006B1A76" w:rsidRPr="00C02B5C" w:rsidRDefault="006B1A76" w:rsidP="00C02B5C">
            <w:pPr>
              <w:pStyle w:val="TableText"/>
              <w:widowControl w:val="0"/>
              <w:rPr>
                <w:rFonts w:cs="Tahoma"/>
                <w:b/>
                <w:color w:val="000000"/>
                <w:sz w:val="13"/>
                <w:szCs w:val="13"/>
                <w:u w:val="single"/>
              </w:rPr>
            </w:pPr>
          </w:p>
        </w:tc>
        <w:tc>
          <w:tcPr>
            <w:tcW w:w="450" w:type="dxa"/>
            <w:tcBorders>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OL</w:t>
            </w:r>
          </w:p>
        </w:tc>
      </w:tr>
      <w:tr w:rsidR="006B1A76" w:rsidRPr="004D10F1" w:rsidTr="000C5B59">
        <w:trPr>
          <w:trHeight w:val="145"/>
        </w:trPr>
        <w:tc>
          <w:tcPr>
            <w:tcW w:w="2734" w:type="dxa"/>
            <w:gridSpan w:val="2"/>
            <w:tcBorders>
              <w:bottom w:val="single" w:sz="4" w:space="0" w:color="auto"/>
            </w:tcBorders>
            <w:shd w:val="clear" w:color="auto" w:fill="FABF8F"/>
            <w:vAlign w:val="center"/>
          </w:tcPr>
          <w:p w:rsidR="006B1A76" w:rsidRPr="00C02B5C" w:rsidRDefault="006B1A76" w:rsidP="00C02B5C">
            <w:pPr>
              <w:pStyle w:val="ProductNames"/>
              <w:spacing w:beforeLines="20" w:before="48" w:afterLines="20" w:after="48"/>
              <w:rPr>
                <w:rFonts w:ascii="Tahoma" w:hAnsi="Tahoma" w:cs="Tahoma"/>
                <w:sz w:val="14"/>
                <w:szCs w:val="14"/>
                <w:lang w:val="de-DE"/>
              </w:rPr>
            </w:pPr>
            <w:bookmarkStart w:id="316" w:name="_Toc363998769"/>
            <w:r w:rsidRPr="00C02B5C">
              <w:rPr>
                <w:rFonts w:ascii="Tahoma" w:hAnsi="Tahoma" w:cs="Tahoma"/>
                <w:sz w:val="14"/>
                <w:szCs w:val="14"/>
                <w:lang w:val="de-DE"/>
              </w:rPr>
              <w:t>Microsoft Learning MCP 1 Prüfungsgutscheine (Dienste-AL)</w:t>
            </w:r>
            <w:bookmarkEnd w:id="316"/>
          </w:p>
        </w:tc>
        <w:tc>
          <w:tcPr>
            <w:tcW w:w="450" w:type="dxa"/>
            <w:tcBorders>
              <w:bottom w:val="single" w:sz="4" w:space="0" w:color="auto"/>
            </w:tcBorders>
            <w:shd w:val="clear" w:color="auto" w:fill="FABF8F"/>
            <w:vAlign w:val="center"/>
          </w:tcPr>
          <w:p w:rsidR="006B1A76" w:rsidRPr="00C02B5C" w:rsidRDefault="005B744B" w:rsidP="00C02B5C">
            <w:pPr>
              <w:pStyle w:val="TableText"/>
              <w:widowControl w:val="0"/>
              <w:rPr>
                <w:rStyle w:val="EndnoteReference"/>
                <w:rFonts w:cs="Tahoma"/>
                <w:b w:val="0"/>
                <w:color w:val="000000"/>
                <w:sz w:val="13"/>
                <w:szCs w:val="13"/>
                <w:u w:val="single"/>
              </w:rPr>
            </w:pPr>
            <w:hyperlink w:anchor="_75_Microsoft_Learning" w:history="1">
              <w:r w:rsidR="006B1A76" w:rsidRPr="00A67771">
                <w:rPr>
                  <w:rStyle w:val="Hyperlink"/>
                  <w:rFonts w:cs="Tahoma"/>
                  <w:b/>
                  <w:sz w:val="13"/>
                  <w:szCs w:val="13"/>
                </w:rPr>
                <w:t>75</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1 Punkt</w:t>
            </w:r>
          </w:p>
        </w:tc>
        <w:tc>
          <w:tcPr>
            <w:tcW w:w="450" w:type="dxa"/>
            <w:tcBorders>
              <w:left w:val="single" w:sz="18" w:space="0" w:color="auto"/>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r>
      <w:tr w:rsidR="006B1A76" w:rsidRPr="004D10F1" w:rsidTr="000C5B59">
        <w:trPr>
          <w:trHeight w:val="145"/>
        </w:trPr>
        <w:tc>
          <w:tcPr>
            <w:tcW w:w="2734" w:type="dxa"/>
            <w:gridSpan w:val="2"/>
            <w:tcBorders>
              <w:bottom w:val="single" w:sz="4" w:space="0" w:color="auto"/>
            </w:tcBorders>
            <w:shd w:val="clear" w:color="auto" w:fill="auto"/>
            <w:vAlign w:val="center"/>
          </w:tcPr>
          <w:p w:rsidR="006B1A76" w:rsidRPr="00C02B5C" w:rsidRDefault="006B1A76" w:rsidP="00C02B5C">
            <w:pPr>
              <w:pStyle w:val="ProductNames"/>
              <w:spacing w:beforeLines="20" w:before="48" w:afterLines="20" w:after="48"/>
              <w:rPr>
                <w:rFonts w:ascii="Tahoma" w:hAnsi="Tahoma" w:cs="Tahoma"/>
                <w:sz w:val="14"/>
                <w:szCs w:val="14"/>
                <w:lang w:val="de-DE"/>
              </w:rPr>
            </w:pPr>
            <w:bookmarkStart w:id="317" w:name="_Toc363998770"/>
            <w:r w:rsidRPr="00C02B5C">
              <w:rPr>
                <w:rFonts w:ascii="Tahoma" w:hAnsi="Tahoma" w:cs="Tahoma"/>
                <w:sz w:val="14"/>
                <w:szCs w:val="14"/>
                <w:lang w:val="de-DE"/>
              </w:rPr>
              <w:t>Microsoft Learning MCP 30 Prüfungsgutscheine (Nutzer-AL)</w:t>
            </w:r>
            <w:bookmarkEnd w:id="317"/>
          </w:p>
        </w:tc>
        <w:tc>
          <w:tcPr>
            <w:tcW w:w="450" w:type="dxa"/>
            <w:tcBorders>
              <w:bottom w:val="single" w:sz="4" w:space="0" w:color="auto"/>
            </w:tcBorders>
            <w:shd w:val="clear" w:color="auto" w:fill="auto"/>
            <w:vAlign w:val="center"/>
          </w:tcPr>
          <w:p w:rsidR="006B1A76" w:rsidRPr="00C02B5C" w:rsidRDefault="006B1A76" w:rsidP="00C02B5C">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75 Punkte</w:t>
            </w:r>
          </w:p>
        </w:tc>
        <w:tc>
          <w:tcPr>
            <w:tcW w:w="450" w:type="dxa"/>
            <w:tcBorders>
              <w:left w:val="single" w:sz="18" w:space="0" w:color="auto"/>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OL</w:t>
            </w:r>
          </w:p>
        </w:tc>
      </w:tr>
      <w:tr w:rsidR="006B1A76" w:rsidRPr="004D10F1" w:rsidTr="000C5B59">
        <w:trPr>
          <w:trHeight w:val="145"/>
        </w:trPr>
        <w:tc>
          <w:tcPr>
            <w:tcW w:w="2734" w:type="dxa"/>
            <w:gridSpan w:val="2"/>
            <w:tcBorders>
              <w:bottom w:val="single" w:sz="4" w:space="0" w:color="auto"/>
            </w:tcBorders>
            <w:shd w:val="clear" w:color="auto" w:fill="FABF8F"/>
            <w:vAlign w:val="center"/>
          </w:tcPr>
          <w:p w:rsidR="006B1A76" w:rsidRPr="00C02B5C" w:rsidRDefault="006B1A76" w:rsidP="00C02B5C">
            <w:pPr>
              <w:pStyle w:val="ProductNames"/>
              <w:spacing w:beforeLines="20" w:before="48" w:afterLines="20" w:after="48"/>
              <w:rPr>
                <w:rFonts w:ascii="Tahoma" w:hAnsi="Tahoma" w:cs="Tahoma"/>
                <w:sz w:val="14"/>
                <w:szCs w:val="14"/>
              </w:rPr>
            </w:pPr>
            <w:bookmarkStart w:id="318" w:name="_Toc363998771"/>
            <w:r w:rsidRPr="00C02B5C">
              <w:rPr>
                <w:rFonts w:ascii="Tahoma" w:hAnsi="Tahoma" w:cs="Tahoma"/>
                <w:sz w:val="14"/>
                <w:szCs w:val="14"/>
              </w:rPr>
              <w:t>Microsoft Learning MOS 500 Exam Site License (Dienste-AL)</w:t>
            </w:r>
            <w:bookmarkEnd w:id="318"/>
          </w:p>
        </w:tc>
        <w:tc>
          <w:tcPr>
            <w:tcW w:w="450" w:type="dxa"/>
            <w:tcBorders>
              <w:bottom w:val="single" w:sz="4" w:space="0" w:color="auto"/>
            </w:tcBorders>
            <w:shd w:val="clear" w:color="auto" w:fill="FABF8F"/>
            <w:vAlign w:val="center"/>
          </w:tcPr>
          <w:p w:rsidR="006B1A76" w:rsidRPr="00C02B5C" w:rsidRDefault="006B1A76" w:rsidP="00C02B5C">
            <w:pPr>
              <w:pStyle w:val="TableText"/>
              <w:widowControl w:val="0"/>
              <w:rPr>
                <w:rFonts w:cs="Tahoma"/>
                <w:b/>
                <w:sz w:val="13"/>
                <w:szCs w:val="13"/>
              </w:rPr>
            </w:pPr>
          </w:p>
        </w:tc>
        <w:tc>
          <w:tcPr>
            <w:tcW w:w="450" w:type="dxa"/>
            <w:tcBorders>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125 Punkte</w:t>
            </w:r>
          </w:p>
        </w:tc>
        <w:tc>
          <w:tcPr>
            <w:tcW w:w="450" w:type="dxa"/>
            <w:tcBorders>
              <w:left w:val="single" w:sz="18" w:space="0" w:color="auto"/>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6B1A76" w:rsidRPr="004D10F1" w:rsidRDefault="006B1A76" w:rsidP="000C5B59">
            <w:pPr>
              <w:pStyle w:val="TableText"/>
              <w:widowControl w:val="0"/>
              <w:rPr>
                <w:rFonts w:ascii="Tahoma" w:hAnsi="Tahoma" w:cs="Tahoma"/>
                <w:sz w:val="13"/>
              </w:rPr>
            </w:pPr>
          </w:p>
        </w:tc>
      </w:tr>
      <w:tr w:rsidR="006B1A76" w:rsidRPr="004D10F1" w:rsidTr="000C5B59">
        <w:trPr>
          <w:trHeight w:val="145"/>
        </w:trPr>
        <w:tc>
          <w:tcPr>
            <w:tcW w:w="2734" w:type="dxa"/>
            <w:gridSpan w:val="2"/>
            <w:tcBorders>
              <w:bottom w:val="single" w:sz="4" w:space="0" w:color="auto"/>
            </w:tcBorders>
            <w:shd w:val="clear" w:color="auto" w:fill="auto"/>
            <w:vAlign w:val="center"/>
          </w:tcPr>
          <w:p w:rsidR="006B1A76" w:rsidRPr="00C02B5C" w:rsidRDefault="006B1A76" w:rsidP="00C02B5C">
            <w:pPr>
              <w:pStyle w:val="ProductNames"/>
              <w:spacing w:beforeLines="20" w:before="48" w:afterLines="20" w:after="48"/>
              <w:rPr>
                <w:rFonts w:ascii="Tahoma" w:hAnsi="Tahoma" w:cs="Tahoma"/>
                <w:sz w:val="14"/>
                <w:szCs w:val="14"/>
                <w:lang w:val="de-DE"/>
              </w:rPr>
            </w:pPr>
            <w:bookmarkStart w:id="319" w:name="_Toc363998772"/>
            <w:r w:rsidRPr="00C02B5C">
              <w:rPr>
                <w:rFonts w:ascii="Tahoma" w:hAnsi="Tahoma" w:cs="Tahoma"/>
                <w:sz w:val="14"/>
                <w:szCs w:val="14"/>
                <w:lang w:val="de-DE"/>
              </w:rPr>
              <w:t xml:space="preserve">Microsoft Learning MTA 250 Zertifizierungsprüfungs-Website </w:t>
            </w:r>
            <w:r w:rsidR="00C02B5C">
              <w:rPr>
                <w:rFonts w:ascii="Tahoma" w:hAnsi="Tahoma" w:cs="Tahoma"/>
                <w:sz w:val="14"/>
                <w:szCs w:val="14"/>
                <w:lang w:val="de-DE"/>
              </w:rPr>
              <w:br/>
            </w:r>
            <w:r w:rsidRPr="00C02B5C">
              <w:rPr>
                <w:rFonts w:ascii="Tahoma" w:hAnsi="Tahoma" w:cs="Tahoma"/>
                <w:sz w:val="14"/>
                <w:szCs w:val="14"/>
                <w:lang w:val="de-DE"/>
              </w:rPr>
              <w:t>(Dienste-AL)</w:t>
            </w:r>
            <w:bookmarkEnd w:id="319"/>
          </w:p>
        </w:tc>
        <w:tc>
          <w:tcPr>
            <w:tcW w:w="450" w:type="dxa"/>
            <w:tcBorders>
              <w:bottom w:val="single" w:sz="4" w:space="0" w:color="auto"/>
            </w:tcBorders>
            <w:shd w:val="clear" w:color="auto" w:fill="auto"/>
            <w:vAlign w:val="center"/>
          </w:tcPr>
          <w:p w:rsidR="006B1A76" w:rsidRPr="00C02B5C" w:rsidRDefault="006B1A76" w:rsidP="00C02B5C">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125 Punkte</w:t>
            </w:r>
          </w:p>
        </w:tc>
        <w:tc>
          <w:tcPr>
            <w:tcW w:w="450" w:type="dxa"/>
            <w:tcBorders>
              <w:left w:val="single" w:sz="18" w:space="0" w:color="auto"/>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6B1A76" w:rsidRPr="004D10F1" w:rsidRDefault="006B1A76" w:rsidP="000C5B59">
            <w:pPr>
              <w:pStyle w:val="TableText"/>
              <w:widowControl w:val="0"/>
              <w:rPr>
                <w:rFonts w:ascii="Tahoma" w:hAnsi="Tahoma" w:cs="Tahoma"/>
                <w:sz w:val="13"/>
              </w:rPr>
            </w:pPr>
          </w:p>
        </w:tc>
      </w:tr>
      <w:tr w:rsidR="00471E00" w:rsidRPr="004D10F1" w:rsidDel="00436016" w:rsidTr="000C5B59">
        <w:trPr>
          <w:trHeight w:val="145"/>
        </w:trPr>
        <w:tc>
          <w:tcPr>
            <w:tcW w:w="2734" w:type="dxa"/>
            <w:gridSpan w:val="2"/>
            <w:tcBorders>
              <w:bottom w:val="single" w:sz="4" w:space="0" w:color="auto"/>
            </w:tcBorders>
            <w:shd w:val="clear" w:color="auto" w:fill="FABF8F"/>
            <w:vAlign w:val="center"/>
          </w:tcPr>
          <w:p w:rsidR="00471E00" w:rsidRPr="00C02B5C" w:rsidRDefault="001C3A4A" w:rsidP="00C02B5C">
            <w:pPr>
              <w:pStyle w:val="Heading2"/>
              <w:spacing w:beforeLines="20" w:before="48" w:afterLines="20" w:after="48"/>
              <w:ind w:left="-15" w:firstLine="15"/>
              <w:rPr>
                <w:rFonts w:ascii="Tahoma" w:hAnsi="Tahoma" w:cs="Tahoma"/>
                <w:b w:val="0"/>
                <w:sz w:val="14"/>
                <w:szCs w:val="14"/>
              </w:rPr>
            </w:pPr>
            <w:bookmarkStart w:id="320" w:name="_Toc363998773"/>
            <w:r w:rsidRPr="00C02B5C">
              <w:rPr>
                <w:rFonts w:ascii="Tahoma" w:hAnsi="Tahoma" w:cs="Tahoma"/>
                <w:b w:val="0"/>
                <w:sz w:val="14"/>
                <w:szCs w:val="14"/>
              </w:rPr>
              <w:t>Microsoft Office Audit and Control Management Server</w:t>
            </w:r>
            <w:bookmarkEnd w:id="320"/>
          </w:p>
        </w:tc>
        <w:tc>
          <w:tcPr>
            <w:tcW w:w="450" w:type="dxa"/>
            <w:tcBorders>
              <w:bottom w:val="single" w:sz="4" w:space="0" w:color="auto"/>
            </w:tcBorders>
            <w:shd w:val="clear" w:color="auto" w:fill="FABF8F"/>
            <w:vAlign w:val="center"/>
          </w:tcPr>
          <w:p w:rsidR="00471E00" w:rsidRPr="00C02B5C" w:rsidRDefault="00471E00" w:rsidP="00C02B5C">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471E00" w:rsidRPr="004D10F1" w:rsidRDefault="001C3A4A" w:rsidP="000C5B59">
            <w:pPr>
              <w:pStyle w:val="TableText"/>
              <w:widowControl w:val="0"/>
              <w:rPr>
                <w:rFonts w:ascii="Tahoma" w:hAnsi="Tahoma" w:cs="Tahoma"/>
                <w:color w:val="000000"/>
                <w:sz w:val="13"/>
              </w:rPr>
            </w:pPr>
            <w:r w:rsidRPr="004D10F1">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471E00" w:rsidRPr="004D10F1" w:rsidRDefault="001C3A4A"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4D10F1" w:rsidDel="00436016" w:rsidRDefault="001C3A4A" w:rsidP="000C5B59">
            <w:pPr>
              <w:pStyle w:val="TableText"/>
              <w:widowControl w:val="0"/>
              <w:rPr>
                <w:rFonts w:ascii="Tahoma" w:hAnsi="Tahoma" w:cs="Tahoma"/>
                <w:sz w:val="13"/>
              </w:rPr>
            </w:pPr>
            <w:r w:rsidRPr="004D10F1">
              <w:rPr>
                <w:rFonts w:ascii="Tahoma" w:hAnsi="Tahoma" w:cs="Tahoma"/>
                <w:sz w:val="13"/>
              </w:rPr>
              <w:t>50</w:t>
            </w:r>
          </w:p>
        </w:tc>
        <w:tc>
          <w:tcPr>
            <w:tcW w:w="450" w:type="dxa"/>
            <w:gridSpan w:val="2"/>
            <w:tcBorders>
              <w:bottom w:val="single" w:sz="4" w:space="0" w:color="auto"/>
            </w:tcBorders>
            <w:shd w:val="clear" w:color="auto" w:fill="FABF8F"/>
            <w:vAlign w:val="center"/>
          </w:tcPr>
          <w:p w:rsidR="00471E00" w:rsidRPr="004D10F1" w:rsidDel="00436016" w:rsidRDefault="001C3A4A" w:rsidP="000C5B59">
            <w:pPr>
              <w:pStyle w:val="TableText"/>
              <w:widowControl w:val="0"/>
              <w:rPr>
                <w:rFonts w:ascii="Tahoma" w:hAnsi="Tahoma" w:cs="Tahoma"/>
                <w:sz w:val="13"/>
              </w:rPr>
            </w:pPr>
            <w:r w:rsidRPr="004D10F1">
              <w:rPr>
                <w:rFonts w:ascii="Tahoma" w:hAnsi="Tahoma" w:cs="Tahoma"/>
                <w:sz w:val="13"/>
              </w:rPr>
              <w:t>125</w:t>
            </w:r>
          </w:p>
        </w:tc>
        <w:tc>
          <w:tcPr>
            <w:tcW w:w="450" w:type="dxa"/>
            <w:gridSpan w:val="2"/>
            <w:tcBorders>
              <w:bottom w:val="single" w:sz="4" w:space="0" w:color="auto"/>
            </w:tcBorders>
            <w:shd w:val="clear" w:color="auto" w:fill="FABF8F"/>
            <w:vAlign w:val="center"/>
          </w:tcPr>
          <w:p w:rsidR="00471E00" w:rsidRPr="004D10F1" w:rsidDel="00436016" w:rsidRDefault="001C3A4A" w:rsidP="000C5B59">
            <w:pPr>
              <w:pStyle w:val="TableText"/>
              <w:widowControl w:val="0"/>
              <w:rPr>
                <w:rFonts w:ascii="Tahoma" w:hAnsi="Tahoma" w:cs="Tahoma"/>
                <w:sz w:val="13"/>
              </w:rPr>
            </w:pPr>
            <w:r w:rsidRPr="004D10F1">
              <w:rPr>
                <w:rFonts w:ascii="Tahoma" w:hAnsi="Tahoma" w:cs="Tahoma"/>
                <w:sz w:val="13"/>
              </w:rPr>
              <w:t>100</w:t>
            </w:r>
          </w:p>
        </w:tc>
        <w:tc>
          <w:tcPr>
            <w:tcW w:w="450" w:type="dxa"/>
            <w:gridSpan w:val="3"/>
            <w:tcBorders>
              <w:bottom w:val="single" w:sz="4" w:space="0" w:color="auto"/>
            </w:tcBorders>
            <w:shd w:val="clear" w:color="auto" w:fill="FABF8F"/>
            <w:vAlign w:val="center"/>
          </w:tcPr>
          <w:p w:rsidR="00471E00" w:rsidRPr="004D10F1" w:rsidDel="00436016" w:rsidRDefault="001C3A4A"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4D10F1" w:rsidDel="00436016" w:rsidRDefault="001C3A4A"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4D10F1" w:rsidDel="00436016" w:rsidRDefault="001C3A4A" w:rsidP="000C5B59">
            <w:pPr>
              <w:pStyle w:val="TableText"/>
              <w:widowControl w:val="0"/>
              <w:rPr>
                <w:rFonts w:ascii="Tahoma" w:hAnsi="Tahoma" w:cs="Tahoma"/>
                <w:sz w:val="13"/>
              </w:rPr>
            </w:pPr>
            <w:r w:rsidRPr="004D10F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4D10F1" w:rsidDel="00436016" w:rsidRDefault="001C3A4A"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4D10F1" w:rsidDel="00436016" w:rsidRDefault="001C3A4A"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tcBorders>
            <w:shd w:val="clear" w:color="auto" w:fill="FABF8F"/>
            <w:vAlign w:val="center"/>
          </w:tcPr>
          <w:p w:rsidR="00471E00" w:rsidRPr="004D10F1" w:rsidDel="00436016" w:rsidRDefault="001C3A4A" w:rsidP="000C5B59">
            <w:pPr>
              <w:pStyle w:val="TableText"/>
              <w:widowControl w:val="0"/>
              <w:rPr>
                <w:rFonts w:ascii="Tahoma" w:hAnsi="Tahoma" w:cs="Tahoma"/>
                <w:sz w:val="13"/>
              </w:rPr>
            </w:pPr>
            <w:r w:rsidRPr="004D10F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4D10F1" w:rsidDel="00436016" w:rsidRDefault="001C3A4A" w:rsidP="000C5B59">
            <w:pPr>
              <w:pStyle w:val="TableText"/>
              <w:widowControl w:val="0"/>
              <w:rPr>
                <w:rFonts w:ascii="Tahoma" w:hAnsi="Tahoma" w:cs="Tahoma"/>
                <w:sz w:val="13"/>
              </w:rPr>
            </w:pPr>
            <w:r w:rsidRPr="004D10F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4D10F1" w:rsidDel="00436016" w:rsidRDefault="001C3A4A"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4D10F1" w:rsidRDefault="001C3A4A"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471E00" w:rsidRPr="004D10F1" w:rsidDel="00436016" w:rsidRDefault="001C3A4A"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471E00" w:rsidRPr="004D10F1" w:rsidRDefault="001C3A4A" w:rsidP="000C5B59">
            <w:pPr>
              <w:pStyle w:val="TableText"/>
              <w:widowControl w:val="0"/>
              <w:rPr>
                <w:rFonts w:ascii="Tahoma" w:hAnsi="Tahoma" w:cs="Tahoma"/>
                <w:sz w:val="13"/>
              </w:rPr>
            </w:pPr>
            <w:r w:rsidRPr="004D10F1">
              <w:rPr>
                <w:rFonts w:ascii="Tahoma" w:hAnsi="Tahoma" w:cs="Tahoma"/>
                <w:sz w:val="13"/>
              </w:rPr>
              <w:t>A (nur EES)</w:t>
            </w:r>
          </w:p>
        </w:tc>
        <w:tc>
          <w:tcPr>
            <w:tcW w:w="540" w:type="dxa"/>
            <w:tcBorders>
              <w:bottom w:val="single" w:sz="4" w:space="0" w:color="auto"/>
            </w:tcBorders>
            <w:shd w:val="clear" w:color="auto" w:fill="FABF8F"/>
            <w:vAlign w:val="center"/>
          </w:tcPr>
          <w:p w:rsidR="00471E00" w:rsidRPr="004D10F1" w:rsidDel="00436016" w:rsidRDefault="00471E00" w:rsidP="000C5B59">
            <w:pPr>
              <w:pStyle w:val="TableText"/>
              <w:widowControl w:val="0"/>
              <w:rPr>
                <w:rFonts w:ascii="Tahoma" w:hAnsi="Tahoma" w:cs="Tahoma"/>
                <w:sz w:val="13"/>
              </w:rPr>
            </w:pPr>
          </w:p>
        </w:tc>
      </w:tr>
      <w:tr w:rsidR="00500991" w:rsidRPr="004D10F1" w:rsidDel="00436016"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15" w:firstLine="15"/>
              <w:rPr>
                <w:rFonts w:ascii="Tahoma" w:hAnsi="Tahoma" w:cs="Tahoma"/>
                <w:b w:val="0"/>
                <w:sz w:val="14"/>
                <w:szCs w:val="14"/>
              </w:rPr>
            </w:pPr>
            <w:bookmarkStart w:id="321" w:name="_Toc336338023"/>
            <w:bookmarkStart w:id="322" w:name="_Toc363998774"/>
            <w:r w:rsidRPr="00C02B5C">
              <w:rPr>
                <w:rFonts w:ascii="Tahoma" w:hAnsi="Tahoma" w:cs="Tahoma"/>
                <w:b w:val="0"/>
                <w:sz w:val="14"/>
                <w:szCs w:val="14"/>
              </w:rPr>
              <w:t>Microsoft Translator API</w:t>
            </w:r>
            <w:bookmarkEnd w:id="321"/>
            <w:bookmarkEnd w:id="322"/>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r>
      <w:tr w:rsidR="006D1AA6" w:rsidRPr="004D10F1" w:rsidDel="00436016" w:rsidTr="000C5B59">
        <w:trPr>
          <w:trHeight w:val="145"/>
        </w:trPr>
        <w:tc>
          <w:tcPr>
            <w:tcW w:w="2734" w:type="dxa"/>
            <w:gridSpan w:val="2"/>
            <w:tcBorders>
              <w:bottom w:val="single" w:sz="4" w:space="0" w:color="auto"/>
            </w:tcBorders>
            <w:shd w:val="clear" w:color="auto" w:fill="FABF8F"/>
            <w:vAlign w:val="center"/>
          </w:tcPr>
          <w:p w:rsidR="006D1AA6" w:rsidRPr="00C02B5C" w:rsidRDefault="006D1AA6" w:rsidP="00C02B5C">
            <w:pPr>
              <w:pStyle w:val="Heading2"/>
              <w:spacing w:beforeLines="20" w:before="48" w:afterLines="20" w:after="48"/>
              <w:ind w:left="-15" w:firstLine="15"/>
              <w:rPr>
                <w:rFonts w:ascii="Tahoma" w:hAnsi="Tahoma" w:cs="Tahoma"/>
                <w:b w:val="0"/>
                <w:sz w:val="14"/>
                <w:szCs w:val="14"/>
              </w:rPr>
            </w:pPr>
            <w:bookmarkStart w:id="323" w:name="_Toc363998775"/>
            <w:r w:rsidRPr="00C02B5C">
              <w:rPr>
                <w:rFonts w:ascii="Tahoma" w:hAnsi="Tahoma" w:cs="Tahoma"/>
                <w:b w:val="0"/>
                <w:sz w:val="14"/>
                <w:szCs w:val="14"/>
              </w:rPr>
              <w:t>Office 365 Midsize Business (Nutzer-AL)</w:t>
            </w:r>
            <w:bookmarkEnd w:id="323"/>
          </w:p>
        </w:tc>
        <w:tc>
          <w:tcPr>
            <w:tcW w:w="450" w:type="dxa"/>
            <w:tcBorders>
              <w:bottom w:val="single" w:sz="4" w:space="0" w:color="auto"/>
            </w:tcBorders>
            <w:shd w:val="clear" w:color="auto" w:fill="FABF8F"/>
            <w:vAlign w:val="center"/>
          </w:tcPr>
          <w:p w:rsidR="006D1AA6" w:rsidRPr="00C02B5C" w:rsidRDefault="006D1AA6" w:rsidP="00C02B5C">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6D1AA6" w:rsidRPr="004D10F1" w:rsidRDefault="006D1AA6" w:rsidP="000C5B59">
            <w:pPr>
              <w:pStyle w:val="TableText"/>
              <w:widowControl w:val="0"/>
              <w:rPr>
                <w:rFonts w:ascii="Tahoma" w:hAnsi="Tahoma" w:cs="Tahoma"/>
                <w:color w:val="000000"/>
                <w:sz w:val="13"/>
              </w:rPr>
            </w:pPr>
            <w:r w:rsidRPr="004D10F1">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4D10F1" w:rsidRDefault="006D1AA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4D10F1" w:rsidDel="00436016" w:rsidRDefault="006D1AA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4D10F1" w:rsidDel="00436016" w:rsidRDefault="006D1AA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4D10F1" w:rsidDel="00436016" w:rsidRDefault="006D1AA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4D10F1" w:rsidDel="00436016" w:rsidRDefault="006D1AA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4D10F1" w:rsidDel="00436016" w:rsidRDefault="006D1AA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4D10F1" w:rsidDel="00436016" w:rsidRDefault="006D1AA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4D10F1" w:rsidDel="00436016" w:rsidRDefault="006D1AA6" w:rsidP="000C5B59">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4D10F1" w:rsidDel="00436016" w:rsidRDefault="006D1AA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4D10F1" w:rsidDel="00436016" w:rsidRDefault="006D1AA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4D10F1" w:rsidRDefault="006D1AA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6D1AA6" w:rsidRPr="004D10F1" w:rsidDel="00436016" w:rsidRDefault="006D1AA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6D1AA6" w:rsidRPr="004D10F1" w:rsidRDefault="006D1AA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6D1AA6" w:rsidRPr="004D10F1" w:rsidDel="00436016" w:rsidRDefault="006D1AA6" w:rsidP="000C5B59">
            <w:pPr>
              <w:pStyle w:val="TableText"/>
              <w:widowControl w:val="0"/>
              <w:rPr>
                <w:rFonts w:ascii="Tahoma" w:hAnsi="Tahoma" w:cs="Tahoma"/>
                <w:sz w:val="13"/>
              </w:rPr>
            </w:pPr>
            <w:r w:rsidRPr="004D10F1">
              <w:rPr>
                <w:rFonts w:ascii="Tahoma" w:hAnsi="Tahoma" w:cs="Tahoma"/>
                <w:sz w:val="13"/>
              </w:rPr>
              <w:t>OL/OV</w:t>
            </w:r>
          </w:p>
        </w:tc>
      </w:tr>
      <w:tr w:rsidR="00500991" w:rsidRPr="004D10F1" w:rsidDel="00436016"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15" w:firstLine="15"/>
              <w:rPr>
                <w:rFonts w:ascii="Tahoma" w:hAnsi="Tahoma" w:cs="Tahoma"/>
                <w:b w:val="0"/>
                <w:sz w:val="14"/>
                <w:szCs w:val="14"/>
              </w:rPr>
            </w:pPr>
            <w:bookmarkStart w:id="324" w:name="_Toc336338024"/>
            <w:bookmarkStart w:id="325" w:name="_Toc363998776"/>
            <w:r w:rsidRPr="00C02B5C">
              <w:rPr>
                <w:rFonts w:ascii="Tahoma" w:hAnsi="Tahoma" w:cs="Tahoma"/>
                <w:b w:val="0"/>
                <w:sz w:val="14"/>
                <w:szCs w:val="14"/>
              </w:rPr>
              <w:t>Office 365 Education A2 (Nutzer-AL)</w:t>
            </w:r>
            <w:bookmarkEnd w:id="324"/>
            <w:bookmarkEnd w:id="325"/>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5_Office_365_1" w:history="1">
              <w:r w:rsidR="00316801" w:rsidRPr="00C02B5C">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r w:rsidRPr="004D10F1">
              <w:rPr>
                <w:rFonts w:ascii="Tahoma" w:hAnsi="Tahoma" w:cs="Tahoma"/>
                <w:sz w:val="13"/>
              </w:rPr>
              <w:t>A, ST (nur EES)</w:t>
            </w:r>
          </w:p>
        </w:tc>
        <w:tc>
          <w:tcPr>
            <w:tcW w:w="540" w:type="dxa"/>
            <w:tcBorders>
              <w:bottom w:val="single" w:sz="4" w:space="0" w:color="auto"/>
            </w:tcBorders>
            <w:shd w:val="clear" w:color="auto" w:fill="auto"/>
            <w:vAlign w:val="center"/>
          </w:tcPr>
          <w:p w:rsidR="001A63C6" w:rsidRPr="004D10F1" w:rsidDel="00436016" w:rsidRDefault="001A63C6" w:rsidP="000C5B59">
            <w:pPr>
              <w:pStyle w:val="TableText"/>
              <w:widowControl w:val="0"/>
              <w:rPr>
                <w:rFonts w:ascii="Tahoma" w:hAnsi="Tahoma" w:cs="Tahoma"/>
                <w:sz w:val="13"/>
              </w:rPr>
            </w:pPr>
          </w:p>
        </w:tc>
      </w:tr>
      <w:tr w:rsidR="0017091C" w:rsidRPr="004D10F1" w:rsidDel="00436016" w:rsidTr="000C5B59">
        <w:trPr>
          <w:trHeight w:val="145"/>
        </w:trPr>
        <w:tc>
          <w:tcPr>
            <w:tcW w:w="2734" w:type="dxa"/>
            <w:gridSpan w:val="2"/>
            <w:tcBorders>
              <w:bottom w:val="single" w:sz="4" w:space="0" w:color="auto"/>
            </w:tcBorders>
            <w:shd w:val="clear" w:color="auto" w:fill="FABF8F"/>
            <w:vAlign w:val="center"/>
          </w:tcPr>
          <w:p w:rsidR="0017091C" w:rsidRPr="00C02B5C" w:rsidRDefault="0017091C" w:rsidP="00C02B5C">
            <w:pPr>
              <w:pStyle w:val="Heading2"/>
              <w:spacing w:beforeLines="20" w:before="48" w:afterLines="20" w:after="48"/>
              <w:ind w:left="-15" w:firstLine="15"/>
              <w:rPr>
                <w:rFonts w:ascii="Tahoma" w:hAnsi="Tahoma" w:cs="Tahoma"/>
                <w:b w:val="0"/>
                <w:sz w:val="14"/>
                <w:szCs w:val="14"/>
              </w:rPr>
            </w:pPr>
            <w:bookmarkStart w:id="326" w:name="_Toc336338025"/>
            <w:bookmarkStart w:id="327" w:name="_Toc363998777"/>
            <w:r w:rsidRPr="00C02B5C">
              <w:rPr>
                <w:rFonts w:ascii="Tahoma" w:hAnsi="Tahoma" w:cs="Tahoma"/>
                <w:b w:val="0"/>
                <w:sz w:val="14"/>
                <w:szCs w:val="14"/>
              </w:rPr>
              <w:t>Office 365 Education A3 (Nutzer-AL)</w:t>
            </w:r>
            <w:bookmarkEnd w:id="326"/>
            <w:bookmarkEnd w:id="327"/>
          </w:p>
        </w:tc>
        <w:tc>
          <w:tcPr>
            <w:tcW w:w="450" w:type="dxa"/>
            <w:tcBorders>
              <w:bottom w:val="single" w:sz="4" w:space="0" w:color="auto"/>
            </w:tcBorders>
            <w:shd w:val="clear" w:color="auto" w:fill="FABF8F"/>
            <w:vAlign w:val="center"/>
          </w:tcPr>
          <w:p w:rsidR="0017091C" w:rsidRPr="00C02B5C" w:rsidRDefault="005B744B" w:rsidP="00C02B5C">
            <w:pPr>
              <w:pStyle w:val="TableText"/>
              <w:widowControl w:val="0"/>
              <w:rPr>
                <w:rFonts w:cs="Tahoma"/>
                <w:b/>
                <w:color w:val="0000FF"/>
                <w:sz w:val="13"/>
                <w:szCs w:val="13"/>
                <w:u w:val="single"/>
              </w:rPr>
            </w:pPr>
            <w:hyperlink w:anchor="_5_Office_365_1" w:history="1">
              <w:r w:rsidR="00A67771" w:rsidRPr="00C02B5C">
                <w:rPr>
                  <w:rStyle w:val="Hyperlink"/>
                  <w:rFonts w:cs="Tahoma"/>
                  <w:b/>
                  <w:sz w:val="13"/>
                  <w:szCs w:val="13"/>
                </w:rPr>
                <w:t>5</w:t>
              </w:r>
            </w:hyperlink>
          </w:p>
        </w:tc>
        <w:tc>
          <w:tcPr>
            <w:tcW w:w="450" w:type="dxa"/>
            <w:tcBorders>
              <w:bottom w:val="single" w:sz="4" w:space="0" w:color="auto"/>
            </w:tcBorders>
            <w:shd w:val="clear" w:color="auto" w:fill="FABF8F"/>
            <w:vAlign w:val="center"/>
          </w:tcPr>
          <w:p w:rsidR="0017091C" w:rsidRPr="004D10F1" w:rsidRDefault="0017091C" w:rsidP="000C5B59">
            <w:pPr>
              <w:pStyle w:val="TableText"/>
              <w:widowControl w:val="0"/>
              <w:rPr>
                <w:rFonts w:ascii="Tahoma" w:hAnsi="Tahoma" w:cs="Tahoma"/>
                <w:color w:val="000000"/>
                <w:sz w:val="13"/>
              </w:rPr>
            </w:pPr>
            <w:r w:rsidRPr="004D10F1">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7091C" w:rsidRPr="004D10F1" w:rsidRDefault="0017091C" w:rsidP="000C5B59">
            <w:pPr>
              <w:pStyle w:val="TableText"/>
              <w:widowControl w:val="0"/>
              <w:rPr>
                <w:rFonts w:ascii="Tahoma" w:hAnsi="Tahoma" w:cs="Tahoma"/>
                <w:sz w:val="13"/>
              </w:rPr>
            </w:pPr>
            <w:r w:rsidRPr="004D10F1">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7091C" w:rsidRPr="004D10F1" w:rsidDel="00436016" w:rsidRDefault="0017091C"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4D10F1" w:rsidDel="00436016" w:rsidRDefault="0017091C"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4D10F1" w:rsidDel="00436016" w:rsidRDefault="0017091C"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4D10F1" w:rsidDel="00436016" w:rsidRDefault="0017091C"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4D10F1" w:rsidDel="00436016" w:rsidRDefault="0017091C"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4D10F1" w:rsidDel="00436016" w:rsidRDefault="0017091C"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7091C" w:rsidRPr="004D10F1" w:rsidDel="00436016" w:rsidRDefault="0017091C" w:rsidP="000C5B59">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4D10F1" w:rsidDel="00436016" w:rsidRDefault="0017091C" w:rsidP="000C5B59">
            <w:pPr>
              <w:pStyle w:val="TableText"/>
              <w:widowControl w:val="0"/>
              <w:rPr>
                <w:rFonts w:ascii="Tahoma" w:hAnsi="Tahoma" w:cs="Tahoma"/>
                <w:sz w:val="13"/>
              </w:rPr>
            </w:pPr>
            <w:r w:rsidRPr="004D10F1">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4D10F1" w:rsidDel="00436016" w:rsidRDefault="0017091C"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Pr="004D10F1" w:rsidRDefault="0017091C"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7091C" w:rsidRPr="004D10F1" w:rsidDel="00436016" w:rsidRDefault="0017091C"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7091C" w:rsidRPr="004D10F1" w:rsidDel="00436016" w:rsidRDefault="0017091C" w:rsidP="000C5B59">
            <w:pPr>
              <w:pStyle w:val="TableText"/>
              <w:widowControl w:val="0"/>
              <w:rPr>
                <w:rFonts w:ascii="Tahoma" w:hAnsi="Tahoma" w:cs="Tahoma"/>
                <w:sz w:val="13"/>
                <w:lang w:val="de-DE"/>
              </w:rPr>
            </w:pPr>
            <w:r w:rsidRPr="004D10F1">
              <w:rPr>
                <w:rFonts w:ascii="Tahoma" w:hAnsi="Tahoma" w:cs="Tahoma"/>
                <w:sz w:val="13"/>
                <w:lang w:val="de-DE"/>
              </w:rPr>
              <w:t>EOLS (nur EES), A (OVS-ES)</w:t>
            </w:r>
          </w:p>
        </w:tc>
        <w:tc>
          <w:tcPr>
            <w:tcW w:w="540" w:type="dxa"/>
            <w:tcBorders>
              <w:bottom w:val="single" w:sz="4" w:space="0" w:color="auto"/>
            </w:tcBorders>
            <w:shd w:val="clear" w:color="auto" w:fill="FABF8F"/>
            <w:vAlign w:val="center"/>
          </w:tcPr>
          <w:p w:rsidR="0017091C" w:rsidRPr="004D10F1" w:rsidDel="00436016" w:rsidRDefault="0017091C" w:rsidP="000C5B59">
            <w:pPr>
              <w:pStyle w:val="TableText"/>
              <w:widowControl w:val="0"/>
              <w:rPr>
                <w:rFonts w:ascii="Tahoma" w:hAnsi="Tahoma" w:cs="Tahoma"/>
                <w:sz w:val="13"/>
              </w:rPr>
            </w:pPr>
            <w:r w:rsidRPr="004D10F1">
              <w:rPr>
                <w:rFonts w:ascii="Tahoma" w:hAnsi="Tahoma" w:cs="Tahoma"/>
                <w:sz w:val="13"/>
              </w:rPr>
              <w:t>OL</w:t>
            </w:r>
          </w:p>
        </w:tc>
      </w:tr>
      <w:tr w:rsidR="00500991"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firstLine="15"/>
              <w:rPr>
                <w:rFonts w:ascii="Tahoma" w:hAnsi="Tahoma" w:cs="Tahoma"/>
                <w:b w:val="0"/>
                <w:sz w:val="14"/>
                <w:szCs w:val="14"/>
              </w:rPr>
            </w:pPr>
            <w:bookmarkStart w:id="328" w:name="_Toc336338026"/>
            <w:bookmarkStart w:id="329" w:name="_Toc363998778"/>
            <w:r w:rsidRPr="00C02B5C">
              <w:rPr>
                <w:rFonts w:ascii="Tahoma" w:hAnsi="Tahoma" w:cs="Tahoma"/>
                <w:b w:val="0"/>
                <w:sz w:val="14"/>
                <w:szCs w:val="14"/>
              </w:rPr>
              <w:t>Office 365 Education A4 (Nutzer-AL)</w:t>
            </w:r>
            <w:bookmarkEnd w:id="328"/>
            <w:bookmarkEnd w:id="329"/>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5_Office_365_1" w:history="1">
              <w:r w:rsidR="00316801" w:rsidRPr="00C02B5C">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EOLS (nur EES)</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firstLine="15"/>
              <w:rPr>
                <w:rFonts w:ascii="Tahoma" w:hAnsi="Tahoma" w:cs="Tahoma"/>
                <w:b w:val="0"/>
                <w:sz w:val="14"/>
                <w:szCs w:val="14"/>
              </w:rPr>
            </w:pPr>
            <w:bookmarkStart w:id="330" w:name="_Toc336338028"/>
            <w:bookmarkStart w:id="331" w:name="_Toc363998779"/>
            <w:r w:rsidRPr="00C02B5C">
              <w:rPr>
                <w:rFonts w:ascii="Tahoma" w:hAnsi="Tahoma" w:cs="Tahoma"/>
                <w:b w:val="0"/>
                <w:sz w:val="14"/>
                <w:szCs w:val="14"/>
              </w:rPr>
              <w:t>Office 365 Enterprise E3 (Nutzer-AL)</w:t>
            </w:r>
            <w:bookmarkEnd w:id="330"/>
            <w:bookmarkEnd w:id="331"/>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7_Office_365_1" w:history="1">
              <w:r w:rsidR="00316801" w:rsidRPr="00C02B5C">
                <w:rPr>
                  <w:rStyle w:val="Hyperlink"/>
                  <w:rFonts w:cs="Tahoma"/>
                  <w:b/>
                  <w:sz w:val="13"/>
                  <w:szCs w:val="13"/>
                </w:rPr>
                <w:t>8</w:t>
              </w:r>
            </w:hyperlink>
            <w:hyperlink w:anchor="_65_Office_365"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0B5EFD"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0B5EFD" w:rsidP="000C5B59">
            <w:pPr>
              <w:pStyle w:val="TableText"/>
              <w:widowControl w:val="0"/>
              <w:rPr>
                <w:rFonts w:ascii="Tahoma" w:hAnsi="Tahoma" w:cs="Tahoma"/>
                <w:sz w:val="13"/>
              </w:rPr>
            </w:pPr>
            <w:r w:rsidRPr="004D10F1">
              <w:rPr>
                <w:rFonts w:ascii="Tahoma" w:hAnsi="Tahoma" w:cs="Tahoma"/>
                <w:sz w:val="13"/>
              </w:rPr>
              <w:t>OL</w:t>
            </w:r>
          </w:p>
        </w:tc>
      </w:tr>
      <w:tr w:rsidR="00500991" w:rsidRPr="004D10F1" w:rsidTr="000C5B59">
        <w:trPr>
          <w:trHeight w:val="145"/>
        </w:trPr>
        <w:tc>
          <w:tcPr>
            <w:tcW w:w="2734" w:type="dxa"/>
            <w:gridSpan w:val="2"/>
            <w:tcBorders>
              <w:bottom w:val="single" w:sz="4" w:space="0" w:color="auto"/>
            </w:tcBorders>
            <w:shd w:val="clear" w:color="auto" w:fill="auto"/>
            <w:vAlign w:val="center"/>
          </w:tcPr>
          <w:p w:rsidR="000B5EFD" w:rsidRPr="00C02B5C" w:rsidRDefault="000B5EFD" w:rsidP="00C02B5C">
            <w:pPr>
              <w:pStyle w:val="Heading2"/>
              <w:spacing w:beforeLines="20" w:before="48" w:afterLines="20" w:after="48"/>
              <w:ind w:left="0" w:firstLine="15"/>
              <w:rPr>
                <w:rFonts w:ascii="Tahoma" w:hAnsi="Tahoma" w:cs="Tahoma"/>
                <w:b w:val="0"/>
                <w:sz w:val="14"/>
                <w:szCs w:val="14"/>
              </w:rPr>
            </w:pPr>
            <w:bookmarkStart w:id="332" w:name="_Toc363998780"/>
            <w:r w:rsidRPr="00C02B5C">
              <w:rPr>
                <w:rFonts w:ascii="Tahoma" w:hAnsi="Tahoma" w:cs="Tahoma"/>
                <w:b w:val="0"/>
                <w:sz w:val="14"/>
                <w:szCs w:val="14"/>
              </w:rPr>
              <w:t>Office 365 Enterprise E4 (Nutzer-AL)</w:t>
            </w:r>
            <w:bookmarkEnd w:id="332"/>
          </w:p>
        </w:tc>
        <w:tc>
          <w:tcPr>
            <w:tcW w:w="450" w:type="dxa"/>
            <w:tcBorders>
              <w:bottom w:val="single" w:sz="4" w:space="0" w:color="auto"/>
            </w:tcBorders>
            <w:shd w:val="clear" w:color="auto" w:fill="auto"/>
            <w:vAlign w:val="center"/>
          </w:tcPr>
          <w:p w:rsidR="000B5EFD" w:rsidRPr="00C02B5C" w:rsidRDefault="005B744B" w:rsidP="00C02B5C">
            <w:pPr>
              <w:pStyle w:val="TableText"/>
              <w:widowControl w:val="0"/>
              <w:rPr>
                <w:rFonts w:cs="Tahoma"/>
                <w:sz w:val="13"/>
                <w:szCs w:val="13"/>
              </w:rPr>
            </w:pPr>
            <w:hyperlink w:anchor="_7_Office_365_1" w:history="1">
              <w:r w:rsidR="00605070" w:rsidRPr="00C02B5C">
                <w:rPr>
                  <w:rStyle w:val="Hyperlink"/>
                  <w:rFonts w:cs="Tahoma"/>
                  <w:b/>
                  <w:sz w:val="13"/>
                  <w:szCs w:val="13"/>
                </w:rPr>
                <w:t>8</w:t>
              </w:r>
            </w:hyperlink>
            <w:hyperlink w:anchor="_65_Office_365" w:history="1"/>
          </w:p>
        </w:tc>
        <w:tc>
          <w:tcPr>
            <w:tcW w:w="450" w:type="dxa"/>
            <w:tcBorders>
              <w:bottom w:val="single" w:sz="4" w:space="0" w:color="auto"/>
            </w:tcBorders>
            <w:shd w:val="clear" w:color="auto" w:fill="auto"/>
            <w:vAlign w:val="center"/>
          </w:tcPr>
          <w:p w:rsidR="000B5EFD" w:rsidRPr="004D10F1" w:rsidRDefault="000B5EFD" w:rsidP="000C5B59">
            <w:pPr>
              <w:pStyle w:val="TableText"/>
              <w:widowControl w:val="0"/>
              <w:rPr>
                <w:rFonts w:ascii="Tahoma" w:hAnsi="Tahoma" w:cs="Tahoma"/>
                <w:color w:val="000000"/>
                <w:sz w:val="13"/>
              </w:rPr>
            </w:pPr>
            <w:r w:rsidRPr="004D10F1">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r w:rsidRPr="004D10F1">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4D10F1" w:rsidRDefault="00D55AB9" w:rsidP="000C5B59">
            <w:pPr>
              <w:pStyle w:val="TableText"/>
              <w:widowControl w:val="0"/>
              <w:rPr>
                <w:rFonts w:ascii="Tahoma" w:hAnsi="Tahoma" w:cs="Tahoma"/>
                <w:sz w:val="13"/>
              </w:rPr>
            </w:pPr>
            <w:r w:rsidRPr="004D10F1">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0B5EFD" w:rsidRPr="004D10F1" w:rsidRDefault="000B5EFD" w:rsidP="000C5B59">
            <w:pPr>
              <w:pStyle w:val="TableText"/>
              <w:widowControl w:val="0"/>
              <w:rPr>
                <w:rFonts w:ascii="Tahoma" w:hAnsi="Tahoma" w:cs="Tahoma"/>
                <w:sz w:val="13"/>
              </w:rPr>
            </w:pPr>
          </w:p>
        </w:tc>
      </w:tr>
      <w:tr w:rsidR="00A53298" w:rsidRPr="004D10F1" w:rsidTr="000C5B59">
        <w:trPr>
          <w:trHeight w:val="145"/>
        </w:trPr>
        <w:tc>
          <w:tcPr>
            <w:tcW w:w="2734" w:type="dxa"/>
            <w:gridSpan w:val="2"/>
            <w:tcBorders>
              <w:bottom w:val="single" w:sz="4" w:space="0" w:color="auto"/>
            </w:tcBorders>
            <w:shd w:val="clear" w:color="auto" w:fill="FABF8F"/>
            <w:vAlign w:val="center"/>
          </w:tcPr>
          <w:p w:rsidR="00A53298" w:rsidRPr="00C02B5C" w:rsidRDefault="00A53298" w:rsidP="00C02B5C">
            <w:pPr>
              <w:pStyle w:val="Heading2"/>
              <w:spacing w:beforeLines="20" w:before="48" w:afterLines="20" w:after="48"/>
              <w:ind w:left="0" w:firstLine="15"/>
              <w:rPr>
                <w:rFonts w:ascii="Tahoma" w:hAnsi="Tahoma" w:cs="Tahoma"/>
                <w:b w:val="0"/>
                <w:sz w:val="14"/>
                <w:szCs w:val="14"/>
              </w:rPr>
            </w:pPr>
            <w:bookmarkStart w:id="333" w:name="_Toc363998781"/>
            <w:r w:rsidRPr="00C02B5C">
              <w:rPr>
                <w:rFonts w:ascii="Tahoma" w:hAnsi="Tahoma" w:cs="Tahoma"/>
                <w:b w:val="0"/>
                <w:sz w:val="14"/>
                <w:szCs w:val="14"/>
              </w:rPr>
              <w:t>Add-On für Office 365 Enterprise E1, E3, E4 (Nutzer-AL)</w:t>
            </w:r>
            <w:bookmarkEnd w:id="333"/>
          </w:p>
        </w:tc>
        <w:tc>
          <w:tcPr>
            <w:tcW w:w="450" w:type="dxa"/>
            <w:tcBorders>
              <w:bottom w:val="single" w:sz="4" w:space="0" w:color="auto"/>
            </w:tcBorders>
            <w:shd w:val="clear" w:color="auto" w:fill="FABF8F"/>
            <w:vAlign w:val="center"/>
          </w:tcPr>
          <w:p w:rsidR="00A53298" w:rsidRPr="00C02B5C" w:rsidRDefault="005B744B" w:rsidP="00C02B5C">
            <w:pPr>
              <w:pStyle w:val="TableText"/>
              <w:widowControl w:val="0"/>
              <w:rPr>
                <w:rFonts w:cs="Tahoma"/>
                <w:sz w:val="13"/>
                <w:szCs w:val="13"/>
              </w:rPr>
            </w:pPr>
            <w:hyperlink w:anchor="_7_Add-on_User" w:history="1">
              <w:r w:rsidR="00316801" w:rsidRPr="00C02B5C">
                <w:rPr>
                  <w:rStyle w:val="Hyperlink"/>
                  <w:rFonts w:cs="Tahoma"/>
                  <w:sz w:val="13"/>
                  <w:szCs w:val="13"/>
                </w:rPr>
                <w:t>7</w:t>
              </w:r>
            </w:hyperlink>
          </w:p>
        </w:tc>
        <w:tc>
          <w:tcPr>
            <w:tcW w:w="450" w:type="dxa"/>
            <w:tcBorders>
              <w:bottom w:val="single" w:sz="4" w:space="0" w:color="auto"/>
            </w:tcBorders>
            <w:shd w:val="clear" w:color="auto" w:fill="FABF8F"/>
            <w:vAlign w:val="center"/>
          </w:tcPr>
          <w:p w:rsidR="00A53298" w:rsidRPr="004D10F1" w:rsidRDefault="00A53298" w:rsidP="000C5B59">
            <w:pPr>
              <w:pStyle w:val="TableText"/>
              <w:widowControl w:val="0"/>
              <w:rPr>
                <w:rFonts w:ascii="Tahoma" w:hAnsi="Tahoma" w:cs="Tahoma"/>
                <w:color w:val="000000"/>
                <w:sz w:val="13"/>
              </w:rPr>
            </w:pPr>
            <w:r w:rsidRPr="004D10F1">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r>
      <w:tr w:rsidR="000F51BC" w:rsidRPr="004D10F1" w:rsidDel="00436016" w:rsidTr="000C5B59">
        <w:trPr>
          <w:trHeight w:val="145"/>
        </w:trPr>
        <w:tc>
          <w:tcPr>
            <w:tcW w:w="2734" w:type="dxa"/>
            <w:gridSpan w:val="2"/>
            <w:tcBorders>
              <w:bottom w:val="single" w:sz="4" w:space="0" w:color="auto"/>
            </w:tcBorders>
            <w:shd w:val="clear" w:color="auto" w:fill="auto"/>
            <w:vAlign w:val="center"/>
          </w:tcPr>
          <w:p w:rsidR="00273EB9" w:rsidRPr="00C02B5C" w:rsidRDefault="00273EB9" w:rsidP="00C02B5C">
            <w:pPr>
              <w:pStyle w:val="Heading2"/>
              <w:spacing w:beforeLines="20" w:before="48" w:afterLines="20" w:after="48"/>
              <w:ind w:left="0" w:firstLine="15"/>
              <w:rPr>
                <w:rFonts w:ascii="Tahoma" w:hAnsi="Tahoma" w:cs="Tahoma"/>
                <w:b w:val="0"/>
                <w:sz w:val="14"/>
                <w:szCs w:val="14"/>
              </w:rPr>
            </w:pPr>
            <w:bookmarkStart w:id="334" w:name="_Toc363998782"/>
            <w:r w:rsidRPr="00C02B5C">
              <w:rPr>
                <w:rFonts w:ascii="Tahoma" w:hAnsi="Tahoma" w:cs="Tahoma"/>
                <w:b w:val="0"/>
                <w:sz w:val="14"/>
                <w:szCs w:val="14"/>
              </w:rPr>
              <w:t>Add-On für Office 365 Enterprise E3, E4 ohne Office Pro Plus (Nutzer-AL)</w:t>
            </w:r>
            <w:bookmarkEnd w:id="334"/>
          </w:p>
        </w:tc>
        <w:tc>
          <w:tcPr>
            <w:tcW w:w="450" w:type="dxa"/>
            <w:tcBorders>
              <w:bottom w:val="single" w:sz="4" w:space="0" w:color="auto"/>
            </w:tcBorders>
            <w:shd w:val="clear" w:color="auto" w:fill="auto"/>
            <w:vAlign w:val="center"/>
          </w:tcPr>
          <w:p w:rsidR="00273EB9" w:rsidRPr="00C02B5C" w:rsidRDefault="005B744B" w:rsidP="00C02B5C">
            <w:pPr>
              <w:pStyle w:val="TableText"/>
              <w:widowControl w:val="0"/>
              <w:rPr>
                <w:rFonts w:cs="Tahoma"/>
                <w:sz w:val="13"/>
                <w:szCs w:val="13"/>
              </w:rPr>
            </w:pPr>
            <w:hyperlink w:anchor="_7_Add-on_User" w:history="1">
              <w:r w:rsidR="00605070" w:rsidRPr="00C02B5C">
                <w:rPr>
                  <w:rStyle w:val="Hyperlink"/>
                  <w:rFonts w:cs="Tahoma"/>
                  <w:sz w:val="13"/>
                  <w:szCs w:val="13"/>
                </w:rPr>
                <w:t>7</w:t>
              </w:r>
            </w:hyperlink>
          </w:p>
        </w:tc>
        <w:tc>
          <w:tcPr>
            <w:tcW w:w="450" w:type="dxa"/>
            <w:tcBorders>
              <w:bottom w:val="single" w:sz="4" w:space="0" w:color="auto"/>
            </w:tcBorders>
            <w:shd w:val="clear" w:color="auto" w:fill="auto"/>
            <w:vAlign w:val="center"/>
          </w:tcPr>
          <w:p w:rsidR="00273EB9" w:rsidRPr="004D10F1" w:rsidRDefault="00273EB9" w:rsidP="000C5B59">
            <w:pPr>
              <w:pStyle w:val="TableText"/>
              <w:widowControl w:val="0"/>
              <w:rPr>
                <w:rFonts w:ascii="Tahoma" w:hAnsi="Tahoma" w:cs="Tahoma"/>
                <w:color w:val="000000"/>
                <w:sz w:val="13"/>
              </w:rPr>
            </w:pPr>
            <w:r w:rsidRPr="004D10F1">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r>
      <w:tr w:rsidR="00B33D0E" w:rsidRPr="004D10F1" w:rsidDel="00436016" w:rsidTr="000C5B59">
        <w:trPr>
          <w:trHeight w:val="145"/>
        </w:trPr>
        <w:tc>
          <w:tcPr>
            <w:tcW w:w="2734" w:type="dxa"/>
            <w:gridSpan w:val="2"/>
            <w:tcBorders>
              <w:bottom w:val="single" w:sz="4" w:space="0" w:color="auto"/>
            </w:tcBorders>
            <w:shd w:val="clear" w:color="auto" w:fill="FABF8F"/>
            <w:vAlign w:val="center"/>
          </w:tcPr>
          <w:p w:rsidR="001A63C6" w:rsidRPr="00C02B5C" w:rsidDel="00436016" w:rsidRDefault="001A63C6" w:rsidP="00C02B5C">
            <w:pPr>
              <w:pStyle w:val="Heading2"/>
              <w:spacing w:beforeLines="20" w:before="48" w:afterLines="20" w:after="48"/>
              <w:ind w:left="0" w:firstLine="15"/>
              <w:rPr>
                <w:rFonts w:ascii="Tahoma" w:hAnsi="Tahoma" w:cs="Tahoma"/>
                <w:b w:val="0"/>
                <w:sz w:val="14"/>
                <w:szCs w:val="14"/>
                <w:lang w:val="de-DE"/>
              </w:rPr>
            </w:pPr>
            <w:bookmarkStart w:id="335" w:name="_Toc336338030"/>
            <w:bookmarkStart w:id="336" w:name="_Toc363998783"/>
            <w:r w:rsidRPr="00C02B5C">
              <w:rPr>
                <w:rFonts w:ascii="Tahoma" w:hAnsi="Tahoma" w:cs="Tahoma"/>
                <w:b w:val="0"/>
                <w:sz w:val="14"/>
                <w:szCs w:val="14"/>
                <w:lang w:val="de-DE"/>
              </w:rPr>
              <w:t>Office 365 Enterprise K1 (Nutzer-AL)</w:t>
            </w:r>
            <w:bookmarkEnd w:id="335"/>
            <w:bookmarkEnd w:id="336"/>
          </w:p>
        </w:tc>
        <w:tc>
          <w:tcPr>
            <w:tcW w:w="450" w:type="dxa"/>
            <w:tcBorders>
              <w:bottom w:val="single" w:sz="4" w:space="0" w:color="auto"/>
            </w:tcBorders>
            <w:shd w:val="clear" w:color="auto" w:fill="FABF8F"/>
            <w:vAlign w:val="center"/>
          </w:tcPr>
          <w:p w:rsidR="001A63C6" w:rsidRPr="00C02B5C" w:rsidDel="00436016" w:rsidRDefault="005B744B" w:rsidP="00C02B5C">
            <w:pPr>
              <w:pStyle w:val="TableText"/>
              <w:widowControl w:val="0"/>
              <w:rPr>
                <w:rFonts w:cs="Tahoma"/>
                <w:b/>
                <w:color w:val="0000FF"/>
                <w:sz w:val="13"/>
                <w:szCs w:val="13"/>
                <w:u w:val="single"/>
              </w:rPr>
            </w:pPr>
            <w:hyperlink w:anchor="_70_68_Office" w:history="1">
              <w:r w:rsidR="00316801" w:rsidRPr="00C02B5C">
                <w:rPr>
                  <w:rStyle w:val="Hyperlink"/>
                  <w:rFonts w:cs="Tahoma"/>
                  <w:b/>
                  <w:sz w:val="13"/>
                  <w:szCs w:val="13"/>
                </w:rPr>
                <w:t>76</w:t>
              </w:r>
            </w:hyperlink>
            <w:hyperlink w:anchor="_69_Office_365_1" w:history="1"/>
          </w:p>
        </w:tc>
        <w:tc>
          <w:tcPr>
            <w:tcW w:w="450" w:type="dxa"/>
            <w:tcBorders>
              <w:bottom w:val="single" w:sz="4"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color w:val="000000"/>
                <w:sz w:val="13"/>
              </w:rPr>
            </w:pPr>
            <w:r w:rsidRPr="004D10F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r w:rsidRPr="004D10F1">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Del="00436016" w:rsidRDefault="001A63C6" w:rsidP="000C5B59">
            <w:pPr>
              <w:pStyle w:val="TableText"/>
              <w:widowControl w:val="0"/>
              <w:rPr>
                <w:rFonts w:ascii="Tahoma" w:hAnsi="Tahoma" w:cs="Tahoma"/>
                <w:sz w:val="13"/>
              </w:rPr>
            </w:pPr>
          </w:p>
        </w:tc>
      </w:tr>
      <w:tr w:rsidR="00500991" w:rsidRPr="004D10F1" w:rsidDel="00436016" w:rsidTr="000C5B59">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C02B5C" w:rsidRDefault="00871AE2" w:rsidP="00C02B5C">
            <w:pPr>
              <w:pStyle w:val="Heading2"/>
              <w:spacing w:beforeLines="20" w:before="48" w:afterLines="20" w:after="48"/>
              <w:ind w:left="0" w:firstLine="15"/>
              <w:rPr>
                <w:rFonts w:ascii="Tahoma" w:hAnsi="Tahoma" w:cs="Tahoma"/>
                <w:b w:val="0"/>
                <w:sz w:val="14"/>
                <w:szCs w:val="14"/>
              </w:rPr>
            </w:pPr>
            <w:bookmarkStart w:id="337" w:name="_Toc363998784"/>
            <w:r w:rsidRPr="00C02B5C">
              <w:rPr>
                <w:rFonts w:ascii="Tahoma" w:hAnsi="Tahoma" w:cs="Tahoma"/>
                <w:b w:val="0"/>
                <w:sz w:val="14"/>
                <w:szCs w:val="14"/>
              </w:rPr>
              <w:t>Office 365 Government G1, G3, G4 (Nutzer-AL)</w:t>
            </w:r>
            <w:bookmarkEnd w:id="337"/>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C02B5C" w:rsidRDefault="005B744B" w:rsidP="00C02B5C">
            <w:pPr>
              <w:pStyle w:val="TableText"/>
              <w:widowControl w:val="0"/>
              <w:rPr>
                <w:rFonts w:cs="Tahoma"/>
                <w:b/>
                <w:sz w:val="13"/>
                <w:szCs w:val="13"/>
              </w:rPr>
            </w:pPr>
            <w:hyperlink w:anchor="_70_Office_365" w:history="1">
              <w:r w:rsidR="00316801" w:rsidRPr="00C02B5C">
                <w:rPr>
                  <w:rStyle w:val="Hyperlink"/>
                  <w:rFonts w:cs="Tahoma"/>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D10F1" w:rsidRDefault="00871AE2" w:rsidP="000C5B59">
            <w:pPr>
              <w:pStyle w:val="TableText"/>
              <w:widowControl w:val="0"/>
              <w:rPr>
                <w:rFonts w:ascii="Tahoma" w:hAnsi="Tahoma" w:cs="Tahoma"/>
                <w:color w:val="000000"/>
                <w:sz w:val="13"/>
              </w:rPr>
            </w:pPr>
            <w:r w:rsidRPr="004D10F1">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4D10F1" w:rsidRDefault="00871AE2" w:rsidP="000C5B59">
            <w:pPr>
              <w:pStyle w:val="TableText"/>
              <w:widowControl w:val="0"/>
              <w:rPr>
                <w:rFonts w:ascii="Tahoma" w:hAnsi="Tahoma" w:cs="Tahoma"/>
                <w:sz w:val="13"/>
              </w:rPr>
            </w:pPr>
            <w:r w:rsidRPr="004D10F1">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4D10F1" w:rsidDel="00436016" w:rsidRDefault="00871AE2" w:rsidP="000C5B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4D10F1" w:rsidDel="00436016" w:rsidRDefault="00871AE2" w:rsidP="000C5B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4D10F1" w:rsidDel="00436016" w:rsidRDefault="00871AE2" w:rsidP="000C5B59">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4D10F1" w:rsidDel="00436016" w:rsidRDefault="00871AE2" w:rsidP="000C5B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4D10F1" w:rsidDel="00436016" w:rsidRDefault="00871AE2" w:rsidP="000C5B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4D10F1" w:rsidDel="00436016" w:rsidRDefault="00871AE2" w:rsidP="000C5B59">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4D10F1" w:rsidDel="00436016" w:rsidRDefault="00871AE2" w:rsidP="000C5B59">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4D10F1" w:rsidDel="00436016" w:rsidRDefault="00871AE2" w:rsidP="000C5B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D10F1" w:rsidDel="00436016" w:rsidRDefault="00871AE2" w:rsidP="000C5B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4D10F1" w:rsidDel="00436016" w:rsidRDefault="00871AE2" w:rsidP="000C5B59">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4D10F1" w:rsidDel="00436016" w:rsidRDefault="00871AE2" w:rsidP="000C5B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4D10F1" w:rsidRDefault="00871AE2" w:rsidP="000C5B59">
            <w:pPr>
              <w:pStyle w:val="TableText"/>
              <w:widowControl w:val="0"/>
              <w:rPr>
                <w:rFonts w:ascii="Tahoma" w:hAnsi="Tahoma" w:cs="Tahoma"/>
                <w:sz w:val="13"/>
              </w:rPr>
            </w:pPr>
            <w:r w:rsidRPr="004D10F1">
              <w:rPr>
                <w:rFonts w:ascii="Tahoma" w:hAnsi="Tahoma" w:cs="Tahoma"/>
                <w:sz w:val="13"/>
              </w:rPr>
              <w:t>EOLS</w:t>
            </w:r>
          </w:p>
        </w:tc>
        <w:tc>
          <w:tcPr>
            <w:tcW w:w="36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4D10F1" w:rsidDel="00436016" w:rsidRDefault="00871AE2" w:rsidP="000C5B59">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D10F1" w:rsidDel="00436016" w:rsidRDefault="00871AE2" w:rsidP="000C5B59">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D10F1" w:rsidDel="00436016" w:rsidRDefault="00871AE2" w:rsidP="000C5B59">
            <w:pPr>
              <w:pStyle w:val="TableText"/>
              <w:widowControl w:val="0"/>
              <w:rPr>
                <w:rFonts w:ascii="Tahoma" w:hAnsi="Tahoma" w:cs="Tahoma"/>
                <w:sz w:val="13"/>
              </w:rPr>
            </w:pPr>
          </w:p>
        </w:tc>
      </w:tr>
      <w:tr w:rsidR="00500991" w:rsidRPr="004D10F1" w:rsidDel="00436016" w:rsidTr="000C5B59">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C02B5C" w:rsidRDefault="00A53298" w:rsidP="00C02B5C">
            <w:pPr>
              <w:pStyle w:val="Heading2"/>
              <w:spacing w:beforeLines="20" w:before="48" w:afterLines="20" w:after="48"/>
              <w:ind w:left="0" w:firstLine="15"/>
              <w:rPr>
                <w:rFonts w:ascii="Tahoma" w:hAnsi="Tahoma" w:cs="Tahoma"/>
                <w:b w:val="0"/>
                <w:sz w:val="14"/>
                <w:szCs w:val="14"/>
              </w:rPr>
            </w:pPr>
            <w:bookmarkStart w:id="338" w:name="_Toc363998785"/>
            <w:r w:rsidRPr="00C02B5C">
              <w:rPr>
                <w:rFonts w:ascii="Tahoma" w:hAnsi="Tahoma" w:cs="Tahoma"/>
                <w:b w:val="0"/>
                <w:sz w:val="14"/>
                <w:szCs w:val="14"/>
              </w:rPr>
              <w:t>Add-On für Office 365 Government G1, G3, G4 (Nutzer-AL)</w:t>
            </w:r>
            <w:bookmarkEnd w:id="338"/>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C02B5C" w:rsidRDefault="005B744B" w:rsidP="00C02B5C">
            <w:pPr>
              <w:pStyle w:val="TableText"/>
              <w:widowControl w:val="0"/>
              <w:rPr>
                <w:rFonts w:cs="Tahoma"/>
                <w:sz w:val="13"/>
                <w:szCs w:val="13"/>
              </w:rPr>
            </w:pPr>
            <w:hyperlink w:anchor="_7_Add-on_User" w:history="1">
              <w:r w:rsidR="00605070" w:rsidRPr="00C02B5C">
                <w:rPr>
                  <w:rStyle w:val="Hyperlink"/>
                  <w:rFonts w:cs="Tahoma"/>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D10F1" w:rsidRDefault="00A53298" w:rsidP="000C5B59">
            <w:pPr>
              <w:pStyle w:val="TableText"/>
              <w:widowControl w:val="0"/>
              <w:rPr>
                <w:rFonts w:ascii="Tahoma" w:hAnsi="Tahoma" w:cs="Tahoma"/>
                <w:color w:val="000000"/>
                <w:sz w:val="13"/>
              </w:rPr>
            </w:pPr>
            <w:r w:rsidRPr="004D10F1">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4D10F1" w:rsidDel="00436016" w:rsidRDefault="00A53298" w:rsidP="000C5B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D10F1" w:rsidDel="00436016" w:rsidRDefault="00A53298" w:rsidP="000C5B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D10F1" w:rsidDel="00436016" w:rsidRDefault="00A53298" w:rsidP="000C5B59">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D10F1" w:rsidDel="00436016" w:rsidRDefault="00A53298" w:rsidP="000C5B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D10F1" w:rsidDel="00436016" w:rsidRDefault="00A53298" w:rsidP="000C5B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D10F1" w:rsidDel="00436016" w:rsidRDefault="00A53298" w:rsidP="000C5B59">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4D10F1" w:rsidDel="00436016" w:rsidRDefault="00A53298" w:rsidP="000C5B59">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4D10F1" w:rsidDel="00436016" w:rsidRDefault="00A53298" w:rsidP="000C5B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D10F1" w:rsidDel="00436016" w:rsidRDefault="00A53298" w:rsidP="000C5B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4D10F1" w:rsidDel="00436016" w:rsidRDefault="00A53298" w:rsidP="000C5B59">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4D10F1" w:rsidDel="00436016" w:rsidRDefault="00A53298" w:rsidP="000C5B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4D10F1" w:rsidRDefault="00A53298" w:rsidP="000C5B59">
            <w:pPr>
              <w:pStyle w:val="TableText"/>
              <w:widowControl w:val="0"/>
              <w:rPr>
                <w:rFonts w:ascii="Tahoma" w:hAnsi="Tahoma" w:cs="Tahoma"/>
                <w:sz w:val="13"/>
              </w:rPr>
            </w:pPr>
            <w:r w:rsidRPr="004D10F1">
              <w:rPr>
                <w:rFonts w:ascii="Tahoma" w:hAnsi="Tahoma" w:cs="Tahoma"/>
                <w:sz w:val="13"/>
              </w:rPr>
              <w:t>A</w:t>
            </w:r>
          </w:p>
        </w:tc>
        <w:tc>
          <w:tcPr>
            <w:tcW w:w="36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4D10F1" w:rsidDel="00436016" w:rsidRDefault="00A53298" w:rsidP="000C5B59">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D10F1" w:rsidDel="00436016" w:rsidRDefault="00A53298" w:rsidP="000C5B59">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D10F1" w:rsidDel="00436016" w:rsidRDefault="00A53298" w:rsidP="000C5B59">
            <w:pPr>
              <w:pStyle w:val="TableText"/>
              <w:widowControl w:val="0"/>
              <w:rPr>
                <w:rFonts w:ascii="Tahoma" w:hAnsi="Tahoma" w:cs="Tahoma"/>
                <w:sz w:val="13"/>
              </w:rPr>
            </w:pPr>
          </w:p>
        </w:tc>
      </w:tr>
      <w:tr w:rsidR="00500991" w:rsidRPr="004D10F1" w:rsidDel="00436016" w:rsidTr="000C5B59">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C02B5C" w:rsidRDefault="00273EB9" w:rsidP="00C02B5C">
            <w:pPr>
              <w:pStyle w:val="Heading2"/>
              <w:spacing w:beforeLines="20" w:before="48" w:afterLines="20" w:after="48"/>
              <w:ind w:left="0" w:firstLine="15"/>
              <w:rPr>
                <w:rFonts w:ascii="Tahoma" w:hAnsi="Tahoma" w:cs="Tahoma"/>
                <w:b w:val="0"/>
                <w:sz w:val="14"/>
                <w:szCs w:val="14"/>
              </w:rPr>
            </w:pPr>
            <w:bookmarkStart w:id="339" w:name="_Toc363998786"/>
            <w:r w:rsidRPr="00C02B5C">
              <w:rPr>
                <w:rFonts w:ascii="Tahoma" w:hAnsi="Tahoma" w:cs="Tahoma"/>
                <w:b w:val="0"/>
                <w:sz w:val="14"/>
                <w:szCs w:val="14"/>
              </w:rPr>
              <w:t>Add-On für Office 365 Government G3, G4 ohne Office Pro Plus (Nutzer-AL)</w:t>
            </w:r>
            <w:bookmarkEnd w:id="339"/>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C02B5C" w:rsidRDefault="005B744B" w:rsidP="00C02B5C">
            <w:pPr>
              <w:pStyle w:val="TableText"/>
              <w:widowControl w:val="0"/>
              <w:rPr>
                <w:rFonts w:cs="Tahoma"/>
                <w:sz w:val="13"/>
                <w:szCs w:val="13"/>
              </w:rPr>
            </w:pPr>
            <w:hyperlink w:anchor="_7_Add-on_User" w:history="1">
              <w:r w:rsidR="00605070" w:rsidRPr="00C02B5C">
                <w:rPr>
                  <w:rStyle w:val="Hyperlink"/>
                  <w:rFonts w:cs="Tahoma"/>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D10F1" w:rsidRDefault="00273EB9" w:rsidP="000C5B59">
            <w:pPr>
              <w:pStyle w:val="TableText"/>
              <w:widowControl w:val="0"/>
              <w:rPr>
                <w:rFonts w:ascii="Tahoma" w:hAnsi="Tahoma" w:cs="Tahoma"/>
                <w:color w:val="000000"/>
                <w:sz w:val="13"/>
              </w:rPr>
            </w:pPr>
            <w:r w:rsidRPr="004D10F1">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r w:rsidRPr="004D10F1">
              <w:rPr>
                <w:rFonts w:ascii="Tahoma" w:hAnsi="Tahoma" w:cs="Tahoma"/>
                <w:sz w:val="13"/>
              </w:rPr>
              <w:t>A</w:t>
            </w:r>
          </w:p>
        </w:tc>
        <w:tc>
          <w:tcPr>
            <w:tcW w:w="36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D10F1" w:rsidDel="00436016" w:rsidRDefault="00273EB9"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340" w:name="_Toc336338032"/>
            <w:bookmarkStart w:id="341" w:name="_Toc363998787"/>
            <w:r w:rsidRPr="00C02B5C">
              <w:rPr>
                <w:rFonts w:ascii="Tahoma" w:hAnsi="Tahoma" w:cs="Tahoma"/>
                <w:sz w:val="14"/>
                <w:szCs w:val="14"/>
                <w:lang w:val="de-DE"/>
              </w:rPr>
              <w:t>Office Web-Anwendungen mit SharePoint Plan 2A (Nutzer-AL)</w:t>
            </w:r>
            <w:bookmarkEnd w:id="340"/>
            <w:bookmarkEnd w:id="341"/>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Fonts w:cs="Tahoma"/>
                <w:b/>
                <w:color w:val="0000FF"/>
                <w:sz w:val="13"/>
                <w:szCs w:val="13"/>
                <w:u w:val="single"/>
                <w:lang w:val="de-D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 (nur EES)</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42" w:name="_Toc363998788"/>
            <w:r w:rsidRPr="00C02B5C">
              <w:rPr>
                <w:rFonts w:ascii="Tahoma" w:hAnsi="Tahoma" w:cs="Tahoma"/>
                <w:sz w:val="14"/>
                <w:szCs w:val="14"/>
              </w:rPr>
              <w:t>Project Online</w:t>
            </w:r>
            <w:bookmarkEnd w:id="342"/>
            <w:r w:rsidR="00511436" w:rsidRPr="00C02B5C">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43" w:name="_Toc363998789"/>
            <w:r w:rsidRPr="00C02B5C">
              <w:rPr>
                <w:rFonts w:ascii="Tahoma" w:hAnsi="Tahoma" w:cs="Tahoma"/>
                <w:sz w:val="14"/>
                <w:szCs w:val="14"/>
              </w:rPr>
              <w:t>Project Online A</w:t>
            </w:r>
            <w:bookmarkEnd w:id="343"/>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44" w:name="_Toc336338033"/>
            <w:bookmarkStart w:id="345" w:name="_Toc363998790"/>
            <w:r w:rsidRPr="00C02B5C">
              <w:rPr>
                <w:rFonts w:ascii="Tahoma" w:hAnsi="Tahoma" w:cs="Tahoma"/>
                <w:sz w:val="14"/>
                <w:szCs w:val="14"/>
              </w:rPr>
              <w:t xml:space="preserve">Project Server </w:t>
            </w:r>
            <w:bookmarkEnd w:id="344"/>
            <w:r w:rsidRPr="00C02B5C">
              <w:rPr>
                <w:rFonts w:ascii="Tahoma" w:hAnsi="Tahoma" w:cs="Tahoma"/>
                <w:sz w:val="14"/>
                <w:szCs w:val="14"/>
              </w:rPr>
              <w:t>2013</w:t>
            </w:r>
            <w:bookmarkEnd w:id="345"/>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color w:val="0000FF"/>
                <w:sz w:val="13"/>
                <w:szCs w:val="13"/>
                <w:u w:val="single"/>
              </w:rPr>
            </w:pPr>
            <w:bookmarkStart w:id="346" w:name="_Hlt336249768"/>
          </w:p>
        </w:tc>
        <w:bookmarkEnd w:id="346"/>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50</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125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100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50</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47" w:name="_Toc336338034"/>
            <w:bookmarkStart w:id="348" w:name="_Toc363998791"/>
            <w:r w:rsidRPr="00C02B5C">
              <w:rPr>
                <w:rFonts w:ascii="Tahoma" w:hAnsi="Tahoma" w:cs="Tahoma"/>
                <w:sz w:val="14"/>
                <w:szCs w:val="14"/>
              </w:rPr>
              <w:t>CAL für Project Server</w:t>
            </w:r>
            <w:bookmarkEnd w:id="347"/>
            <w:r w:rsidRPr="00C02B5C">
              <w:rPr>
                <w:rFonts w:ascii="Tahoma" w:hAnsi="Tahoma" w:cs="Tahoma"/>
                <w:sz w:val="14"/>
                <w:szCs w:val="14"/>
              </w:rPr>
              <w:t xml:space="preserve"> 2013</w:t>
            </w:r>
            <w:bookmarkEnd w:id="348"/>
            <w:r w:rsidRPr="00C02B5C">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firstLine="15"/>
              <w:rPr>
                <w:rFonts w:ascii="Tahoma" w:hAnsi="Tahoma" w:cs="Tahoma"/>
                <w:b w:val="0"/>
                <w:sz w:val="14"/>
                <w:szCs w:val="14"/>
              </w:rPr>
            </w:pPr>
            <w:bookmarkStart w:id="349" w:name="_Toc336338036"/>
            <w:bookmarkStart w:id="350" w:name="_Toc363998792"/>
            <w:r w:rsidRPr="00C02B5C">
              <w:rPr>
                <w:rFonts w:ascii="Tahoma" w:hAnsi="Tahoma" w:cs="Tahoma"/>
                <w:b w:val="0"/>
                <w:sz w:val="14"/>
                <w:szCs w:val="14"/>
              </w:rPr>
              <w:t>SharePoint™ Online Extra Storage 1 GB (Add-On-AL)</w:t>
            </w:r>
            <w:bookmarkEnd w:id="349"/>
            <w:bookmarkEnd w:id="350"/>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Fonts w:cs="Tahoma"/>
                <w:b/>
                <w:color w:val="000000"/>
                <w:sz w:val="13"/>
                <w:szCs w:val="13"/>
                <w:u w:val="single"/>
              </w:rPr>
            </w:pPr>
          </w:p>
        </w:tc>
        <w:tc>
          <w:tcPr>
            <w:tcW w:w="450" w:type="dxa"/>
            <w:tcBorders>
              <w:bottom w:val="single" w:sz="4" w:space="0" w:color="auto"/>
            </w:tcBorders>
            <w:shd w:val="clear" w:color="auto" w:fill="auto"/>
            <w:vAlign w:val="center"/>
          </w:tcPr>
          <w:p w:rsidR="001A63C6" w:rsidRPr="004D10F1" w:rsidDel="008F575D" w:rsidRDefault="001A63C6" w:rsidP="000C5B59">
            <w:pPr>
              <w:pStyle w:val="TableText"/>
              <w:widowControl w:val="0"/>
              <w:rPr>
                <w:rFonts w:ascii="Tahoma" w:hAnsi="Tahoma" w:cs="Tahoma"/>
                <w:sz w:val="13"/>
              </w:rPr>
            </w:pPr>
            <w:r w:rsidRPr="004D10F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firstLine="15"/>
              <w:rPr>
                <w:rFonts w:ascii="Tahoma" w:hAnsi="Tahoma" w:cs="Tahoma"/>
                <w:b w:val="0"/>
                <w:sz w:val="14"/>
                <w:szCs w:val="14"/>
              </w:rPr>
            </w:pPr>
            <w:bookmarkStart w:id="351" w:name="_Toc336338037"/>
            <w:bookmarkStart w:id="352" w:name="_Toc363998793"/>
            <w:r w:rsidRPr="00C02B5C">
              <w:rPr>
                <w:rFonts w:ascii="Tahoma" w:hAnsi="Tahoma" w:cs="Tahoma"/>
                <w:b w:val="0"/>
                <w:sz w:val="14"/>
                <w:szCs w:val="14"/>
              </w:rPr>
              <w:t>SharePoint™ Online Extra Storage 1 GB A (Add-On-AL)</w:t>
            </w:r>
            <w:bookmarkEnd w:id="351"/>
            <w:bookmarkEnd w:id="352"/>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 (nur EES)</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auto"/>
            <w:vAlign w:val="center"/>
          </w:tcPr>
          <w:p w:rsidR="009C7B23" w:rsidRPr="00C02B5C" w:rsidRDefault="009C7B23" w:rsidP="00C02B5C">
            <w:pPr>
              <w:pStyle w:val="Heading2"/>
              <w:spacing w:beforeLines="20" w:before="48" w:afterLines="20" w:after="48"/>
              <w:ind w:left="0" w:firstLine="15"/>
              <w:rPr>
                <w:rFonts w:ascii="Tahoma" w:hAnsi="Tahoma" w:cs="Tahoma"/>
                <w:b w:val="0"/>
                <w:sz w:val="14"/>
                <w:szCs w:val="14"/>
                <w:lang w:val="de-DE"/>
              </w:rPr>
            </w:pPr>
            <w:bookmarkStart w:id="353" w:name="_Toc363998794"/>
            <w:r w:rsidRPr="00C02B5C">
              <w:rPr>
                <w:rFonts w:ascii="Tahoma" w:hAnsi="Tahoma" w:cs="Tahoma"/>
                <w:b w:val="0"/>
                <w:sz w:val="14"/>
                <w:szCs w:val="14"/>
                <w:lang w:val="de-DE"/>
              </w:rPr>
              <w:t>Add-On für SharePoint™ Online Plan 1 (Nutzer-AL)</w:t>
            </w:r>
            <w:bookmarkEnd w:id="353"/>
          </w:p>
        </w:tc>
        <w:tc>
          <w:tcPr>
            <w:tcW w:w="450" w:type="dxa"/>
            <w:tcBorders>
              <w:bottom w:val="single" w:sz="4" w:space="0" w:color="auto"/>
            </w:tcBorders>
            <w:shd w:val="clear" w:color="auto" w:fill="auto"/>
            <w:vAlign w:val="center"/>
          </w:tcPr>
          <w:p w:rsidR="009C7B23" w:rsidRPr="00C02B5C" w:rsidRDefault="009C7B23" w:rsidP="00C02B5C">
            <w:pPr>
              <w:pStyle w:val="TableText"/>
              <w:widowControl w:val="0"/>
              <w:rPr>
                <w:rFonts w:cs="Tahoma"/>
                <w:sz w:val="13"/>
                <w:szCs w:val="13"/>
                <w:lang w:val="de-DE"/>
              </w:rPr>
            </w:pPr>
          </w:p>
        </w:tc>
        <w:tc>
          <w:tcPr>
            <w:tcW w:w="450" w:type="dxa"/>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r w:rsidRPr="004D10F1">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9C7B23" w:rsidRPr="004D10F1" w:rsidRDefault="009C7B23"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firstLine="15"/>
              <w:rPr>
                <w:rFonts w:ascii="Tahoma" w:hAnsi="Tahoma" w:cs="Tahoma"/>
                <w:b w:val="0"/>
                <w:sz w:val="14"/>
                <w:szCs w:val="14"/>
                <w:lang w:val="de-DE"/>
              </w:rPr>
            </w:pPr>
            <w:bookmarkStart w:id="354" w:name="_Toc336338038"/>
            <w:bookmarkStart w:id="355" w:name="_Toc363998795"/>
            <w:r w:rsidRPr="00C02B5C">
              <w:rPr>
                <w:rFonts w:ascii="Tahoma" w:hAnsi="Tahoma" w:cs="Tahoma"/>
                <w:b w:val="0"/>
                <w:sz w:val="14"/>
                <w:szCs w:val="14"/>
                <w:lang w:val="de-DE"/>
              </w:rPr>
              <w:t>SharePoint™ Online Plan 1 (Nutzer-AL)</w:t>
            </w:r>
            <w:bookmarkEnd w:id="354"/>
            <w:bookmarkEnd w:id="355"/>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68_SharePoint_Online" w:history="1">
              <w:r w:rsidR="00316801" w:rsidRPr="00C02B5C">
                <w:rPr>
                  <w:rStyle w:val="Hyperlink"/>
                  <w:rFonts w:cs="Tahoma"/>
                  <w:b/>
                  <w:sz w:val="13"/>
                  <w:szCs w:val="13"/>
                </w:rPr>
                <w:t>78</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auto"/>
            <w:vAlign w:val="center"/>
          </w:tcPr>
          <w:p w:rsidR="00273EB9" w:rsidRPr="00C02B5C" w:rsidRDefault="00273EB9" w:rsidP="00C02B5C">
            <w:pPr>
              <w:pStyle w:val="Heading2"/>
              <w:spacing w:beforeLines="20" w:before="48" w:afterLines="20" w:after="48"/>
              <w:ind w:left="0" w:firstLine="15"/>
              <w:rPr>
                <w:rFonts w:ascii="Tahoma" w:hAnsi="Tahoma" w:cs="Tahoma"/>
                <w:b w:val="0"/>
                <w:sz w:val="14"/>
                <w:szCs w:val="14"/>
                <w:lang w:val="de-DE"/>
              </w:rPr>
            </w:pPr>
            <w:bookmarkStart w:id="356" w:name="_Toc363998796"/>
            <w:r w:rsidRPr="00C02B5C">
              <w:rPr>
                <w:rFonts w:ascii="Tahoma" w:hAnsi="Tahoma" w:cs="Tahoma"/>
                <w:b w:val="0"/>
                <w:sz w:val="14"/>
                <w:szCs w:val="14"/>
                <w:lang w:val="de-DE"/>
              </w:rPr>
              <w:t>Add-On für SharePoint™ Online Plan 1 mit Yammer (Nutzer-AL)</w:t>
            </w:r>
            <w:bookmarkEnd w:id="356"/>
          </w:p>
        </w:tc>
        <w:tc>
          <w:tcPr>
            <w:tcW w:w="450" w:type="dxa"/>
            <w:tcBorders>
              <w:bottom w:val="single" w:sz="4" w:space="0" w:color="auto"/>
            </w:tcBorders>
            <w:shd w:val="clear" w:color="auto" w:fill="auto"/>
            <w:vAlign w:val="center"/>
          </w:tcPr>
          <w:p w:rsidR="00273EB9" w:rsidRPr="00C02B5C" w:rsidRDefault="00273EB9" w:rsidP="00C02B5C">
            <w:pPr>
              <w:pStyle w:val="TableText"/>
              <w:widowControl w:val="0"/>
              <w:rPr>
                <w:rFonts w:cs="Tahoma"/>
                <w:sz w:val="13"/>
                <w:szCs w:val="13"/>
                <w:lang w:val="de-DE"/>
              </w:rPr>
            </w:pPr>
          </w:p>
        </w:tc>
        <w:tc>
          <w:tcPr>
            <w:tcW w:w="450" w:type="dxa"/>
            <w:tcBorders>
              <w:bottom w:val="single" w:sz="4"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r w:rsidRPr="004D10F1">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273EB9" w:rsidRPr="004D10F1" w:rsidRDefault="00273EB9"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357" w:name="_Toc336338039"/>
            <w:bookmarkStart w:id="358" w:name="_Toc363998797"/>
            <w:r w:rsidRPr="00C02B5C">
              <w:rPr>
                <w:rFonts w:ascii="Tahoma" w:hAnsi="Tahoma" w:cs="Tahoma"/>
                <w:sz w:val="14"/>
                <w:szCs w:val="14"/>
                <w:lang w:val="de-DE"/>
              </w:rPr>
              <w:t>SharePoint™ Online Plan 2 (Nutzer-AL)</w:t>
            </w:r>
            <w:bookmarkEnd w:id="357"/>
            <w:bookmarkEnd w:id="358"/>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color w:val="000000"/>
                <w:sz w:val="13"/>
                <w:szCs w:val="13"/>
                <w:u w:val="single"/>
              </w:rPr>
            </w:pPr>
            <w:hyperlink w:anchor="_68_SharePoint_Online" w:history="1">
              <w:r w:rsidR="00316801" w:rsidRPr="00C02B5C">
                <w:rPr>
                  <w:rStyle w:val="Hyperlink"/>
                  <w:rFonts w:cs="Tahoma"/>
                  <w:b/>
                  <w:sz w:val="13"/>
                  <w:szCs w:val="13"/>
                </w:rPr>
                <w:t>78</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59" w:name="_Toc336338040"/>
            <w:bookmarkStart w:id="360" w:name="_Toc363998798"/>
            <w:r w:rsidRPr="00C02B5C">
              <w:rPr>
                <w:rFonts w:ascii="Tahoma" w:hAnsi="Tahoma" w:cs="Tahoma"/>
                <w:sz w:val="14"/>
                <w:szCs w:val="14"/>
              </w:rPr>
              <w:t xml:space="preserve">SharePoint™ Server </w:t>
            </w:r>
            <w:bookmarkEnd w:id="359"/>
            <w:r w:rsidRPr="00C02B5C">
              <w:rPr>
                <w:rFonts w:ascii="Tahoma" w:hAnsi="Tahoma" w:cs="Tahoma"/>
                <w:sz w:val="14"/>
                <w:szCs w:val="14"/>
              </w:rPr>
              <w:t>2013</w:t>
            </w:r>
            <w:bookmarkEnd w:id="360"/>
            <w:r w:rsidRPr="00C02B5C">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00"/>
                <w:sz w:val="13"/>
                <w:szCs w:val="13"/>
                <w:u w:val="single"/>
              </w:rPr>
            </w:pPr>
            <w:hyperlink w:anchor="_69_SharePoint_Server" w:history="1">
              <w:r w:rsidR="00FC0808" w:rsidRPr="00A67771">
                <w:rPr>
                  <w:rStyle w:val="Hyperlink"/>
                  <w:rFonts w:cs="Tahoma"/>
                  <w:b/>
                  <w:sz w:val="13"/>
                  <w:szCs w:val="13"/>
                </w:rPr>
                <w:t>79</w:t>
              </w:r>
            </w:hyperlink>
            <w:hyperlink w:anchor="_79_SharePoint_Server" w:history="1"/>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61" w:name="_Toc336338041"/>
            <w:bookmarkStart w:id="362" w:name="_Toc363998799"/>
            <w:r w:rsidRPr="00C02B5C">
              <w:rPr>
                <w:rFonts w:ascii="Tahoma" w:hAnsi="Tahoma" w:cs="Tahoma"/>
                <w:sz w:val="14"/>
                <w:szCs w:val="14"/>
              </w:rPr>
              <w:t>Enterprise CAL für SharePoint™ Server</w:t>
            </w:r>
            <w:bookmarkEnd w:id="361"/>
            <w:r w:rsidRPr="00C02B5C">
              <w:rPr>
                <w:rFonts w:ascii="Tahoma" w:hAnsi="Tahoma" w:cs="Tahoma"/>
                <w:sz w:val="14"/>
                <w:szCs w:val="14"/>
              </w:rPr>
              <w:t>2013</w:t>
            </w:r>
            <w:bookmarkEnd w:id="362"/>
            <w:r w:rsidRPr="00C02B5C">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D</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AO,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260"/>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63" w:name="_Toc336338044"/>
            <w:bookmarkStart w:id="364" w:name="_Toc363998800"/>
            <w:r w:rsidRPr="00C02B5C">
              <w:rPr>
                <w:rFonts w:ascii="Tahoma" w:hAnsi="Tahoma" w:cs="Tahoma"/>
                <w:sz w:val="14"/>
                <w:szCs w:val="14"/>
              </w:rPr>
              <w:t>Standard-CAL für SharePoint™ Server</w:t>
            </w:r>
            <w:bookmarkEnd w:id="363"/>
            <w:r w:rsidRPr="00C02B5C">
              <w:rPr>
                <w:rFonts w:ascii="Tahoma" w:hAnsi="Tahoma" w:cs="Tahoma"/>
                <w:sz w:val="14"/>
                <w:szCs w:val="14"/>
              </w:rPr>
              <w:t>2013</w:t>
            </w:r>
            <w:bookmarkEnd w:id="364"/>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AO,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pt-BR"/>
              </w:rPr>
            </w:pPr>
            <w:bookmarkStart w:id="365" w:name="_Toc336338045"/>
            <w:bookmarkStart w:id="366" w:name="_Toc363998801"/>
            <w:r w:rsidRPr="00C02B5C">
              <w:rPr>
                <w:rFonts w:ascii="Tahoma" w:hAnsi="Tahoma" w:cs="Tahoma"/>
                <w:sz w:val="14"/>
                <w:szCs w:val="14"/>
                <w:lang w:val="pt-BR"/>
              </w:rPr>
              <w:t>SQL Server</w:t>
            </w:r>
            <w:r w:rsidR="0069040B" w:rsidRPr="0069040B">
              <w:rPr>
                <w:rFonts w:ascii="Tahoma" w:eastAsia="Times New Roman" w:hAnsi="Tahoma" w:cs="Tahoma"/>
                <w:color w:val="000000"/>
                <w:sz w:val="14"/>
                <w:szCs w:val="14"/>
                <w:vertAlign w:val="superscript"/>
                <w:lang w:val="pt-BR"/>
              </w:rPr>
              <w:t>®</w:t>
            </w:r>
            <w:r w:rsidRPr="00C02B5C">
              <w:rPr>
                <w:rFonts w:ascii="Tahoma" w:hAnsi="Tahoma" w:cs="Tahoma"/>
                <w:sz w:val="14"/>
                <w:szCs w:val="14"/>
                <w:lang w:val="pt-BR"/>
              </w:rPr>
              <w:t xml:space="preserve"> 2008 R2 Datacenter, 1 Prozessorlizenz</w:t>
            </w:r>
            <w:bookmarkEnd w:id="365"/>
            <w:bookmarkEnd w:id="366"/>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75_73_SQL" w:history="1">
              <w:r w:rsidR="00316801" w:rsidRPr="00C02B5C">
                <w:rPr>
                  <w:rStyle w:val="Hyperlink"/>
                  <w:rFonts w:cs="Tahoma"/>
                  <w:b/>
                  <w:sz w:val="13"/>
                  <w:szCs w:val="13"/>
                </w:rPr>
                <w:t>80</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67" w:name="_Toc336338048"/>
            <w:bookmarkStart w:id="368" w:name="_Toc363998802"/>
            <w:r w:rsidRPr="00C02B5C">
              <w:rPr>
                <w:rFonts w:ascii="Tahoma" w:hAnsi="Tahoma" w:cs="Tahoma"/>
                <w:sz w:val="14"/>
                <w:szCs w:val="14"/>
              </w:rPr>
              <w:t>SQL Server</w:t>
            </w:r>
            <w:r w:rsidR="0069040B" w:rsidRPr="0069040B">
              <w:rPr>
                <w:rFonts w:ascii="Tahoma" w:eastAsia="Times New Roman" w:hAnsi="Tahoma" w:cs="Tahoma"/>
                <w:color w:val="000000"/>
                <w:sz w:val="14"/>
                <w:szCs w:val="14"/>
                <w:vertAlign w:val="superscript"/>
              </w:rPr>
              <w:t>®</w:t>
            </w:r>
            <w:r w:rsidRPr="00C02B5C">
              <w:rPr>
                <w:rFonts w:ascii="Tahoma" w:hAnsi="Tahoma" w:cs="Tahoma"/>
                <w:sz w:val="14"/>
                <w:szCs w:val="14"/>
              </w:rPr>
              <w:t xml:space="preserve"> 2008 R2 Small Business</w:t>
            </w:r>
            <w:bookmarkEnd w:id="367"/>
            <w:bookmarkEnd w:id="368"/>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00"/>
                <w:sz w:val="13"/>
                <w:szCs w:val="13"/>
                <w:u w:val="single"/>
              </w:rPr>
            </w:pPr>
            <w:hyperlink w:anchor="_76_74_SQL" w:history="1">
              <w:r w:rsidR="00316801" w:rsidRPr="00C02B5C">
                <w:rPr>
                  <w:rStyle w:val="Hyperlink"/>
                  <w:rFonts w:cs="Tahoma"/>
                  <w:b/>
                  <w:sz w:val="13"/>
                  <w:szCs w:val="13"/>
                </w:rPr>
                <w:t>81</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69" w:name="_Toc336338049"/>
            <w:bookmarkStart w:id="370" w:name="_Toc363998803"/>
            <w:r w:rsidRPr="00C02B5C">
              <w:rPr>
                <w:rFonts w:ascii="Tahoma" w:hAnsi="Tahoma" w:cs="Tahoma"/>
                <w:sz w:val="14"/>
                <w:szCs w:val="14"/>
              </w:rPr>
              <w:t>CAL für SQL Server</w:t>
            </w:r>
            <w:r w:rsidR="0069040B" w:rsidRPr="0069040B">
              <w:rPr>
                <w:rFonts w:ascii="Tahoma" w:eastAsia="Times New Roman" w:hAnsi="Tahoma" w:cs="Tahoma"/>
                <w:color w:val="000000"/>
                <w:sz w:val="14"/>
                <w:szCs w:val="14"/>
                <w:vertAlign w:val="superscript"/>
              </w:rPr>
              <w:t>®</w:t>
            </w:r>
            <w:r w:rsidRPr="00C02B5C">
              <w:rPr>
                <w:rFonts w:ascii="Tahoma" w:hAnsi="Tahoma" w:cs="Tahoma"/>
                <w:sz w:val="14"/>
                <w:szCs w:val="14"/>
              </w:rPr>
              <w:t xml:space="preserve"> 2008 R2 Small Business</w:t>
            </w:r>
            <w:bookmarkEnd w:id="369"/>
            <w:bookmarkEnd w:id="370"/>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71" w:name="_Toc336338050"/>
            <w:bookmarkStart w:id="372" w:name="_Toc363998804"/>
            <w:r w:rsidRPr="00C02B5C">
              <w:rPr>
                <w:rFonts w:ascii="Tahoma" w:hAnsi="Tahoma" w:cs="Tahoma"/>
                <w:sz w:val="14"/>
                <w:szCs w:val="14"/>
              </w:rPr>
              <w:t>SQL Server</w:t>
            </w:r>
            <w:r w:rsidR="0069040B" w:rsidRPr="0069040B">
              <w:rPr>
                <w:rFonts w:ascii="Tahoma" w:eastAsia="Times New Roman" w:hAnsi="Tahoma" w:cs="Tahoma"/>
                <w:color w:val="000000"/>
                <w:sz w:val="14"/>
                <w:szCs w:val="14"/>
                <w:vertAlign w:val="superscript"/>
              </w:rPr>
              <w:t>®</w:t>
            </w:r>
            <w:r w:rsidRPr="00C02B5C">
              <w:rPr>
                <w:rFonts w:ascii="Tahoma" w:hAnsi="Tahoma" w:cs="Tahoma"/>
                <w:sz w:val="14"/>
                <w:szCs w:val="14"/>
              </w:rPr>
              <w:t xml:space="preserve"> 2008 R2 Web pro Prozessor</w:t>
            </w:r>
            <w:bookmarkEnd w:id="371"/>
            <w:bookmarkEnd w:id="372"/>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00"/>
                <w:sz w:val="13"/>
                <w:szCs w:val="13"/>
                <w:u w:val="single"/>
              </w:rPr>
            </w:pPr>
            <w:hyperlink w:anchor="_77_75_SQL" w:history="1">
              <w:r w:rsidR="00316801" w:rsidRPr="00C02B5C">
                <w:rPr>
                  <w:rStyle w:val="Hyperlink"/>
                  <w:rFonts w:cs="Tahoma"/>
                  <w:b/>
                  <w:sz w:val="13"/>
                  <w:szCs w:val="13"/>
                </w:rPr>
                <w:t>82</w:t>
              </w:r>
            </w:hyperlink>
            <w:hyperlink w:anchor="Srv_84SQL2008R2Webproc" w:history="1"/>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73" w:name="_Toc336338051"/>
            <w:bookmarkStart w:id="374" w:name="_Toc363998805"/>
            <w:r w:rsidRPr="00C02B5C">
              <w:rPr>
                <w:rFonts w:ascii="Tahoma" w:hAnsi="Tahoma" w:cs="Tahoma"/>
                <w:sz w:val="14"/>
                <w:szCs w:val="14"/>
              </w:rPr>
              <w:t>CAL für SQL Server</w:t>
            </w:r>
            <w:r w:rsidR="0069040B" w:rsidRPr="0069040B">
              <w:rPr>
                <w:rFonts w:ascii="Tahoma" w:eastAsia="Times New Roman" w:hAnsi="Tahoma" w:cs="Tahoma"/>
                <w:color w:val="000000"/>
                <w:sz w:val="14"/>
                <w:szCs w:val="14"/>
                <w:vertAlign w:val="superscript"/>
              </w:rPr>
              <w:t>®</w:t>
            </w:r>
            <w:r w:rsidRPr="00C02B5C">
              <w:rPr>
                <w:rFonts w:ascii="Tahoma" w:hAnsi="Tahoma" w:cs="Tahoma"/>
                <w:sz w:val="14"/>
                <w:szCs w:val="14"/>
              </w:rPr>
              <w:t xml:space="preserve"> 2008 R2 Workgroup</w:t>
            </w:r>
            <w:bookmarkEnd w:id="373"/>
            <w:bookmarkEnd w:id="374"/>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75" w:name="_Toc336338053"/>
            <w:bookmarkStart w:id="376" w:name="_Toc363998806"/>
            <w:r w:rsidRPr="00C02B5C">
              <w:rPr>
                <w:rFonts w:ascii="Tahoma" w:hAnsi="Tahoma" w:cs="Tahoma"/>
                <w:sz w:val="14"/>
                <w:szCs w:val="14"/>
              </w:rPr>
              <w:t>SQL Server</w:t>
            </w:r>
            <w:r w:rsidR="0069040B" w:rsidRPr="0069040B">
              <w:rPr>
                <w:rFonts w:ascii="Tahoma" w:eastAsia="Times New Roman" w:hAnsi="Tahoma" w:cs="Tahoma"/>
                <w:color w:val="000000"/>
                <w:sz w:val="14"/>
                <w:szCs w:val="14"/>
                <w:vertAlign w:val="superscript"/>
              </w:rPr>
              <w:t>®</w:t>
            </w:r>
            <w:r w:rsidRPr="00C02B5C">
              <w:rPr>
                <w:rFonts w:ascii="Tahoma" w:hAnsi="Tahoma" w:cs="Tahoma"/>
                <w:sz w:val="14"/>
                <w:szCs w:val="14"/>
              </w:rPr>
              <w:t xml:space="preserve"> 2008 R2 Workgroup </w:t>
            </w:r>
            <w:r w:rsidR="00C02B5C">
              <w:rPr>
                <w:rFonts w:ascii="Tahoma" w:hAnsi="Tahoma" w:cs="Tahoma"/>
                <w:sz w:val="14"/>
                <w:szCs w:val="14"/>
              </w:rPr>
              <w:br/>
            </w:r>
            <w:r w:rsidRPr="00C02B5C">
              <w:rPr>
                <w:rFonts w:ascii="Tahoma" w:hAnsi="Tahoma" w:cs="Tahoma"/>
                <w:sz w:val="14"/>
                <w:szCs w:val="14"/>
              </w:rPr>
              <w:t>(Add-On für 5 Clients)</w:t>
            </w:r>
            <w:bookmarkEnd w:id="375"/>
            <w:bookmarkEnd w:id="376"/>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00"/>
                <w:sz w:val="13"/>
                <w:szCs w:val="13"/>
                <w:u w:val="single"/>
              </w:rPr>
            </w:pPr>
            <w:hyperlink w:anchor="_85_84_SQL" w:history="1">
              <w:r w:rsidR="00316801" w:rsidRPr="00C02B5C">
                <w:rPr>
                  <w:rStyle w:val="Hyperlink"/>
                  <w:rFonts w:cs="Tahoma"/>
                  <w:b/>
                  <w:sz w:val="13"/>
                  <w:szCs w:val="13"/>
                </w:rPr>
                <w:t>83</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77" w:name="_Toc336338052"/>
            <w:bookmarkStart w:id="378" w:name="_Toc363998807"/>
            <w:r w:rsidRPr="00C02B5C">
              <w:rPr>
                <w:rFonts w:ascii="Tahoma" w:hAnsi="Tahoma" w:cs="Tahoma"/>
                <w:sz w:val="14"/>
                <w:szCs w:val="14"/>
              </w:rPr>
              <w:t>SQL Server</w:t>
            </w:r>
            <w:r w:rsidR="0069040B" w:rsidRPr="0069040B">
              <w:rPr>
                <w:rFonts w:ascii="Tahoma" w:eastAsia="Times New Roman" w:hAnsi="Tahoma" w:cs="Tahoma"/>
                <w:color w:val="000000"/>
                <w:sz w:val="14"/>
                <w:szCs w:val="14"/>
                <w:vertAlign w:val="superscript"/>
              </w:rPr>
              <w:t>®</w:t>
            </w:r>
            <w:r w:rsidRPr="00C02B5C">
              <w:rPr>
                <w:rFonts w:ascii="Tahoma" w:hAnsi="Tahoma" w:cs="Tahoma"/>
                <w:sz w:val="14"/>
                <w:szCs w:val="14"/>
              </w:rPr>
              <w:t xml:space="preserve"> 2008 R2 Workgroup, 1 Prozessorlizenz</w:t>
            </w:r>
            <w:bookmarkEnd w:id="377"/>
            <w:bookmarkEnd w:id="378"/>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color w:val="000000"/>
                <w:sz w:val="13"/>
                <w:szCs w:val="13"/>
              </w:rPr>
            </w:pPr>
            <w:hyperlink w:anchor="_79_77_SQL" w:history="1">
              <w:r w:rsidR="00316801" w:rsidRPr="00C02B5C">
                <w:rPr>
                  <w:rStyle w:val="Hyperlink"/>
                  <w:rFonts w:cs="Tahoma"/>
                  <w:b/>
                  <w:sz w:val="13"/>
                  <w:szCs w:val="13"/>
                </w:rPr>
                <w:t>84</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79" w:name="_Toc336338054"/>
            <w:bookmarkStart w:id="380" w:name="_Toc363998808"/>
            <w:r w:rsidRPr="00C02B5C">
              <w:rPr>
                <w:rFonts w:ascii="Tahoma" w:hAnsi="Tahoma" w:cs="Tahoma"/>
                <w:sz w:val="14"/>
                <w:szCs w:val="14"/>
              </w:rPr>
              <w:t>SQL Server</w:t>
            </w:r>
            <w:r w:rsidR="0069040B" w:rsidRPr="0069040B">
              <w:rPr>
                <w:rFonts w:ascii="Tahoma" w:eastAsia="Times New Roman" w:hAnsi="Tahoma" w:cs="Tahoma"/>
                <w:color w:val="000000"/>
                <w:sz w:val="14"/>
                <w:szCs w:val="14"/>
                <w:vertAlign w:val="superscript"/>
              </w:rPr>
              <w:t>®</w:t>
            </w:r>
            <w:r w:rsidRPr="00C02B5C">
              <w:rPr>
                <w:rFonts w:ascii="Tahoma" w:hAnsi="Tahoma" w:cs="Tahoma"/>
                <w:sz w:val="14"/>
                <w:szCs w:val="14"/>
              </w:rPr>
              <w:t xml:space="preserve"> 2012 Business Intelligence</w:t>
            </w:r>
            <w:bookmarkEnd w:id="379"/>
            <w:bookmarkEnd w:id="380"/>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u w:val="single"/>
              </w:rPr>
              <w:t>75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150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75</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381" w:name="_Toc336338055"/>
            <w:bookmarkStart w:id="382" w:name="_Toc363998809"/>
            <w:r w:rsidRPr="00C02B5C">
              <w:rPr>
                <w:rFonts w:ascii="Tahoma" w:hAnsi="Tahoma" w:cs="Tahoma"/>
                <w:sz w:val="14"/>
                <w:szCs w:val="14"/>
                <w:lang w:val="de-DE"/>
              </w:rPr>
              <w:t>CAL für SQL Server</w:t>
            </w:r>
            <w:r w:rsidR="0069040B" w:rsidRPr="0069040B">
              <w:rPr>
                <w:rFonts w:ascii="Tahoma" w:eastAsia="Times New Roman" w:hAnsi="Tahoma" w:cs="Tahoma"/>
                <w:color w:val="000000"/>
                <w:sz w:val="14"/>
                <w:szCs w:val="14"/>
                <w:vertAlign w:val="superscript"/>
                <w:lang w:val="de-DE"/>
              </w:rPr>
              <w:t>®</w:t>
            </w:r>
            <w:r w:rsidRPr="00C02B5C">
              <w:rPr>
                <w:rFonts w:ascii="Tahoma" w:hAnsi="Tahoma" w:cs="Tahoma"/>
                <w:sz w:val="14"/>
                <w:szCs w:val="14"/>
                <w:lang w:val="de-DE"/>
              </w:rPr>
              <w:t xml:space="preserve"> 2012 (Geräte- &amp; Nutzer-AL)</w:t>
            </w:r>
            <w:bookmarkEnd w:id="381"/>
            <w:bookmarkEnd w:id="382"/>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A,S,D</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AO,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260"/>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83" w:name="_Toc336338056"/>
            <w:bookmarkStart w:id="384" w:name="_Toc363998810"/>
            <w:r w:rsidRPr="00C02B5C">
              <w:rPr>
                <w:rFonts w:ascii="Tahoma" w:hAnsi="Tahoma" w:cs="Tahoma"/>
                <w:sz w:val="14"/>
                <w:szCs w:val="14"/>
              </w:rPr>
              <w:t>SQL Server</w:t>
            </w:r>
            <w:r w:rsidR="0069040B" w:rsidRPr="0069040B">
              <w:rPr>
                <w:rFonts w:ascii="Tahoma" w:eastAsia="Times New Roman" w:hAnsi="Tahoma" w:cs="Tahoma"/>
                <w:color w:val="000000"/>
                <w:sz w:val="14"/>
                <w:szCs w:val="14"/>
                <w:vertAlign w:val="superscript"/>
              </w:rPr>
              <w:t>®</w:t>
            </w:r>
            <w:r w:rsidRPr="00C02B5C">
              <w:rPr>
                <w:rFonts w:ascii="Tahoma" w:hAnsi="Tahoma" w:cs="Tahoma"/>
                <w:sz w:val="14"/>
                <w:szCs w:val="14"/>
              </w:rPr>
              <w:t xml:space="preserve"> 2012 Developer</w:t>
            </w:r>
            <w:bookmarkEnd w:id="383"/>
            <w:bookmarkEnd w:id="384"/>
            <w:r w:rsidRPr="00C02B5C">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00"/>
                <w:sz w:val="13"/>
                <w:szCs w:val="13"/>
              </w:rPr>
            </w:pPr>
            <w:hyperlink w:anchor="_80_78_SQL" w:history="1">
              <w:r w:rsidR="00316801" w:rsidRPr="00C02B5C">
                <w:rPr>
                  <w:rStyle w:val="Hyperlink"/>
                  <w:rFonts w:cs="Tahoma"/>
                  <w:b/>
                  <w:sz w:val="13"/>
                  <w:szCs w:val="13"/>
                </w:rPr>
                <w:t>85</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85" w:name="_Toc336338057"/>
            <w:bookmarkStart w:id="386" w:name="_Toc363998811"/>
            <w:r w:rsidRPr="00C02B5C">
              <w:rPr>
                <w:rFonts w:ascii="Tahoma" w:hAnsi="Tahoma" w:cs="Tahoma"/>
                <w:sz w:val="14"/>
                <w:szCs w:val="14"/>
              </w:rPr>
              <w:t>SQL Server</w:t>
            </w:r>
            <w:r w:rsidR="0069040B" w:rsidRPr="0069040B">
              <w:rPr>
                <w:rFonts w:ascii="Tahoma" w:eastAsia="Times New Roman" w:hAnsi="Tahoma" w:cs="Tahoma"/>
                <w:color w:val="000000"/>
                <w:sz w:val="14"/>
                <w:szCs w:val="14"/>
                <w:vertAlign w:val="superscript"/>
              </w:rPr>
              <w:t>®</w:t>
            </w:r>
            <w:r w:rsidRPr="00C02B5C">
              <w:rPr>
                <w:rFonts w:ascii="Tahoma" w:hAnsi="Tahoma" w:cs="Tahoma"/>
                <w:sz w:val="14"/>
                <w:szCs w:val="14"/>
              </w:rPr>
              <w:t xml:space="preserve"> 2012 Enterprise</w:t>
            </w:r>
            <w:bookmarkEnd w:id="385"/>
            <w:bookmarkEnd w:id="386"/>
            <w:r w:rsidRPr="00C02B5C">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color w:val="000000"/>
                <w:sz w:val="13"/>
                <w:szCs w:val="13"/>
              </w:rPr>
            </w:pPr>
            <w:hyperlink w:anchor="_81_79_SQL" w:history="1">
              <w:r w:rsidR="00316801" w:rsidRPr="00C02B5C">
                <w:rPr>
                  <w:rStyle w:val="Hyperlink"/>
                  <w:rFonts w:cs="Tahoma"/>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87" w:name="_Toc336338058"/>
            <w:bookmarkStart w:id="388" w:name="_Toc363998812"/>
            <w:r w:rsidRPr="00C02B5C">
              <w:rPr>
                <w:rFonts w:ascii="Tahoma" w:hAnsi="Tahoma" w:cs="Tahoma"/>
                <w:sz w:val="14"/>
                <w:szCs w:val="14"/>
              </w:rPr>
              <w:t>SQL Server</w:t>
            </w:r>
            <w:r w:rsidR="0069040B" w:rsidRPr="0069040B">
              <w:rPr>
                <w:rFonts w:ascii="Tahoma" w:eastAsia="Times New Roman" w:hAnsi="Tahoma" w:cs="Tahoma"/>
                <w:color w:val="000000"/>
                <w:sz w:val="14"/>
                <w:szCs w:val="14"/>
                <w:vertAlign w:val="superscript"/>
              </w:rPr>
              <w:t>®</w:t>
            </w:r>
            <w:r w:rsidRPr="00C02B5C">
              <w:rPr>
                <w:rFonts w:ascii="Tahoma" w:hAnsi="Tahoma" w:cs="Tahoma"/>
                <w:sz w:val="14"/>
                <w:szCs w:val="14"/>
              </w:rPr>
              <w:t xml:space="preserve"> 2012 Enterprise Core (2Pack</w:t>
            </w:r>
            <w:r w:rsidR="000C5B59">
              <w:rPr>
                <w:rFonts w:ascii="Tahoma" w:hAnsi="Tahoma" w:cs="Tahoma"/>
                <w:sz w:val="14"/>
                <w:szCs w:val="14"/>
              </w:rPr>
              <w:t> </w:t>
            </w:r>
            <w:r w:rsidRPr="00C02B5C">
              <w:rPr>
                <w:rFonts w:ascii="Tahoma" w:hAnsi="Tahoma" w:cs="Tahoma"/>
                <w:sz w:val="14"/>
                <w:szCs w:val="14"/>
              </w:rPr>
              <w:t>Core-Lizenz)</w:t>
            </w:r>
            <w:bookmarkEnd w:id="387"/>
            <w:bookmarkEnd w:id="388"/>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80_SQL_Server®" w:history="1">
              <w:r w:rsidR="00316801" w:rsidRPr="00C02B5C">
                <w:rPr>
                  <w:rStyle w:val="Hyperlink"/>
                  <w:rFonts w:cs="Tahoma"/>
                  <w:b/>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125</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89" w:name="_Toc336338046"/>
            <w:bookmarkStart w:id="390" w:name="_Toc363998813"/>
            <w:r w:rsidRPr="00C02B5C">
              <w:rPr>
                <w:rFonts w:ascii="Tahoma" w:hAnsi="Tahoma" w:cs="Tahoma"/>
                <w:sz w:val="14"/>
                <w:szCs w:val="14"/>
              </w:rPr>
              <w:t>SQL Server</w:t>
            </w:r>
            <w:r w:rsidR="0069040B" w:rsidRPr="0069040B">
              <w:rPr>
                <w:rFonts w:ascii="Tahoma" w:eastAsia="Times New Roman" w:hAnsi="Tahoma" w:cs="Tahoma"/>
                <w:color w:val="000000"/>
                <w:sz w:val="14"/>
                <w:szCs w:val="14"/>
                <w:vertAlign w:val="superscript"/>
              </w:rPr>
              <w:t>®</w:t>
            </w:r>
            <w:r w:rsidRPr="00C02B5C">
              <w:rPr>
                <w:rFonts w:ascii="Tahoma" w:hAnsi="Tahoma" w:cs="Tahoma"/>
                <w:sz w:val="14"/>
                <w:szCs w:val="14"/>
              </w:rPr>
              <w:t xml:space="preserve"> 2012 Parallel Data Warehouse</w:t>
            </w:r>
            <w:bookmarkEnd w:id="389"/>
            <w:bookmarkEnd w:id="390"/>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00"/>
                <w:sz w:val="13"/>
                <w:szCs w:val="13"/>
                <w:u w:val="single"/>
              </w:rPr>
            </w:pPr>
            <w:hyperlink w:anchor="_80_SQL_Server" w:history="1">
              <w:r w:rsidR="00316801" w:rsidRPr="00C02B5C">
                <w:rPr>
                  <w:rStyle w:val="Hyperlink"/>
                  <w:rFonts w:cs="Tahoma"/>
                  <w:b/>
                  <w:sz w:val="13"/>
                  <w:szCs w:val="13"/>
                </w:rPr>
                <w:t>88</w:t>
              </w:r>
            </w:hyperlink>
            <w:hyperlink w:anchor="_80_SQL_Server" w:history="1"/>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91" w:name="_Toc336338047"/>
            <w:bookmarkStart w:id="392" w:name="_Toc363998814"/>
            <w:r w:rsidRPr="00C02B5C">
              <w:rPr>
                <w:rFonts w:ascii="Tahoma" w:hAnsi="Tahoma" w:cs="Tahoma"/>
                <w:sz w:val="14"/>
                <w:szCs w:val="14"/>
              </w:rPr>
              <w:t>SQL Server</w:t>
            </w:r>
            <w:r w:rsidR="0069040B" w:rsidRPr="0069040B">
              <w:rPr>
                <w:rFonts w:ascii="Tahoma" w:eastAsia="Times New Roman" w:hAnsi="Tahoma" w:cs="Tahoma"/>
                <w:color w:val="000000"/>
                <w:sz w:val="14"/>
                <w:szCs w:val="14"/>
                <w:vertAlign w:val="superscript"/>
              </w:rPr>
              <w:t>®</w:t>
            </w:r>
            <w:r w:rsidRPr="00C02B5C">
              <w:rPr>
                <w:rFonts w:ascii="Tahoma" w:hAnsi="Tahoma" w:cs="Tahoma"/>
                <w:sz w:val="14"/>
                <w:szCs w:val="14"/>
              </w:rPr>
              <w:t xml:space="preserve"> 2012 Parallel Data Warehouse Developer</w:t>
            </w:r>
            <w:bookmarkEnd w:id="391"/>
            <w:bookmarkEnd w:id="392"/>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93" w:name="_Toc336338059"/>
            <w:bookmarkStart w:id="394" w:name="_Toc363998815"/>
            <w:r w:rsidRPr="00C02B5C">
              <w:rPr>
                <w:rFonts w:ascii="Tahoma" w:hAnsi="Tahoma" w:cs="Tahoma"/>
                <w:sz w:val="14"/>
                <w:szCs w:val="14"/>
              </w:rPr>
              <w:t>SQL Server</w:t>
            </w:r>
            <w:r w:rsidR="0069040B" w:rsidRPr="0069040B">
              <w:rPr>
                <w:rFonts w:ascii="Tahoma" w:eastAsia="Times New Roman" w:hAnsi="Tahoma" w:cs="Tahoma"/>
                <w:color w:val="000000"/>
                <w:sz w:val="14"/>
                <w:szCs w:val="14"/>
                <w:vertAlign w:val="superscript"/>
              </w:rPr>
              <w:t>®</w:t>
            </w:r>
            <w:r w:rsidRPr="00C02B5C">
              <w:rPr>
                <w:rFonts w:ascii="Tahoma" w:hAnsi="Tahoma" w:cs="Tahoma"/>
                <w:sz w:val="14"/>
                <w:szCs w:val="14"/>
              </w:rPr>
              <w:t xml:space="preserve"> 2012 Standard</w:t>
            </w:r>
            <w:bookmarkEnd w:id="393"/>
            <w:bookmarkEnd w:id="394"/>
            <w:r w:rsidRPr="00C02B5C">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82_SQL_Server®" w:history="1">
              <w:r w:rsidR="00316801" w:rsidRPr="00C02B5C">
                <w:rPr>
                  <w:rStyle w:val="Hyperlink"/>
                  <w:rFonts w:cs="Tahoma"/>
                  <w:b/>
                  <w:sz w:val="13"/>
                  <w:szCs w:val="13"/>
                </w:rPr>
                <w:t>89</w:t>
              </w:r>
            </w:hyperlink>
            <w:hyperlink w:anchor="Srv_90SQLServer2012Standard" w:history="1"/>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95" w:name="_Toc336338060"/>
            <w:bookmarkStart w:id="396" w:name="_Toc363998816"/>
            <w:r w:rsidRPr="00C02B5C">
              <w:rPr>
                <w:rFonts w:ascii="Tahoma" w:hAnsi="Tahoma" w:cs="Tahoma"/>
                <w:sz w:val="14"/>
                <w:szCs w:val="14"/>
              </w:rPr>
              <w:t>SQL Server</w:t>
            </w:r>
            <w:r w:rsidR="0069040B" w:rsidRPr="0069040B">
              <w:rPr>
                <w:rFonts w:ascii="Tahoma" w:eastAsia="Times New Roman" w:hAnsi="Tahoma" w:cs="Tahoma"/>
                <w:color w:val="000000"/>
                <w:sz w:val="14"/>
                <w:szCs w:val="14"/>
                <w:vertAlign w:val="superscript"/>
              </w:rPr>
              <w:t>®</w:t>
            </w:r>
            <w:r w:rsidRPr="00C02B5C">
              <w:rPr>
                <w:rFonts w:ascii="Tahoma" w:hAnsi="Tahoma" w:cs="Tahoma"/>
                <w:sz w:val="14"/>
                <w:szCs w:val="14"/>
              </w:rPr>
              <w:t xml:space="preserve"> 2012 Standard Core (2 Pack Core-Lizenz)</w:t>
            </w:r>
            <w:bookmarkEnd w:id="395"/>
            <w:bookmarkEnd w:id="396"/>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color w:val="000000"/>
                <w:sz w:val="13"/>
                <w:szCs w:val="13"/>
                <w:u w:val="single"/>
              </w:rPr>
            </w:pPr>
            <w:hyperlink w:anchor="_85_83_SQL" w:history="1">
              <w:r w:rsidR="00316801" w:rsidRPr="00C02B5C">
                <w:rPr>
                  <w:rStyle w:val="Hyperlink"/>
                  <w:rFonts w:cs="Tahoma"/>
                  <w:b/>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397" w:name="_Toc336338062"/>
            <w:bookmarkStart w:id="398" w:name="_Toc363998817"/>
            <w:r w:rsidRPr="00C02B5C">
              <w:rPr>
                <w:rFonts w:ascii="Tahoma" w:hAnsi="Tahoma" w:cs="Tahoma"/>
                <w:sz w:val="14"/>
                <w:szCs w:val="14"/>
              </w:rPr>
              <w:t>Enterprise-Server-Management-Lizenz fürSystem Center Configuration Manager 2007 R3</w:t>
            </w:r>
            <w:bookmarkEnd w:id="397"/>
            <w:bookmarkEnd w:id="398"/>
            <w:r w:rsidRPr="00C02B5C">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399" w:name="_Toc336338063"/>
            <w:bookmarkStart w:id="400" w:name="_Toc363998818"/>
            <w:r w:rsidRPr="00C02B5C">
              <w:rPr>
                <w:rFonts w:ascii="Tahoma" w:hAnsi="Tahoma" w:cs="Tahoma"/>
                <w:sz w:val="14"/>
                <w:szCs w:val="14"/>
                <w:lang w:val="de-DE"/>
              </w:rPr>
              <w:t>Standard-Server-Management-Lizenz (Standard-Server-ML) für System Center Configuration Manager 2007 R3</w:t>
            </w:r>
            <w:bookmarkEnd w:id="399"/>
            <w:bookmarkEnd w:id="400"/>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color w:val="0000FF"/>
                <w:sz w:val="13"/>
                <w:szCs w:val="13"/>
                <w:u w:val="single"/>
                <w:lang w:val="de-D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F674A6">
            <w:pPr>
              <w:pStyle w:val="ProductNames"/>
              <w:spacing w:beforeLines="20" w:before="48" w:afterLines="20" w:after="48"/>
              <w:rPr>
                <w:rFonts w:ascii="Tahoma" w:hAnsi="Tahoma" w:cs="Tahoma"/>
                <w:sz w:val="14"/>
                <w:szCs w:val="14"/>
              </w:rPr>
            </w:pPr>
            <w:bookmarkStart w:id="401" w:name="_Toc257333903"/>
            <w:bookmarkStart w:id="402" w:name="_Toc336338067"/>
            <w:bookmarkStart w:id="403" w:name="_Toc363998819"/>
            <w:r w:rsidRPr="00C02B5C">
              <w:rPr>
                <w:rFonts w:ascii="Tahoma" w:hAnsi="Tahoma" w:cs="Tahoma"/>
                <w:sz w:val="14"/>
                <w:szCs w:val="14"/>
              </w:rPr>
              <w:t>Enterprise-Server-Management-Lizenz</w:t>
            </w:r>
            <w:r w:rsidR="00F674A6">
              <w:rPr>
                <w:rFonts w:ascii="Tahoma" w:hAnsi="Tahoma" w:cs="Tahoma"/>
                <w:sz w:val="14"/>
                <w:szCs w:val="14"/>
              </w:rPr>
              <w:t> </w:t>
            </w:r>
            <w:r w:rsidRPr="00C02B5C">
              <w:rPr>
                <w:rFonts w:ascii="Tahoma" w:hAnsi="Tahoma" w:cs="Tahoma"/>
                <w:sz w:val="14"/>
                <w:szCs w:val="14"/>
              </w:rPr>
              <w:t>fürSystem Center Data Protection Manager 2010</w:t>
            </w:r>
            <w:bookmarkEnd w:id="401"/>
            <w:bookmarkEnd w:id="402"/>
            <w:bookmarkEnd w:id="403"/>
            <w:r w:rsidRPr="00C02B5C">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AO,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B33D0E" w:rsidRPr="004D10F1" w:rsidTr="00F674A6">
        <w:trPr>
          <w:cantSplit/>
          <w:trHeight w:val="145"/>
        </w:trPr>
        <w:tc>
          <w:tcPr>
            <w:tcW w:w="2734" w:type="dxa"/>
            <w:gridSpan w:val="2"/>
            <w:tcBorders>
              <w:bottom w:val="single" w:sz="4" w:space="0" w:color="auto"/>
            </w:tcBorders>
            <w:shd w:val="clear" w:color="auto" w:fill="FABF8F"/>
            <w:vAlign w:val="center"/>
          </w:tcPr>
          <w:p w:rsidR="001A63C6" w:rsidRPr="00C02B5C" w:rsidRDefault="001A63C6" w:rsidP="00F674A6">
            <w:pPr>
              <w:pStyle w:val="ProductNames"/>
              <w:spacing w:beforeLines="20" w:before="48" w:afterLines="20" w:after="48"/>
              <w:rPr>
                <w:rFonts w:ascii="Tahoma" w:hAnsi="Tahoma" w:cs="Tahoma"/>
                <w:sz w:val="14"/>
                <w:szCs w:val="14"/>
              </w:rPr>
            </w:pPr>
            <w:bookmarkStart w:id="404" w:name="_Toc257333904"/>
            <w:bookmarkStart w:id="405" w:name="_Toc336338068"/>
            <w:bookmarkStart w:id="406" w:name="_Toc363998820"/>
            <w:r w:rsidRPr="00C02B5C">
              <w:rPr>
                <w:rFonts w:ascii="Tahoma" w:hAnsi="Tahoma" w:cs="Tahoma"/>
                <w:sz w:val="14"/>
                <w:szCs w:val="14"/>
              </w:rPr>
              <w:t>Standard-Server-Management-Lizenz fürSystem Center Data Protection Manager</w:t>
            </w:r>
            <w:r w:rsidR="00F674A6">
              <w:rPr>
                <w:rFonts w:ascii="Tahoma" w:hAnsi="Tahoma" w:cs="Tahoma"/>
                <w:sz w:val="14"/>
                <w:szCs w:val="14"/>
              </w:rPr>
              <w:t> </w:t>
            </w:r>
            <w:r w:rsidRPr="00C02B5C">
              <w:rPr>
                <w:rFonts w:ascii="Tahoma" w:hAnsi="Tahoma" w:cs="Tahoma"/>
                <w:sz w:val="14"/>
                <w:szCs w:val="14"/>
              </w:rPr>
              <w:t>2010</w:t>
            </w:r>
            <w:bookmarkEnd w:id="404"/>
            <w:bookmarkEnd w:id="405"/>
            <w:bookmarkEnd w:id="406"/>
            <w:r w:rsidRPr="00C02B5C">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AO,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407" w:name="_Toc336338069"/>
            <w:bookmarkStart w:id="408" w:name="_Toc363998821"/>
            <w:bookmarkStart w:id="409" w:name="_Toc257333905"/>
            <w:r w:rsidRPr="00C02B5C">
              <w:rPr>
                <w:rFonts w:ascii="Tahoma" w:hAnsi="Tahoma" w:cs="Tahoma"/>
                <w:sz w:val="14"/>
                <w:szCs w:val="14"/>
              </w:rPr>
              <w:t>System Center Essentials 2010</w:t>
            </w:r>
            <w:bookmarkEnd w:id="407"/>
            <w:bookmarkEnd w:id="408"/>
            <w:r w:rsidRPr="00C02B5C">
              <w:rPr>
                <w:rFonts w:ascii="Tahoma" w:hAnsi="Tahoma" w:cs="Tahoma"/>
                <w:sz w:val="14"/>
                <w:szCs w:val="14"/>
              </w:rPr>
              <w:t xml:space="preserve"> </w:t>
            </w:r>
            <w:bookmarkEnd w:id="409"/>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79_System_Center" w:history="1">
              <w:r w:rsidR="00316801" w:rsidRPr="00C02B5C">
                <w:rPr>
                  <w:rStyle w:val="Hyperlink"/>
                  <w:rFonts w:cs="Tahoma"/>
                  <w:b/>
                  <w:sz w:val="13"/>
                  <w:szCs w:val="13"/>
                </w:rPr>
                <w:t>91</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B33D0E" w:rsidRPr="00FB51BA"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5A76F9">
            <w:pPr>
              <w:pStyle w:val="ProductNames"/>
              <w:spacing w:beforeLines="20" w:before="48" w:afterLines="20" w:after="48"/>
              <w:rPr>
                <w:rFonts w:ascii="Tahoma" w:hAnsi="Tahoma" w:cs="Tahoma"/>
                <w:sz w:val="14"/>
                <w:szCs w:val="14"/>
                <w:lang w:val="de-DE"/>
              </w:rPr>
            </w:pPr>
            <w:bookmarkStart w:id="410" w:name="_Toc257333906"/>
            <w:bookmarkStart w:id="411" w:name="_Toc336338070"/>
            <w:bookmarkStart w:id="412" w:name="_Toc363998822"/>
            <w:r w:rsidRPr="00C02B5C">
              <w:rPr>
                <w:rFonts w:ascii="Tahoma" w:hAnsi="Tahoma" w:cs="Tahoma"/>
                <w:sz w:val="14"/>
                <w:szCs w:val="14"/>
                <w:lang w:val="de-DE"/>
              </w:rPr>
              <w:t>Client-ML für System Center Essentials</w:t>
            </w:r>
            <w:r w:rsidR="005A76F9">
              <w:rPr>
                <w:rFonts w:ascii="Tahoma" w:hAnsi="Tahoma" w:cs="Tahoma"/>
                <w:sz w:val="14"/>
                <w:szCs w:val="14"/>
                <w:lang w:val="de-DE"/>
              </w:rPr>
              <w:t> </w:t>
            </w:r>
            <w:r w:rsidRPr="00C02B5C">
              <w:rPr>
                <w:rFonts w:ascii="Tahoma" w:hAnsi="Tahoma" w:cs="Tahoma"/>
                <w:sz w:val="14"/>
                <w:szCs w:val="14"/>
                <w:lang w:val="de-DE"/>
              </w:rPr>
              <w:t>2010</w:t>
            </w:r>
            <w:bookmarkEnd w:id="410"/>
            <w:bookmarkEnd w:id="411"/>
            <w:bookmarkEnd w:id="412"/>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E22E42" w:rsidRDefault="001A63C6" w:rsidP="000C5B59">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r>
      <w:tr w:rsidR="001A63C6" w:rsidRPr="00FB51BA"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5A76F9">
            <w:pPr>
              <w:pStyle w:val="ProductNames"/>
              <w:spacing w:beforeLines="20" w:before="48" w:afterLines="20" w:after="48"/>
              <w:rPr>
                <w:rFonts w:ascii="Tahoma" w:hAnsi="Tahoma" w:cs="Tahoma"/>
                <w:sz w:val="14"/>
                <w:szCs w:val="14"/>
                <w:lang w:val="de-DE"/>
              </w:rPr>
            </w:pPr>
            <w:bookmarkStart w:id="413" w:name="_Toc257333908"/>
            <w:bookmarkStart w:id="414" w:name="_Toc336338071"/>
            <w:bookmarkStart w:id="415" w:name="_Toc363998823"/>
            <w:r w:rsidRPr="00C02B5C">
              <w:rPr>
                <w:rFonts w:ascii="Tahoma" w:hAnsi="Tahoma" w:cs="Tahoma"/>
                <w:sz w:val="14"/>
                <w:szCs w:val="14"/>
                <w:lang w:val="de-DE"/>
              </w:rPr>
              <w:t>Server-ML für System Center Essentials</w:t>
            </w:r>
            <w:r w:rsidR="005A76F9">
              <w:rPr>
                <w:rFonts w:ascii="Tahoma" w:hAnsi="Tahoma" w:cs="Tahoma"/>
                <w:sz w:val="14"/>
                <w:szCs w:val="14"/>
                <w:lang w:val="de-DE"/>
              </w:rPr>
              <w:t> </w:t>
            </w:r>
            <w:r w:rsidRPr="00C02B5C">
              <w:rPr>
                <w:rFonts w:ascii="Tahoma" w:hAnsi="Tahoma" w:cs="Tahoma"/>
                <w:sz w:val="14"/>
                <w:szCs w:val="14"/>
                <w:lang w:val="de-DE"/>
              </w:rPr>
              <w:t>2010</w:t>
            </w:r>
            <w:bookmarkEnd w:id="413"/>
            <w:bookmarkEnd w:id="414"/>
            <w:bookmarkEnd w:id="415"/>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color w:val="000000"/>
                <w:sz w:val="13"/>
                <w:lang w:val="de-DE"/>
              </w:rPr>
            </w:pPr>
          </w:p>
        </w:tc>
      </w:tr>
      <w:tr w:rsidR="00B33D0E" w:rsidRPr="00FB51BA"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416" w:name="_Toc336338072"/>
            <w:bookmarkStart w:id="417" w:name="_Toc363998824"/>
            <w:bookmarkStart w:id="418" w:name="_Toc257333910"/>
            <w:r w:rsidRPr="00C02B5C">
              <w:rPr>
                <w:rFonts w:ascii="Tahoma" w:hAnsi="Tahoma" w:cs="Tahoma"/>
                <w:sz w:val="14"/>
                <w:szCs w:val="14"/>
                <w:lang w:val="de-DE"/>
              </w:rPr>
              <w:t>System Center Essentials 2010 mit SQL Server 2008-Technologie</w:t>
            </w:r>
            <w:bookmarkEnd w:id="416"/>
            <w:bookmarkEnd w:id="417"/>
            <w:r w:rsidRPr="00C02B5C">
              <w:rPr>
                <w:rFonts w:ascii="Tahoma" w:hAnsi="Tahoma" w:cs="Tahoma"/>
                <w:sz w:val="14"/>
                <w:szCs w:val="14"/>
                <w:lang w:val="de-DE"/>
              </w:rPr>
              <w:t xml:space="preserve"> </w:t>
            </w:r>
            <w:bookmarkEnd w:id="418"/>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3"/>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gridSpan w:val="2"/>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left w:val="single" w:sz="18" w:space="0" w:color="auto"/>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450" w:type="dxa"/>
            <w:tcBorders>
              <w:bottom w:val="single" w:sz="4" w:space="0" w:color="auto"/>
              <w:right w:val="single" w:sz="18"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c>
          <w:tcPr>
            <w:tcW w:w="540" w:type="dxa"/>
            <w:tcBorders>
              <w:bottom w:val="single" w:sz="4" w:space="0" w:color="auto"/>
            </w:tcBorders>
            <w:shd w:val="clear" w:color="auto" w:fill="FABF8F"/>
            <w:vAlign w:val="center"/>
          </w:tcPr>
          <w:p w:rsidR="001A63C6" w:rsidRPr="00E22E42" w:rsidRDefault="001A63C6" w:rsidP="000C5B59">
            <w:pPr>
              <w:pStyle w:val="TableText"/>
              <w:widowControl w:val="0"/>
              <w:rPr>
                <w:rFonts w:ascii="Tahoma" w:hAnsi="Tahoma" w:cs="Tahoma"/>
                <w:color w:val="000000"/>
                <w:sz w:val="13"/>
                <w:lang w:val="de-DE"/>
              </w:rPr>
            </w:pP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419" w:name="_Toc336338073"/>
            <w:bookmarkStart w:id="420" w:name="_Toc363998825"/>
            <w:r w:rsidRPr="00C02B5C">
              <w:rPr>
                <w:rFonts w:ascii="Tahoma" w:hAnsi="Tahoma" w:cs="Tahoma"/>
                <w:sz w:val="14"/>
                <w:szCs w:val="14"/>
              </w:rPr>
              <w:t>Lizenz-Suite für System Center Essentials Plus 2010 Client-Management</w:t>
            </w:r>
            <w:bookmarkEnd w:id="419"/>
            <w:bookmarkEnd w:id="420"/>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421" w:name="_Toc336338077"/>
            <w:bookmarkStart w:id="422" w:name="_Toc363998826"/>
            <w:r w:rsidRPr="00C02B5C">
              <w:rPr>
                <w:rFonts w:ascii="Tahoma" w:hAnsi="Tahoma" w:cs="Tahoma"/>
                <w:sz w:val="14"/>
                <w:szCs w:val="14"/>
                <w:lang w:val="de-DE"/>
              </w:rPr>
              <w:t>Standard-Server-Management-Lizenz fürSystem Center Operations Manager 2007 R2</w:t>
            </w:r>
            <w:bookmarkEnd w:id="421"/>
            <w:bookmarkEnd w:id="422"/>
            <w:r w:rsidRPr="00C02B5C">
              <w:rPr>
                <w:rFonts w:ascii="Tahoma" w:hAnsi="Tahoma" w:cs="Tahoma"/>
                <w:sz w:val="14"/>
                <w:szCs w:val="14"/>
                <w:lang w:val="de-DE"/>
              </w:rPr>
              <w:t xml:space="preserve"> </w:t>
            </w:r>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5A76F9">
            <w:pPr>
              <w:pStyle w:val="ProductNames"/>
              <w:spacing w:beforeLines="20" w:before="48" w:afterLines="20" w:after="48"/>
              <w:rPr>
                <w:rFonts w:ascii="Tahoma" w:hAnsi="Tahoma" w:cs="Tahoma"/>
                <w:sz w:val="14"/>
                <w:szCs w:val="14"/>
              </w:rPr>
            </w:pPr>
            <w:bookmarkStart w:id="423" w:name="_Toc336338078"/>
            <w:bookmarkStart w:id="424" w:name="_Toc363998827"/>
            <w:r w:rsidRPr="00C02B5C">
              <w:rPr>
                <w:rFonts w:ascii="Tahoma" w:hAnsi="Tahoma" w:cs="Tahoma"/>
                <w:sz w:val="14"/>
                <w:szCs w:val="14"/>
              </w:rPr>
              <w:t>Enterprise-Server-Management-Lizenz fürSystem Center Operations Manager</w:t>
            </w:r>
            <w:r w:rsidR="005A76F9">
              <w:rPr>
                <w:rFonts w:ascii="Tahoma" w:hAnsi="Tahoma" w:cs="Tahoma"/>
                <w:sz w:val="14"/>
                <w:szCs w:val="14"/>
              </w:rPr>
              <w:t> </w:t>
            </w:r>
            <w:r w:rsidRPr="00C02B5C">
              <w:rPr>
                <w:rFonts w:ascii="Tahoma" w:hAnsi="Tahoma" w:cs="Tahoma"/>
                <w:sz w:val="14"/>
                <w:szCs w:val="14"/>
              </w:rPr>
              <w:t>2007</w:t>
            </w:r>
            <w:r w:rsidR="00F674A6">
              <w:rPr>
                <w:rFonts w:ascii="Tahoma" w:hAnsi="Tahoma" w:cs="Tahoma"/>
                <w:sz w:val="14"/>
                <w:szCs w:val="14"/>
              </w:rPr>
              <w:t> </w:t>
            </w:r>
            <w:r w:rsidRPr="00C02B5C">
              <w:rPr>
                <w:rFonts w:ascii="Tahoma" w:hAnsi="Tahoma" w:cs="Tahoma"/>
                <w:sz w:val="14"/>
                <w:szCs w:val="14"/>
              </w:rPr>
              <w:t>R2</w:t>
            </w:r>
            <w:bookmarkEnd w:id="423"/>
            <w:bookmarkEnd w:id="424"/>
            <w:r w:rsidRPr="00C02B5C">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425" w:name="_Toc336338079"/>
            <w:bookmarkStart w:id="426" w:name="_Toc363998828"/>
            <w:r w:rsidRPr="00C02B5C">
              <w:rPr>
                <w:rFonts w:ascii="Tahoma" w:hAnsi="Tahoma" w:cs="Tahoma"/>
                <w:sz w:val="14"/>
                <w:szCs w:val="14"/>
                <w:lang w:val="de-DE"/>
              </w:rPr>
              <w:t>Client-Management-Lizenz pro OSE fürSystem Center Operations Manager 2007 R2</w:t>
            </w:r>
            <w:bookmarkEnd w:id="425"/>
            <w:bookmarkEnd w:id="426"/>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AO,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427" w:name="_Toc336338080"/>
            <w:bookmarkStart w:id="428" w:name="_Toc363998829"/>
            <w:r w:rsidRPr="00C02B5C">
              <w:rPr>
                <w:rFonts w:ascii="Tahoma" w:hAnsi="Tahoma" w:cs="Tahoma"/>
                <w:sz w:val="14"/>
                <w:szCs w:val="14"/>
                <w:lang w:val="de-DE"/>
              </w:rPr>
              <w:t>Client-Management-Lizenz pro Nutzer fürSystem Center Operations Manager 2007 R2</w:t>
            </w:r>
            <w:bookmarkEnd w:id="427"/>
            <w:bookmarkEnd w:id="428"/>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color w:val="000000"/>
                <w:sz w:val="13"/>
                <w:szCs w:val="13"/>
                <w:u w:val="single"/>
                <w:lang w:val="de-D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rPr>
            </w:pPr>
          </w:p>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AO,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429" w:name="_Toc336338081"/>
            <w:bookmarkStart w:id="430" w:name="_Toc363998830"/>
            <w:r w:rsidRPr="00C02B5C">
              <w:rPr>
                <w:rFonts w:ascii="Tahoma" w:hAnsi="Tahoma" w:cs="Tahoma"/>
                <w:sz w:val="14"/>
                <w:szCs w:val="14"/>
              </w:rPr>
              <w:t>System Center Reporting Manager 2006</w:t>
            </w:r>
            <w:bookmarkEnd w:id="429"/>
            <w:bookmarkEnd w:id="430"/>
            <w:r w:rsidRPr="00C02B5C">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80_System_Center" w:history="1">
              <w:r w:rsidR="00316801" w:rsidRPr="00C02B5C">
                <w:rPr>
                  <w:rStyle w:val="Hyperlink"/>
                  <w:rFonts w:cs="Tahoma"/>
                  <w:b/>
                  <w:sz w:val="13"/>
                  <w:szCs w:val="13"/>
                </w:rPr>
                <w:t>92</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431" w:name="_Toc336338082"/>
            <w:bookmarkStart w:id="432" w:name="_Toc363998831"/>
            <w:r w:rsidRPr="00C02B5C">
              <w:rPr>
                <w:rFonts w:ascii="Tahoma" w:hAnsi="Tahoma" w:cs="Tahoma"/>
                <w:sz w:val="14"/>
                <w:szCs w:val="14"/>
              </w:rPr>
              <w:t>System Center Server Management Suite Enterprise</w:t>
            </w:r>
            <w:bookmarkEnd w:id="431"/>
            <w:bookmarkEnd w:id="432"/>
            <w:r w:rsidRPr="00C02B5C">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Srv_85SysCtrSvrMgmtSuiteEnterprise" w:history="1">
              <w:r w:rsidR="00316801" w:rsidRPr="00C02B5C">
                <w:rPr>
                  <w:rStyle w:val="Hyperlink"/>
                  <w:rFonts w:cs="Tahoma"/>
                  <w:b/>
                  <w:sz w:val="13"/>
                  <w:szCs w:val="13"/>
                </w:rPr>
                <w:t>93</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4"/>
              <w:spacing w:beforeLines="20" w:before="48" w:afterLines="20" w:after="48"/>
              <w:ind w:left="0" w:firstLine="0"/>
              <w:rPr>
                <w:rFonts w:ascii="Tahoma" w:hAnsi="Tahoma" w:cs="Tahoma"/>
                <w:b w:val="0"/>
                <w:sz w:val="14"/>
                <w:szCs w:val="14"/>
              </w:rPr>
            </w:pPr>
            <w:bookmarkStart w:id="433" w:name="_Toc336338083"/>
            <w:bookmarkStart w:id="434" w:name="_Toc363998832"/>
            <w:r w:rsidRPr="00C02B5C">
              <w:rPr>
                <w:rFonts w:ascii="Tahoma" w:hAnsi="Tahoma" w:cs="Tahoma"/>
                <w:b w:val="0"/>
                <w:sz w:val="14"/>
                <w:szCs w:val="14"/>
              </w:rPr>
              <w:t>System Center Server Management Suite Datacenter</w:t>
            </w:r>
            <w:bookmarkEnd w:id="433"/>
            <w:bookmarkEnd w:id="434"/>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sz w:val="13"/>
                <w:szCs w:val="13"/>
                <w:u w:val="single"/>
              </w:rPr>
            </w:pPr>
            <w:hyperlink w:anchor="_86_System_Center" w:history="1">
              <w:r w:rsidR="00316801" w:rsidRPr="00C02B5C">
                <w:rPr>
                  <w:rStyle w:val="Hyperlink"/>
                  <w:rFonts w:cs="Tahoma"/>
                  <w:b/>
                  <w:sz w:val="13"/>
                  <w:szCs w:val="13"/>
                </w:rPr>
                <w:t>94</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1A63C6"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b/>
                <w:sz w:val="14"/>
                <w:szCs w:val="14"/>
                <w:lang w:val="de-DE"/>
              </w:rPr>
            </w:pPr>
            <w:bookmarkStart w:id="435" w:name="_Toc336338086"/>
            <w:bookmarkStart w:id="436" w:name="_Toc363998833"/>
            <w:r w:rsidRPr="00C02B5C">
              <w:rPr>
                <w:rFonts w:ascii="Tahoma" w:hAnsi="Tahoma" w:cs="Tahoma"/>
                <w:sz w:val="14"/>
                <w:szCs w:val="14"/>
                <w:lang w:val="de-DE"/>
              </w:rPr>
              <w:t>Client-Management-Lizenz (Client-ML) für System Center Service Manager 2010 pro Betriebssystemumgebung</w:t>
            </w:r>
            <w:bookmarkEnd w:id="435"/>
            <w:bookmarkEnd w:id="436"/>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rPr>
            </w:pPr>
          </w:p>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AO,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b/>
                <w:sz w:val="14"/>
                <w:szCs w:val="14"/>
                <w:lang w:val="de-DE"/>
              </w:rPr>
            </w:pPr>
            <w:bookmarkStart w:id="437" w:name="_Toc336338087"/>
            <w:bookmarkStart w:id="438" w:name="_Toc363998834"/>
            <w:r w:rsidRPr="00C02B5C">
              <w:rPr>
                <w:rFonts w:ascii="Tahoma" w:hAnsi="Tahoma" w:cs="Tahoma"/>
                <w:sz w:val="14"/>
                <w:szCs w:val="14"/>
                <w:lang w:val="de-DE"/>
              </w:rPr>
              <w:t>Client-Management-Lizenz (Client-ML) für System Center Service Manager 2010 pro Nutzer</w:t>
            </w:r>
            <w:bookmarkEnd w:id="437"/>
            <w:bookmarkEnd w:id="438"/>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rPr>
            </w:pPr>
          </w:p>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AO,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3"/>
              <w:spacing w:beforeLines="20" w:before="48" w:afterLines="20" w:after="48"/>
              <w:rPr>
                <w:rFonts w:ascii="Tahoma" w:hAnsi="Tahoma" w:cs="Tahoma"/>
                <w:b w:val="0"/>
                <w:sz w:val="14"/>
                <w:szCs w:val="14"/>
                <w:lang w:val="de-DE"/>
              </w:rPr>
            </w:pPr>
            <w:bookmarkStart w:id="439" w:name="_Toc336338088"/>
            <w:bookmarkStart w:id="440" w:name="_Toc363998835"/>
            <w:r w:rsidRPr="00C02B5C">
              <w:rPr>
                <w:rFonts w:ascii="Tahoma" w:hAnsi="Tahoma" w:cs="Tahoma"/>
                <w:b w:val="0"/>
                <w:sz w:val="14"/>
                <w:szCs w:val="14"/>
                <w:lang w:val="de-DE"/>
              </w:rPr>
              <w:t>Server-Management-Lizenz (Server-ML) für System Center Service Manager 2010 pro Betriebssystemumgebung</w:t>
            </w:r>
            <w:bookmarkEnd w:id="439"/>
            <w:bookmarkEnd w:id="440"/>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rPr>
            </w:pPr>
          </w:p>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6864A1" w:rsidRPr="004D10F1" w:rsidTr="000C5B59">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C02B5C" w:rsidRDefault="001A63C6" w:rsidP="000C5B59">
            <w:pPr>
              <w:pStyle w:val="Heading2"/>
              <w:spacing w:beforeLines="20" w:before="48" w:afterLines="20" w:after="48"/>
              <w:ind w:left="44"/>
              <w:rPr>
                <w:rFonts w:ascii="Tahoma" w:hAnsi="Tahoma" w:cs="Tahoma"/>
                <w:b w:val="0"/>
                <w:sz w:val="14"/>
                <w:szCs w:val="14"/>
                <w:lang w:val="de-DE"/>
              </w:rPr>
            </w:pPr>
            <w:bookmarkStart w:id="441" w:name="_Toc336338089"/>
            <w:bookmarkStart w:id="442" w:name="_Toc363998836"/>
            <w:r w:rsidRPr="00C02B5C">
              <w:rPr>
                <w:rFonts w:ascii="Tahoma" w:hAnsi="Tahoma" w:cs="Tahoma"/>
                <w:b w:val="0"/>
                <w:sz w:val="14"/>
                <w:szCs w:val="14"/>
                <w:lang w:val="de-DE"/>
              </w:rPr>
              <w:t>Client-Management-Lizenz für System Center Virtual Machine Manager 2008 R2 pro Betriebssystemumgebung</w:t>
            </w:r>
            <w:bookmarkEnd w:id="441"/>
            <w:bookmarkEnd w:id="442"/>
          </w:p>
        </w:tc>
        <w:tc>
          <w:tcPr>
            <w:tcW w:w="450" w:type="dxa"/>
            <w:tcBorders>
              <w:bottom w:val="single" w:sz="2" w:space="0" w:color="auto"/>
            </w:tcBorders>
            <w:shd w:val="clear" w:color="auto" w:fill="FABF8F"/>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87_System_Center" w:history="1">
              <w:r w:rsidR="00316801" w:rsidRPr="00C02B5C">
                <w:rPr>
                  <w:rStyle w:val="Hyperlink"/>
                  <w:rFonts w:cs="Tahoma"/>
                  <w:b/>
                  <w:sz w:val="13"/>
                  <w:szCs w:val="13"/>
                </w:rPr>
                <w:t>95</w:t>
              </w:r>
            </w:hyperlink>
          </w:p>
        </w:tc>
        <w:tc>
          <w:tcPr>
            <w:tcW w:w="450" w:type="dxa"/>
            <w:tcBorders>
              <w:bottom w:val="single" w:sz="2"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11/09</w:t>
            </w:r>
          </w:p>
        </w:tc>
        <w:tc>
          <w:tcPr>
            <w:tcW w:w="360" w:type="dxa"/>
            <w:tcBorders>
              <w:bottom w:val="single" w:sz="2" w:space="0" w:color="auto"/>
              <w:right w:val="single" w:sz="5"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SRV</w:t>
            </w:r>
          </w:p>
        </w:tc>
        <w:tc>
          <w:tcPr>
            <w:tcW w:w="360" w:type="dxa"/>
            <w:tcBorders>
              <w:left w:val="single" w:sz="5" w:space="0" w:color="auto"/>
              <w:bottom w:val="single" w:sz="2"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3"/>
            <w:tcBorders>
              <w:bottom w:val="single" w:sz="2"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360" w:type="dxa"/>
            <w:tcBorders>
              <w:bottom w:val="single" w:sz="2" w:space="0" w:color="auto"/>
              <w:right w:val="single" w:sz="5"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bottom w:val="single" w:sz="2"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bottom w:val="single" w:sz="2" w:space="0" w:color="auto"/>
              <w:right w:val="single" w:sz="5"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1</w:t>
            </w:r>
          </w:p>
        </w:tc>
        <w:tc>
          <w:tcPr>
            <w:tcW w:w="450" w:type="dxa"/>
            <w:tcBorders>
              <w:bottom w:val="single" w:sz="2" w:space="0" w:color="auto"/>
              <w:right w:val="single" w:sz="5"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360" w:type="dxa"/>
            <w:tcBorders>
              <w:left w:val="single" w:sz="5" w:space="0" w:color="auto"/>
              <w:bottom w:val="single" w:sz="2" w:space="0" w:color="auto"/>
              <w:right w:val="single" w:sz="5"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540" w:type="dxa"/>
            <w:tcBorders>
              <w:bottom w:val="single" w:sz="2"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3"/>
              </w:rPr>
              <w:t>A</w:t>
            </w:r>
          </w:p>
        </w:tc>
        <w:tc>
          <w:tcPr>
            <w:tcW w:w="540" w:type="dxa"/>
            <w:tcBorders>
              <w:bottom w:val="single" w:sz="2"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r>
      <w:tr w:rsidR="006864A1"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443" w:name="_Toc336338090"/>
            <w:bookmarkStart w:id="444" w:name="_Toc363998837"/>
            <w:r w:rsidRPr="00C02B5C">
              <w:rPr>
                <w:rFonts w:ascii="Tahoma" w:hAnsi="Tahoma" w:cs="Tahoma"/>
                <w:b w:val="0"/>
                <w:sz w:val="14"/>
                <w:szCs w:val="14"/>
                <w:lang w:val="de-DE"/>
              </w:rPr>
              <w:t>Client-Management-Lizenz für System Center Virtual Machine Manager 2008 R2 pro Nutzer</w:t>
            </w:r>
            <w:bookmarkEnd w:id="443"/>
            <w:bookmarkEnd w:id="444"/>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sz w:val="13"/>
                <w:szCs w:val="13"/>
                <w:u w:val="single"/>
              </w:rPr>
            </w:pPr>
            <w:hyperlink w:anchor="_87_System_Center" w:history="1">
              <w:r w:rsidR="00316801" w:rsidRPr="00C02B5C">
                <w:rPr>
                  <w:rStyle w:val="Hyperlink"/>
                  <w:rFonts w:cs="Tahoma"/>
                  <w:b/>
                  <w:sz w:val="13"/>
                  <w:szCs w:val="13"/>
                </w:rPr>
                <w:t>95</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11/09</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4"/>
                <w:szCs w:val="14"/>
              </w:rPr>
            </w:pPr>
          </w:p>
        </w:tc>
      </w:tr>
      <w:tr w:rsidR="006864A1"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445" w:name="_Toc336338091"/>
            <w:bookmarkStart w:id="446" w:name="_Toc363998838"/>
            <w:r w:rsidRPr="00C02B5C">
              <w:rPr>
                <w:rFonts w:ascii="Tahoma" w:hAnsi="Tahoma" w:cs="Tahoma"/>
                <w:color w:val="000000"/>
                <w:sz w:val="14"/>
                <w:szCs w:val="14"/>
                <w:lang w:val="de-DE"/>
              </w:rPr>
              <w:t>Enterprise-Server-Management-Lizenz für System Center Virtual Machine Manager 2008 R2</w:t>
            </w:r>
            <w:bookmarkEnd w:id="445"/>
            <w:bookmarkEnd w:id="446"/>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sz w:val="13"/>
                <w:szCs w:val="13"/>
                <w:u w:val="single"/>
              </w:rPr>
            </w:pPr>
            <w:hyperlink w:anchor="_87_System_Center" w:history="1">
              <w:r w:rsidR="005E70E4" w:rsidRPr="00C02B5C">
                <w:rPr>
                  <w:rStyle w:val="Hyperlink"/>
                  <w:rFonts w:cs="Tahoma"/>
                  <w:b/>
                  <w:sz w:val="13"/>
                  <w:szCs w:val="13"/>
                </w:rPr>
                <w:t>95</w:t>
              </w:r>
            </w:hyperlink>
            <w:hyperlink w:anchor="Srv_100SysCenterVMM2008R2" w:history="1"/>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10/08</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4"/>
                <w:szCs w:val="14"/>
              </w:rPr>
              <w:t>10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4"/>
                <w:szCs w:val="14"/>
              </w:rPr>
            </w:pPr>
          </w:p>
        </w:tc>
      </w:tr>
      <w:tr w:rsidR="006864A1" w:rsidRPr="004D10F1" w:rsidTr="000C5B59">
        <w:trPr>
          <w:trHeight w:val="368"/>
        </w:trPr>
        <w:tc>
          <w:tcPr>
            <w:tcW w:w="2734" w:type="dxa"/>
            <w:gridSpan w:val="2"/>
            <w:tcBorders>
              <w:bottom w:val="single" w:sz="4" w:space="0" w:color="auto"/>
            </w:tcBorders>
            <w:shd w:val="clear" w:color="auto" w:fill="FABF8F"/>
            <w:vAlign w:val="center"/>
          </w:tcPr>
          <w:p w:rsidR="001A63C6" w:rsidRPr="008849B7" w:rsidRDefault="001A63C6" w:rsidP="00C02B5C">
            <w:pPr>
              <w:pStyle w:val="ProductNames"/>
              <w:spacing w:beforeLines="20" w:before="48" w:afterLines="20" w:after="48"/>
              <w:rPr>
                <w:rFonts w:ascii="Tahoma" w:hAnsi="Tahoma" w:cs="Tahoma"/>
                <w:sz w:val="14"/>
                <w:szCs w:val="14"/>
                <w:lang w:val="de-DE"/>
              </w:rPr>
            </w:pPr>
            <w:bookmarkStart w:id="447" w:name="_Toc336338093"/>
            <w:bookmarkStart w:id="448" w:name="_Toc363998839"/>
            <w:r w:rsidRPr="008849B7">
              <w:rPr>
                <w:rFonts w:ascii="Tahoma" w:hAnsi="Tahoma" w:cs="Tahoma"/>
                <w:sz w:val="14"/>
                <w:szCs w:val="14"/>
                <w:lang w:val="de-DE"/>
              </w:rPr>
              <w:t>System Center 2012 Client Management Suite (Client-ML) pro Betriebssystemumgebung</w:t>
            </w:r>
            <w:bookmarkEnd w:id="447"/>
            <w:bookmarkEnd w:id="448"/>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00"/>
                <w:sz w:val="13"/>
                <w:szCs w:val="13"/>
                <w:u w:val="single"/>
              </w:rPr>
            </w:pPr>
            <w:hyperlink w:anchor="_91_89_System" w:history="1">
              <w:r w:rsidR="00316801" w:rsidRPr="00C02B5C">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A, E</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P</w:t>
            </w:r>
          </w:p>
        </w:tc>
        <w:tc>
          <w:tcPr>
            <w:tcW w:w="540" w:type="dxa"/>
            <w:tcBorders>
              <w:bottom w:val="single" w:sz="4" w:space="0" w:color="auto"/>
            </w:tcBorders>
            <w:shd w:val="clear" w:color="auto" w:fill="FABF8F"/>
            <w:vAlign w:val="center"/>
          </w:tcPr>
          <w:p w:rsidR="001A63C6" w:rsidRPr="004D10F1" w:rsidRDefault="001A63C6" w:rsidP="000C5B59">
            <w:pPr>
              <w:jc w:val="center"/>
              <w:rPr>
                <w:rFonts w:cs="Tahoma"/>
              </w:rPr>
            </w:pPr>
            <w:r w:rsidRPr="004D10F1">
              <w:rPr>
                <w:rFonts w:cs="Tahoma"/>
                <w:sz w:val="13"/>
                <w:szCs w:val="13"/>
              </w:rPr>
              <w:t>AO, ST</w:t>
            </w:r>
          </w:p>
          <w:p w:rsidR="001A63C6" w:rsidRPr="004D10F1" w:rsidRDefault="001A63C6" w:rsidP="000C5B59">
            <w:pPr>
              <w:pStyle w:val="TableText"/>
              <w:widowControl w:val="0"/>
              <w:rPr>
                <w:rFonts w:ascii="Tahoma" w:hAnsi="Tahoma" w:cs="Tahoma"/>
                <w:sz w:val="13"/>
                <w:szCs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6864A1" w:rsidRPr="004D10F1" w:rsidTr="000C5B59">
        <w:trPr>
          <w:trHeight w:val="134"/>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lang w:val="fr-FR"/>
              </w:rPr>
            </w:pPr>
            <w:bookmarkStart w:id="449" w:name="_Toc336338094"/>
            <w:bookmarkStart w:id="450" w:name="_Toc363998840"/>
            <w:r w:rsidRPr="00C02B5C">
              <w:rPr>
                <w:rFonts w:ascii="Tahoma" w:hAnsi="Tahoma" w:cs="Tahoma"/>
                <w:sz w:val="14"/>
                <w:szCs w:val="14"/>
                <w:lang w:val="fr-FR"/>
              </w:rPr>
              <w:t>System Center 2012 Client Management Suite (Client-ML) pro Nutzer</w:t>
            </w:r>
            <w:bookmarkEnd w:id="449"/>
            <w:bookmarkEnd w:id="450"/>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00"/>
                <w:sz w:val="13"/>
                <w:szCs w:val="13"/>
                <w:u w:val="single"/>
              </w:rPr>
            </w:pPr>
            <w:hyperlink w:anchor="_96_System_Center" w:history="1">
              <w:r w:rsidR="005E70E4" w:rsidRPr="00C02B5C">
                <w:rPr>
                  <w:rStyle w:val="Hyperlink"/>
                  <w:rFonts w:cs="Tahoma"/>
                  <w:b/>
                  <w:sz w:val="13"/>
                  <w:szCs w:val="13"/>
                </w:rPr>
                <w:t>96</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6864A1" w:rsidRPr="004D10F1" w:rsidTr="00F674A6">
        <w:trPr>
          <w:cantSplit/>
          <w:trHeight w:val="134"/>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rPr>
            </w:pPr>
            <w:bookmarkStart w:id="451" w:name="_Toc336338095"/>
            <w:bookmarkStart w:id="452" w:name="_Toc363998841"/>
            <w:r w:rsidRPr="00C02B5C">
              <w:rPr>
                <w:rFonts w:ascii="Tahoma" w:hAnsi="Tahoma" w:cs="Tahoma"/>
                <w:sz w:val="14"/>
                <w:szCs w:val="14"/>
              </w:rPr>
              <w:t>Client-Management-Lizenz (Client-ML) für System Center 2012 Configuration Manager (nur Studenten)</w:t>
            </w:r>
            <w:bookmarkEnd w:id="451"/>
            <w:bookmarkEnd w:id="452"/>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00"/>
                <w:sz w:val="13"/>
                <w:szCs w:val="13"/>
                <w:u w:val="single"/>
              </w:rPr>
            </w:pPr>
            <w:hyperlink w:anchor="_96_System_Center" w:history="1">
              <w:r w:rsidR="005E70E4" w:rsidRPr="00C02B5C">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6864A1" w:rsidRPr="004D10F1" w:rsidTr="000C5B59">
        <w:trPr>
          <w:trHeight w:val="134"/>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453" w:name="_Toc336338096"/>
            <w:bookmarkStart w:id="454" w:name="_Toc363998842"/>
            <w:r w:rsidRPr="00C02B5C">
              <w:rPr>
                <w:rFonts w:ascii="Tahoma" w:hAnsi="Tahoma" w:cs="Tahoma"/>
                <w:sz w:val="14"/>
                <w:szCs w:val="14"/>
                <w:lang w:val="de-DE"/>
              </w:rPr>
              <w:t>Client-Management-Lizenz für System Center 2012 Configuration Manager pro Betriebssystemumgebung</w:t>
            </w:r>
            <w:bookmarkEnd w:id="453"/>
            <w:bookmarkEnd w:id="454"/>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00"/>
                <w:sz w:val="13"/>
                <w:szCs w:val="13"/>
                <w:u w:val="single"/>
              </w:rPr>
            </w:pPr>
            <w:hyperlink w:anchor="_96_System_Center" w:history="1">
              <w:r w:rsidR="005E70E4" w:rsidRPr="00C02B5C">
                <w:rPr>
                  <w:rStyle w:val="Hyperlink"/>
                  <w:rFonts w:cs="Tahoma"/>
                  <w:b/>
                  <w:sz w:val="13"/>
                  <w:szCs w:val="13"/>
                </w:rPr>
                <w:t>96</w:t>
              </w:r>
            </w:hyperlink>
            <w:hyperlink w:anchor="_91_89_System" w:history="1"/>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6864A1" w:rsidRPr="004D10F1" w:rsidTr="000C5B59">
        <w:trPr>
          <w:trHeight w:val="134"/>
        </w:trPr>
        <w:tc>
          <w:tcPr>
            <w:tcW w:w="2734" w:type="dxa"/>
            <w:gridSpan w:val="2"/>
            <w:tcBorders>
              <w:bottom w:val="single" w:sz="4" w:space="0" w:color="auto"/>
            </w:tcBorders>
            <w:shd w:val="clear" w:color="auto" w:fill="FABF8F"/>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455" w:name="_Toc336338097"/>
            <w:bookmarkStart w:id="456" w:name="_Toc363998843"/>
            <w:r w:rsidRPr="00C02B5C">
              <w:rPr>
                <w:rFonts w:ascii="Tahoma" w:hAnsi="Tahoma" w:cs="Tahoma"/>
                <w:sz w:val="14"/>
                <w:szCs w:val="14"/>
                <w:lang w:val="de-DE"/>
              </w:rPr>
              <w:t>Client-Management-Lizenz für System Center 2012 Configuration Manager pro Nutzer</w:t>
            </w:r>
            <w:bookmarkEnd w:id="455"/>
            <w:bookmarkEnd w:id="456"/>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00"/>
                <w:sz w:val="13"/>
                <w:szCs w:val="13"/>
                <w:u w:val="single"/>
              </w:rPr>
            </w:pPr>
            <w:hyperlink w:anchor="_96_System_Center" w:history="1">
              <w:r w:rsidR="005E70E4" w:rsidRPr="00C02B5C">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E</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AO,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025C3" w:rsidRPr="004D10F1" w:rsidTr="000C5B59">
        <w:trPr>
          <w:trHeight w:val="134"/>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457" w:name="_Toc336338098"/>
            <w:bookmarkStart w:id="458" w:name="_Toc363998844"/>
            <w:r w:rsidRPr="00C02B5C">
              <w:rPr>
                <w:rFonts w:ascii="Tahoma" w:hAnsi="Tahoma" w:cs="Tahoma"/>
                <w:sz w:val="14"/>
                <w:szCs w:val="14"/>
                <w:lang w:val="de-DE"/>
              </w:rPr>
              <w:t>Server-Management-Lizenz für System Center 2012 Datacenter (2 Prozessoren)</w:t>
            </w:r>
            <w:bookmarkEnd w:id="457"/>
            <w:bookmarkEnd w:id="458"/>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00"/>
                <w:sz w:val="13"/>
                <w:szCs w:val="13"/>
                <w:u w:val="single"/>
              </w:rPr>
            </w:pPr>
            <w:hyperlink w:anchor="_96_System_Center" w:history="1">
              <w:r w:rsidR="005E70E4" w:rsidRPr="00C02B5C">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63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1136F4" w:rsidRPr="004D10F1" w:rsidTr="000C5B59">
        <w:trPr>
          <w:trHeight w:val="134"/>
        </w:trPr>
        <w:tc>
          <w:tcPr>
            <w:tcW w:w="2734" w:type="dxa"/>
            <w:gridSpan w:val="2"/>
            <w:tcBorders>
              <w:bottom w:val="single" w:sz="4" w:space="0" w:color="auto"/>
            </w:tcBorders>
            <w:shd w:val="clear" w:color="auto" w:fill="FABF8F"/>
            <w:vAlign w:val="center"/>
          </w:tcPr>
          <w:p w:rsidR="001136F4" w:rsidRPr="00C02B5C" w:rsidRDefault="001136F4" w:rsidP="00C02B5C">
            <w:pPr>
              <w:pStyle w:val="ProductNames"/>
              <w:spacing w:beforeLines="20" w:before="48" w:afterLines="20" w:after="48"/>
              <w:rPr>
                <w:rFonts w:ascii="Tahoma" w:hAnsi="Tahoma" w:cs="Tahoma"/>
                <w:sz w:val="14"/>
                <w:szCs w:val="14"/>
              </w:rPr>
            </w:pPr>
            <w:bookmarkStart w:id="459" w:name="_Toc363998845"/>
            <w:r w:rsidRPr="00C02B5C">
              <w:rPr>
                <w:rFonts w:ascii="Tahoma" w:hAnsi="Tahoma" w:cs="Tahoma"/>
                <w:sz w:val="14"/>
                <w:szCs w:val="14"/>
              </w:rPr>
              <w:t>System Center 2012 Endpoint Protection</w:t>
            </w:r>
            <w:bookmarkEnd w:id="459"/>
          </w:p>
        </w:tc>
        <w:tc>
          <w:tcPr>
            <w:tcW w:w="450" w:type="dxa"/>
            <w:tcBorders>
              <w:bottom w:val="single" w:sz="4" w:space="0" w:color="auto"/>
            </w:tcBorders>
            <w:shd w:val="clear" w:color="auto" w:fill="FABF8F"/>
            <w:vAlign w:val="center"/>
          </w:tcPr>
          <w:p w:rsidR="001136F4" w:rsidRPr="00C02B5C" w:rsidRDefault="005B744B" w:rsidP="00C02B5C">
            <w:pPr>
              <w:pStyle w:val="TableText"/>
              <w:widowControl w:val="0"/>
              <w:rPr>
                <w:rFonts w:cs="Tahoma"/>
                <w:b/>
                <w:color w:val="000000"/>
                <w:sz w:val="13"/>
                <w:szCs w:val="13"/>
                <w:u w:val="single"/>
              </w:rPr>
            </w:pPr>
            <w:hyperlink w:anchor="_103_System_Center" w:history="1">
              <w:r w:rsidR="00316801" w:rsidRPr="00C02B5C">
                <w:rPr>
                  <w:rStyle w:val="Hyperlink"/>
                  <w:rFonts w:cs="Tahoma"/>
                  <w:b/>
                  <w:sz w:val="13"/>
                  <w:szCs w:val="13"/>
                </w:rPr>
                <w:t>97</w:t>
              </w:r>
            </w:hyperlink>
            <w:hyperlink w:anchor="Srv_102SysCtr2012EndpointProt" w:history="1"/>
          </w:p>
        </w:tc>
        <w:tc>
          <w:tcPr>
            <w:tcW w:w="450" w:type="dxa"/>
            <w:tcBorders>
              <w:bottom w:val="single" w:sz="4" w:space="0" w:color="auto"/>
            </w:tcBorders>
            <w:shd w:val="clear" w:color="auto" w:fill="FABF8F"/>
            <w:vAlign w:val="center"/>
          </w:tcPr>
          <w:p w:rsidR="001136F4" w:rsidRPr="004D10F1" w:rsidRDefault="001136F4"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4D10F1" w:rsidRDefault="001136F4"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136F4" w:rsidRPr="004D10F1" w:rsidRDefault="001136F4" w:rsidP="000C5B59">
            <w:pPr>
              <w:pStyle w:val="TableText"/>
              <w:widowControl w:val="0"/>
              <w:rPr>
                <w:rFonts w:ascii="Tahoma" w:hAnsi="Tahoma" w:cs="Tahoma"/>
                <w:sz w:val="13"/>
                <w:szCs w:val="13"/>
              </w:rPr>
            </w:pPr>
            <w:r w:rsidRPr="004D10F1">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rsidR="001136F4" w:rsidRPr="004D10F1" w:rsidRDefault="001136F4" w:rsidP="000C5B59">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136F4" w:rsidRPr="004D10F1" w:rsidRDefault="001136F4" w:rsidP="000C5B59">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4D10F1" w:rsidRDefault="001136F4" w:rsidP="000C5B59">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4D10F1" w:rsidRDefault="001136F4" w:rsidP="000C5B59">
            <w:pPr>
              <w:pStyle w:val="TableText"/>
              <w:widowControl w:val="0"/>
              <w:rPr>
                <w:rFonts w:ascii="Tahoma" w:hAnsi="Tahoma" w:cs="Tahoma"/>
                <w:sz w:val="13"/>
                <w:szCs w:val="13"/>
              </w:rPr>
            </w:pPr>
            <w:r w:rsidRPr="004D10F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4D10F1" w:rsidRDefault="001136F4"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136F4" w:rsidRPr="004D10F1" w:rsidRDefault="001136F4"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136F4" w:rsidRPr="004D10F1" w:rsidRDefault="001136F4" w:rsidP="000C5B59">
            <w:pPr>
              <w:pStyle w:val="TableText"/>
              <w:widowControl w:val="0"/>
              <w:rPr>
                <w:rFonts w:ascii="Tahoma" w:hAnsi="Tahoma" w:cs="Tahoma"/>
                <w:sz w:val="13"/>
              </w:rPr>
            </w:pPr>
            <w:r w:rsidRPr="004D10F1">
              <w:rPr>
                <w:rFonts w:ascii="Tahoma" w:hAnsi="Tahoma" w:cs="Tahoma"/>
                <w:sz w:val="13"/>
              </w:rPr>
              <w:t>AO, ST</w:t>
            </w:r>
          </w:p>
        </w:tc>
        <w:tc>
          <w:tcPr>
            <w:tcW w:w="540" w:type="dxa"/>
            <w:tcBorders>
              <w:bottom w:val="single" w:sz="4" w:space="0" w:color="auto"/>
            </w:tcBorders>
            <w:shd w:val="clear" w:color="auto" w:fill="FABF8F"/>
            <w:vAlign w:val="center"/>
          </w:tcPr>
          <w:p w:rsidR="001136F4" w:rsidRPr="004D10F1" w:rsidRDefault="001136F4" w:rsidP="000C5B59">
            <w:pPr>
              <w:pStyle w:val="TableText"/>
              <w:widowControl w:val="0"/>
              <w:rPr>
                <w:rFonts w:ascii="Tahoma" w:hAnsi="Tahoma" w:cs="Tahoma"/>
                <w:sz w:val="13"/>
              </w:rPr>
            </w:pPr>
          </w:p>
        </w:tc>
      </w:tr>
      <w:tr w:rsidR="00B025C3" w:rsidRPr="004D10F1" w:rsidTr="000C5B59">
        <w:trPr>
          <w:trHeight w:val="134"/>
        </w:trPr>
        <w:tc>
          <w:tcPr>
            <w:tcW w:w="2734" w:type="dxa"/>
            <w:gridSpan w:val="2"/>
            <w:tcBorders>
              <w:bottom w:val="single" w:sz="4" w:space="0" w:color="auto"/>
            </w:tcBorders>
            <w:shd w:val="clear" w:color="auto" w:fill="auto"/>
            <w:vAlign w:val="center"/>
          </w:tcPr>
          <w:p w:rsidR="001A63C6" w:rsidRPr="00C02B5C" w:rsidRDefault="001A63C6" w:rsidP="00C02B5C">
            <w:pPr>
              <w:pStyle w:val="ProductNames"/>
              <w:spacing w:beforeLines="20" w:before="48" w:afterLines="20" w:after="48"/>
              <w:rPr>
                <w:rFonts w:ascii="Tahoma" w:hAnsi="Tahoma" w:cs="Tahoma"/>
                <w:sz w:val="14"/>
                <w:szCs w:val="14"/>
                <w:lang w:val="de-DE"/>
              </w:rPr>
            </w:pPr>
            <w:bookmarkStart w:id="460" w:name="_Toc336338100"/>
            <w:bookmarkStart w:id="461" w:name="_Toc363998846"/>
            <w:r w:rsidRPr="00C02B5C">
              <w:rPr>
                <w:rFonts w:ascii="Tahoma" w:hAnsi="Tahoma" w:cs="Tahoma"/>
                <w:sz w:val="14"/>
                <w:szCs w:val="14"/>
                <w:lang w:val="de-DE"/>
              </w:rPr>
              <w:t>Standard-Server-Management-Lizenz für System Center 2012 (2 Prozessoren)</w:t>
            </w:r>
            <w:bookmarkEnd w:id="460"/>
            <w:bookmarkEnd w:id="461"/>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Fonts w:cs="Tahoma"/>
                <w:b/>
                <w:color w:val="000000"/>
                <w:sz w:val="13"/>
                <w:szCs w:val="13"/>
                <w:u w:val="single"/>
                <w:lang w:val="de-D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OL/OV</w:t>
            </w:r>
          </w:p>
        </w:tc>
      </w:tr>
      <w:tr w:rsidR="00EF228F"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462" w:name="_Toc336338102"/>
            <w:bookmarkStart w:id="463" w:name="_Toc363998847"/>
            <w:r w:rsidRPr="00C02B5C">
              <w:rPr>
                <w:rFonts w:ascii="Tahoma" w:hAnsi="Tahoma" w:cs="Tahoma"/>
                <w:b w:val="0"/>
                <w:sz w:val="14"/>
                <w:szCs w:val="14"/>
              </w:rPr>
              <w:t>VDI Suite</w:t>
            </w:r>
            <w:bookmarkEnd w:id="462"/>
            <w:bookmarkEnd w:id="463"/>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Fonts w:cs="Tahoma"/>
                <w:b/>
                <w:sz w:val="13"/>
                <w:szCs w:val="13"/>
                <w:u w:val="singl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rPr>
                <w:rFonts w:ascii="Tahoma" w:hAnsi="Tahoma" w:cs="Tahoma"/>
                <w:sz w:val="13"/>
                <w:szCs w:val="13"/>
              </w:rPr>
            </w:pPr>
            <w:r w:rsidRPr="004D10F1">
              <w:rPr>
                <w:rFonts w:ascii="Tahoma" w:hAnsi="Tahoma" w:cs="Tahoma"/>
                <w:sz w:val="13"/>
                <w:szCs w:val="13"/>
              </w:rPr>
              <w:t>1 Punkt</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rPr>
                <w:rFonts w:ascii="Tahoma" w:hAnsi="Tahoma" w:cs="Tahoma"/>
                <w:sz w:val="13"/>
                <w:szCs w:val="13"/>
              </w:rPr>
            </w:pPr>
            <w:r w:rsidRPr="004D10F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rPr>
                <w:rFonts w:ascii="Tahoma" w:hAnsi="Tahoma" w:cs="Tahoma"/>
                <w:sz w:val="13"/>
                <w:szCs w:val="13"/>
              </w:rPr>
            </w:pPr>
            <w:r w:rsidRPr="004D10F1">
              <w:rPr>
                <w:rFonts w:ascii="Tahoma" w:hAnsi="Tahoma" w:cs="Tahoma"/>
                <w:sz w:val="13"/>
                <w:szCs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rPr>
                <w:rFonts w:ascii="Tahoma" w:hAnsi="Tahoma" w:cs="Tahoma"/>
                <w:sz w:val="13"/>
                <w:szCs w:val="13"/>
              </w:rPr>
            </w:pPr>
            <w:r w:rsidRPr="004D10F1">
              <w:rPr>
                <w:rFonts w:ascii="Tahoma" w:hAnsi="Tahoma" w:cs="Tahoma"/>
                <w:sz w:val="13"/>
                <w:szCs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rPr>
                <w:rFonts w:ascii="Tahoma" w:hAnsi="Tahoma" w:cs="Tahoma"/>
                <w:sz w:val="13"/>
                <w:szCs w:val="13"/>
              </w:rPr>
            </w:pPr>
            <w:r w:rsidRPr="004D10F1">
              <w:rPr>
                <w:rFonts w:ascii="Tahoma" w:hAnsi="Tahoma" w:cs="Tahoma"/>
                <w:sz w:val="13"/>
                <w:szCs w:val="13"/>
              </w:rPr>
              <w:t>A, ST</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21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464" w:name="_Toc336338103"/>
            <w:bookmarkStart w:id="465" w:name="_Toc363998848"/>
            <w:r w:rsidRPr="00C02B5C">
              <w:rPr>
                <w:rFonts w:ascii="Tahoma" w:hAnsi="Tahoma" w:cs="Tahoma"/>
                <w:b w:val="0"/>
                <w:sz w:val="14"/>
                <w:szCs w:val="14"/>
              </w:rPr>
              <w:t>VDI Suite mit MDOP</w:t>
            </w:r>
            <w:bookmarkEnd w:id="464"/>
            <w:bookmarkEnd w:id="465"/>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Fonts w:cs="Tahoma"/>
                <w:b/>
                <w:sz w:val="13"/>
                <w:szCs w:val="13"/>
                <w:u w:val="singl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rPr>
                <w:rFonts w:ascii="Tahoma" w:hAnsi="Tahoma" w:cs="Tahoma"/>
                <w:sz w:val="13"/>
                <w:szCs w:val="13"/>
              </w:rPr>
            </w:pPr>
            <w:r w:rsidRPr="004D10F1">
              <w:rPr>
                <w:rFonts w:ascii="Tahoma" w:hAnsi="Tahoma" w:cs="Tahoma"/>
                <w:sz w:val="13"/>
                <w:szCs w:val="13"/>
              </w:rPr>
              <w:t>1 Punkt</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rPr>
                <w:rFonts w:ascii="Tahoma" w:hAnsi="Tahoma" w:cs="Tahoma"/>
                <w:sz w:val="13"/>
                <w:szCs w:val="13"/>
              </w:rPr>
            </w:pPr>
            <w:r w:rsidRPr="004D10F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rPr>
                <w:rFonts w:ascii="Tahoma" w:hAnsi="Tahoma" w:cs="Tahoma"/>
                <w:sz w:val="13"/>
                <w:szCs w:val="13"/>
              </w:rPr>
            </w:pPr>
            <w:r w:rsidRPr="004D10F1">
              <w:rPr>
                <w:rFonts w:ascii="Tahoma" w:hAnsi="Tahoma" w:cs="Tahoma"/>
                <w:sz w:val="13"/>
                <w:szCs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rPr>
                <w:rFonts w:ascii="Tahoma" w:hAnsi="Tahoma" w:cs="Tahoma"/>
                <w:sz w:val="13"/>
                <w:szCs w:val="13"/>
              </w:rPr>
            </w:pPr>
            <w:r w:rsidRPr="004D10F1">
              <w:rPr>
                <w:rFonts w:ascii="Tahoma" w:hAnsi="Tahoma" w:cs="Tahoma"/>
                <w:sz w:val="13"/>
                <w:szCs w:val="13"/>
              </w:rPr>
              <w:t>E, P</w:t>
            </w:r>
          </w:p>
        </w:tc>
        <w:tc>
          <w:tcPr>
            <w:tcW w:w="540" w:type="dxa"/>
            <w:tcBorders>
              <w:bottom w:val="single" w:sz="4" w:space="0" w:color="auto"/>
            </w:tcBorders>
            <w:shd w:val="clear" w:color="auto" w:fill="auto"/>
            <w:vAlign w:val="center"/>
          </w:tcPr>
          <w:p w:rsidR="001A63C6" w:rsidRPr="004D10F1" w:rsidRDefault="001A63C6" w:rsidP="000C5B59">
            <w:pPr>
              <w:pStyle w:val="TableText"/>
              <w:rPr>
                <w:rFonts w:ascii="Tahoma" w:hAnsi="Tahoma" w:cs="Tahoma"/>
                <w:sz w:val="13"/>
                <w:szCs w:val="13"/>
              </w:rPr>
            </w:pPr>
            <w:r w:rsidRPr="004D10F1">
              <w:rPr>
                <w:rFonts w:ascii="Tahoma" w:hAnsi="Tahoma" w:cs="Tahoma"/>
                <w:sz w:val="13"/>
                <w:szCs w:val="13"/>
              </w:rPr>
              <w:t>A,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260"/>
        </w:trPr>
        <w:tc>
          <w:tcPr>
            <w:tcW w:w="2734" w:type="dxa"/>
            <w:gridSpan w:val="2"/>
            <w:tcBorders>
              <w:bottom w:val="single" w:sz="4" w:space="0" w:color="auto"/>
            </w:tcBorders>
            <w:shd w:val="clear" w:color="auto" w:fill="FABF8F"/>
            <w:vAlign w:val="center"/>
          </w:tcPr>
          <w:p w:rsidR="00500991" w:rsidRPr="00C02B5C" w:rsidRDefault="00500991" w:rsidP="00C02B5C">
            <w:pPr>
              <w:pStyle w:val="Heading2"/>
              <w:spacing w:beforeLines="20" w:before="48" w:afterLines="20" w:after="48"/>
              <w:ind w:left="0"/>
              <w:rPr>
                <w:rFonts w:ascii="Tahoma" w:hAnsi="Tahoma" w:cs="Tahoma"/>
                <w:b w:val="0"/>
                <w:sz w:val="14"/>
                <w:szCs w:val="14"/>
              </w:rPr>
            </w:pPr>
            <w:bookmarkStart w:id="466" w:name="_Toc336338104"/>
            <w:bookmarkStart w:id="467" w:name="_Toc363998849"/>
            <w:r w:rsidRPr="00C02B5C">
              <w:rPr>
                <w:rFonts w:ascii="Tahoma" w:hAnsi="Tahoma" w:cs="Tahoma"/>
                <w:b w:val="0"/>
                <w:sz w:val="14"/>
                <w:szCs w:val="14"/>
              </w:rPr>
              <w:t>VDI Standard Suite</w:t>
            </w:r>
            <w:bookmarkEnd w:id="466"/>
            <w:bookmarkEnd w:id="467"/>
          </w:p>
        </w:tc>
        <w:tc>
          <w:tcPr>
            <w:tcW w:w="450" w:type="dxa"/>
            <w:tcBorders>
              <w:bottom w:val="single" w:sz="4" w:space="0" w:color="auto"/>
            </w:tcBorders>
            <w:shd w:val="clear" w:color="auto" w:fill="FABF8F"/>
            <w:vAlign w:val="center"/>
          </w:tcPr>
          <w:p w:rsidR="00500991" w:rsidRPr="00C02B5C" w:rsidRDefault="005B744B" w:rsidP="00C02B5C">
            <w:pPr>
              <w:pStyle w:val="TableText"/>
              <w:widowControl w:val="0"/>
              <w:rPr>
                <w:rStyle w:val="EndnoteReference"/>
                <w:rFonts w:cs="Tahoma"/>
                <w:b w:val="0"/>
                <w:sz w:val="13"/>
                <w:szCs w:val="13"/>
              </w:rPr>
            </w:pPr>
            <w:hyperlink w:anchor="_92_Visual_Studio" w:history="1">
              <w:r w:rsidR="00316801" w:rsidRPr="00C02B5C">
                <w:rPr>
                  <w:rStyle w:val="Hyperlink"/>
                  <w:rFonts w:cs="Tahoma"/>
                  <w:b/>
                  <w:sz w:val="13"/>
                  <w:szCs w:val="13"/>
                </w:rPr>
                <w:t>98</w:t>
              </w:r>
            </w:hyperlink>
          </w:p>
        </w:tc>
        <w:tc>
          <w:tcPr>
            <w:tcW w:w="45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r>
      <w:tr w:rsidR="00500991" w:rsidRPr="004D10F1" w:rsidTr="000C5B59">
        <w:trPr>
          <w:trHeight w:val="260"/>
        </w:trPr>
        <w:tc>
          <w:tcPr>
            <w:tcW w:w="2734" w:type="dxa"/>
            <w:gridSpan w:val="2"/>
            <w:tcBorders>
              <w:bottom w:val="single" w:sz="4" w:space="0" w:color="auto"/>
            </w:tcBorders>
            <w:shd w:val="clear" w:color="auto" w:fill="auto"/>
            <w:vAlign w:val="center"/>
          </w:tcPr>
          <w:p w:rsidR="00500991" w:rsidRPr="00C02B5C" w:rsidRDefault="00500991" w:rsidP="00C02B5C">
            <w:pPr>
              <w:pStyle w:val="Heading2"/>
              <w:spacing w:beforeLines="20" w:before="48" w:afterLines="20" w:after="48"/>
              <w:ind w:left="0"/>
              <w:rPr>
                <w:rFonts w:ascii="Tahoma" w:hAnsi="Tahoma" w:cs="Tahoma"/>
                <w:b w:val="0"/>
                <w:sz w:val="14"/>
                <w:szCs w:val="14"/>
              </w:rPr>
            </w:pPr>
            <w:bookmarkStart w:id="468" w:name="_Toc336338105"/>
            <w:bookmarkStart w:id="469" w:name="_Toc363998850"/>
            <w:r w:rsidRPr="00C02B5C">
              <w:rPr>
                <w:rFonts w:ascii="Tahoma" w:hAnsi="Tahoma" w:cs="Tahoma"/>
                <w:b w:val="0"/>
                <w:sz w:val="14"/>
                <w:szCs w:val="14"/>
              </w:rPr>
              <w:t>VDI Standard Suite mit MDOP</w:t>
            </w:r>
            <w:bookmarkEnd w:id="468"/>
            <w:bookmarkEnd w:id="469"/>
          </w:p>
        </w:tc>
        <w:tc>
          <w:tcPr>
            <w:tcW w:w="450" w:type="dxa"/>
            <w:tcBorders>
              <w:bottom w:val="single" w:sz="4" w:space="0" w:color="auto"/>
            </w:tcBorders>
            <w:shd w:val="clear" w:color="auto" w:fill="auto"/>
            <w:vAlign w:val="center"/>
          </w:tcPr>
          <w:p w:rsidR="00500991" w:rsidRPr="00C02B5C" w:rsidRDefault="005B744B" w:rsidP="00C02B5C">
            <w:pPr>
              <w:pStyle w:val="TableText"/>
              <w:widowControl w:val="0"/>
              <w:rPr>
                <w:rStyle w:val="EndnoteReference"/>
                <w:rFonts w:cs="Tahoma"/>
                <w:b w:val="0"/>
                <w:sz w:val="13"/>
                <w:szCs w:val="13"/>
                <w:u w:val="single"/>
              </w:rPr>
            </w:pPr>
            <w:hyperlink w:anchor="_92_Visual_Studio" w:history="1">
              <w:r w:rsidR="00A71B90" w:rsidRPr="00C02B5C">
                <w:rPr>
                  <w:rStyle w:val="Hyperlink"/>
                  <w:rFonts w:cs="Tahoma"/>
                  <w:b/>
                  <w:sz w:val="13"/>
                  <w:szCs w:val="13"/>
                </w:rPr>
                <w:t>98</w:t>
              </w:r>
            </w:hyperlink>
            <w:hyperlink w:anchor="Srv_105VDIStandardandPremiumSuites" w:history="1"/>
          </w:p>
        </w:tc>
        <w:tc>
          <w:tcPr>
            <w:tcW w:w="450" w:type="dxa"/>
            <w:tcBorders>
              <w:bottom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r>
      <w:tr w:rsidR="00500991" w:rsidRPr="004D10F1" w:rsidTr="000C5B59">
        <w:trPr>
          <w:trHeight w:val="260"/>
        </w:trPr>
        <w:tc>
          <w:tcPr>
            <w:tcW w:w="2734" w:type="dxa"/>
            <w:gridSpan w:val="2"/>
            <w:tcBorders>
              <w:bottom w:val="single" w:sz="4" w:space="0" w:color="auto"/>
            </w:tcBorders>
            <w:shd w:val="clear" w:color="auto" w:fill="FABF8F"/>
            <w:vAlign w:val="center"/>
          </w:tcPr>
          <w:p w:rsidR="00500991" w:rsidRPr="00C02B5C" w:rsidRDefault="00500991" w:rsidP="00C02B5C">
            <w:pPr>
              <w:pStyle w:val="Heading2"/>
              <w:spacing w:beforeLines="20" w:before="48" w:afterLines="20" w:after="48"/>
              <w:ind w:left="0"/>
              <w:rPr>
                <w:rFonts w:ascii="Tahoma" w:hAnsi="Tahoma" w:cs="Tahoma"/>
                <w:b w:val="0"/>
                <w:sz w:val="14"/>
                <w:szCs w:val="14"/>
              </w:rPr>
            </w:pPr>
            <w:bookmarkStart w:id="470" w:name="_Toc336338106"/>
            <w:bookmarkStart w:id="471" w:name="_Toc363998851"/>
            <w:r w:rsidRPr="00C02B5C">
              <w:rPr>
                <w:rFonts w:ascii="Tahoma" w:hAnsi="Tahoma" w:cs="Tahoma"/>
                <w:b w:val="0"/>
                <w:sz w:val="14"/>
                <w:szCs w:val="14"/>
              </w:rPr>
              <w:t>VDI Premium Suite</w:t>
            </w:r>
            <w:bookmarkEnd w:id="470"/>
            <w:bookmarkEnd w:id="471"/>
          </w:p>
        </w:tc>
        <w:tc>
          <w:tcPr>
            <w:tcW w:w="450" w:type="dxa"/>
            <w:tcBorders>
              <w:bottom w:val="single" w:sz="4" w:space="0" w:color="auto"/>
            </w:tcBorders>
            <w:shd w:val="clear" w:color="auto" w:fill="FABF8F"/>
            <w:vAlign w:val="center"/>
          </w:tcPr>
          <w:p w:rsidR="00500991" w:rsidRPr="00C02B5C" w:rsidRDefault="005B744B" w:rsidP="00C02B5C">
            <w:pPr>
              <w:pStyle w:val="TableText"/>
              <w:widowControl w:val="0"/>
              <w:rPr>
                <w:rStyle w:val="EndnoteReference"/>
                <w:rFonts w:cs="Tahoma"/>
                <w:b w:val="0"/>
                <w:sz w:val="13"/>
                <w:szCs w:val="13"/>
                <w:u w:val="single"/>
              </w:rPr>
            </w:pPr>
            <w:hyperlink w:anchor="_92_Visual_Studio" w:history="1">
              <w:r w:rsidR="00A71B90" w:rsidRPr="00C02B5C">
                <w:rPr>
                  <w:rStyle w:val="Hyperlink"/>
                  <w:rFonts w:cs="Tahoma"/>
                  <w:b/>
                  <w:sz w:val="13"/>
                  <w:szCs w:val="13"/>
                </w:rPr>
                <w:t>98</w:t>
              </w:r>
            </w:hyperlink>
          </w:p>
        </w:tc>
        <w:tc>
          <w:tcPr>
            <w:tcW w:w="45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D10F1" w:rsidRDefault="00500991" w:rsidP="000C5B59">
            <w:pPr>
              <w:pStyle w:val="TableText"/>
              <w:widowControl w:val="0"/>
              <w:rPr>
                <w:rFonts w:ascii="Tahoma" w:hAnsi="Tahoma" w:cs="Tahoma"/>
                <w:sz w:val="13"/>
              </w:rPr>
            </w:pPr>
          </w:p>
        </w:tc>
      </w:tr>
      <w:tr w:rsidR="00500991" w:rsidRPr="004D10F1" w:rsidTr="000C5B59">
        <w:trPr>
          <w:trHeight w:val="260"/>
        </w:trPr>
        <w:tc>
          <w:tcPr>
            <w:tcW w:w="2734" w:type="dxa"/>
            <w:gridSpan w:val="2"/>
            <w:tcBorders>
              <w:bottom w:val="single" w:sz="4" w:space="0" w:color="auto"/>
            </w:tcBorders>
            <w:shd w:val="clear" w:color="auto" w:fill="auto"/>
            <w:vAlign w:val="center"/>
          </w:tcPr>
          <w:p w:rsidR="00500991" w:rsidRPr="00C02B5C" w:rsidRDefault="00500991" w:rsidP="00C02B5C">
            <w:pPr>
              <w:pStyle w:val="Heading2"/>
              <w:spacing w:beforeLines="20" w:before="48" w:afterLines="20" w:after="48"/>
              <w:ind w:left="0"/>
              <w:rPr>
                <w:rFonts w:ascii="Tahoma" w:hAnsi="Tahoma" w:cs="Tahoma"/>
                <w:b w:val="0"/>
                <w:sz w:val="14"/>
                <w:szCs w:val="14"/>
              </w:rPr>
            </w:pPr>
            <w:bookmarkStart w:id="472" w:name="_Toc336338107"/>
            <w:bookmarkStart w:id="473" w:name="_Toc363998852"/>
            <w:r w:rsidRPr="00C02B5C">
              <w:rPr>
                <w:rFonts w:ascii="Tahoma" w:hAnsi="Tahoma" w:cs="Tahoma"/>
                <w:b w:val="0"/>
                <w:sz w:val="14"/>
                <w:szCs w:val="14"/>
              </w:rPr>
              <w:t>VDI Premium Suite mit MDOP</w:t>
            </w:r>
            <w:bookmarkEnd w:id="472"/>
            <w:bookmarkEnd w:id="473"/>
          </w:p>
        </w:tc>
        <w:tc>
          <w:tcPr>
            <w:tcW w:w="450" w:type="dxa"/>
            <w:tcBorders>
              <w:bottom w:val="single" w:sz="4" w:space="0" w:color="auto"/>
            </w:tcBorders>
            <w:shd w:val="clear" w:color="auto" w:fill="auto"/>
            <w:vAlign w:val="center"/>
          </w:tcPr>
          <w:p w:rsidR="00500991" w:rsidRPr="00C02B5C" w:rsidRDefault="005B744B" w:rsidP="00C02B5C">
            <w:pPr>
              <w:pStyle w:val="TableText"/>
              <w:widowControl w:val="0"/>
              <w:rPr>
                <w:rStyle w:val="EndnoteReference"/>
                <w:rFonts w:cs="Tahoma"/>
                <w:b w:val="0"/>
                <w:sz w:val="13"/>
                <w:szCs w:val="13"/>
                <w:u w:val="single"/>
              </w:rPr>
            </w:pPr>
            <w:hyperlink w:anchor="_92_Visual_Studio" w:history="1">
              <w:r w:rsidR="00A71B90" w:rsidRPr="00C02B5C">
                <w:rPr>
                  <w:rStyle w:val="Hyperlink"/>
                  <w:rFonts w:cs="Tahoma"/>
                  <w:b/>
                  <w:sz w:val="13"/>
                  <w:szCs w:val="13"/>
                </w:rPr>
                <w:t>98</w:t>
              </w:r>
            </w:hyperlink>
          </w:p>
        </w:tc>
        <w:tc>
          <w:tcPr>
            <w:tcW w:w="450" w:type="dxa"/>
            <w:tcBorders>
              <w:bottom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4D10F1" w:rsidRDefault="00500991" w:rsidP="000C5B59">
            <w:pPr>
              <w:pStyle w:val="TableText"/>
              <w:widowControl w:val="0"/>
              <w:rPr>
                <w:rFonts w:ascii="Tahoma" w:hAnsi="Tahoma" w:cs="Tahoma"/>
                <w:sz w:val="13"/>
              </w:rPr>
            </w:pPr>
          </w:p>
        </w:tc>
      </w:tr>
      <w:tr w:rsidR="00B025C3"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pt-BR"/>
              </w:rPr>
            </w:pPr>
            <w:bookmarkStart w:id="474" w:name="_Toc336338108"/>
            <w:bookmarkStart w:id="475" w:name="_Toc363998853"/>
            <w:r w:rsidRPr="00C02B5C">
              <w:rPr>
                <w:rFonts w:ascii="Tahoma" w:hAnsi="Tahoma" w:cs="Tahoma"/>
                <w:b w:val="0"/>
                <w:sz w:val="14"/>
                <w:szCs w:val="14"/>
                <w:lang w:val="pt-BR"/>
              </w:rPr>
              <w:t>Virtual Server 2005 R2 Enterprise Edition</w:t>
            </w:r>
            <w:bookmarkEnd w:id="474"/>
            <w:bookmarkEnd w:id="475"/>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476" w:name="_Toc336338109"/>
            <w:bookmarkStart w:id="477" w:name="_Toc363998854"/>
            <w:r w:rsidRPr="00C02B5C">
              <w:rPr>
                <w:rFonts w:ascii="Tahoma" w:hAnsi="Tahoma" w:cs="Tahoma"/>
                <w:b w:val="0"/>
                <w:sz w:val="14"/>
                <w:szCs w:val="14"/>
              </w:rPr>
              <w:t>Visual Studio</w:t>
            </w:r>
            <w:r w:rsidR="0069040B" w:rsidRPr="0069040B">
              <w:rPr>
                <w:rFonts w:ascii="Tahoma" w:eastAsia="Times New Roman" w:hAnsi="Tahoma" w:cs="Tahoma"/>
                <w:b w:val="0"/>
                <w:color w:val="000000"/>
                <w:sz w:val="14"/>
                <w:szCs w:val="14"/>
                <w:vertAlign w:val="superscript"/>
              </w:rPr>
              <w:t>®</w:t>
            </w:r>
            <w:r w:rsidRPr="00C02B5C">
              <w:rPr>
                <w:rFonts w:ascii="Tahoma" w:hAnsi="Tahoma" w:cs="Tahoma"/>
                <w:b w:val="0"/>
                <w:sz w:val="14"/>
                <w:szCs w:val="14"/>
              </w:rPr>
              <w:t xml:space="preserve"> Team Foundation Server 2012 mit SQL Server 2012-Technologie</w:t>
            </w:r>
            <w:bookmarkEnd w:id="476"/>
            <w:bookmarkEnd w:id="477"/>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B025C3"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478" w:name="_Toc254805933"/>
            <w:bookmarkStart w:id="479" w:name="_Toc336338110"/>
            <w:bookmarkStart w:id="480" w:name="_Toc363998855"/>
            <w:r w:rsidRPr="00C02B5C">
              <w:rPr>
                <w:rFonts w:ascii="Tahoma" w:hAnsi="Tahoma" w:cs="Tahoma"/>
                <w:b w:val="0"/>
                <w:sz w:val="14"/>
                <w:szCs w:val="14"/>
              </w:rPr>
              <w:t>Geräte-CAL für Visual Studio</w:t>
            </w:r>
            <w:r w:rsidR="0069040B" w:rsidRPr="0069040B">
              <w:rPr>
                <w:rFonts w:ascii="Tahoma" w:hAnsi="Tahoma" w:cs="Tahoma"/>
                <w:b w:val="0"/>
                <w:sz w:val="14"/>
                <w:szCs w:val="14"/>
                <w:vertAlign w:val="superscript"/>
              </w:rPr>
              <w:t>®</w:t>
            </w:r>
            <w:r w:rsidRPr="00C02B5C">
              <w:rPr>
                <w:rFonts w:ascii="Tahoma" w:hAnsi="Tahoma" w:cs="Tahoma"/>
                <w:b w:val="0"/>
                <w:sz w:val="14"/>
                <w:szCs w:val="14"/>
              </w:rPr>
              <w:t xml:space="preserve"> Team Foundation Server 2012</w:t>
            </w:r>
            <w:bookmarkEnd w:id="478"/>
            <w:bookmarkEnd w:id="479"/>
            <w:bookmarkEnd w:id="480"/>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500991"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481" w:name="_Toc254805934"/>
            <w:bookmarkStart w:id="482" w:name="_Toc336338111"/>
            <w:bookmarkStart w:id="483" w:name="_Toc363998856"/>
            <w:r w:rsidRPr="00C02B5C">
              <w:rPr>
                <w:rFonts w:ascii="Tahoma" w:hAnsi="Tahoma" w:cs="Tahoma"/>
                <w:b w:val="0"/>
                <w:sz w:val="14"/>
                <w:szCs w:val="14"/>
              </w:rPr>
              <w:t>Nutzer-CAL für Visual Studio</w:t>
            </w:r>
            <w:r w:rsidR="0069040B" w:rsidRPr="0069040B">
              <w:rPr>
                <w:rFonts w:ascii="Tahoma" w:hAnsi="Tahoma" w:cs="Tahoma"/>
                <w:b w:val="0"/>
                <w:sz w:val="14"/>
                <w:szCs w:val="14"/>
                <w:vertAlign w:val="superscript"/>
              </w:rPr>
              <w:t>®</w:t>
            </w:r>
            <w:r w:rsidRPr="00C02B5C">
              <w:rPr>
                <w:rFonts w:ascii="Tahoma" w:hAnsi="Tahoma" w:cs="Tahoma"/>
                <w:b w:val="0"/>
                <w:sz w:val="14"/>
                <w:szCs w:val="14"/>
              </w:rPr>
              <w:t xml:space="preserve"> Team Foundation Server 2012</w:t>
            </w:r>
            <w:bookmarkEnd w:id="481"/>
            <w:bookmarkEnd w:id="482"/>
            <w:bookmarkEnd w:id="483"/>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szCs w:val="13"/>
              </w:rPr>
            </w:pPr>
            <w:r w:rsidRPr="004D10F1">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0B5EFD" w:rsidRPr="004D10F1" w:rsidTr="000C5B59">
        <w:trPr>
          <w:trHeight w:val="287"/>
        </w:trPr>
        <w:tc>
          <w:tcPr>
            <w:tcW w:w="2734" w:type="dxa"/>
            <w:gridSpan w:val="2"/>
            <w:tcBorders>
              <w:bottom w:val="single" w:sz="4" w:space="0" w:color="auto"/>
            </w:tcBorders>
            <w:shd w:val="clear" w:color="auto" w:fill="FABF8F"/>
            <w:vAlign w:val="center"/>
          </w:tcPr>
          <w:p w:rsidR="000B5EFD" w:rsidRPr="00C02B5C" w:rsidRDefault="000B5EFD" w:rsidP="00C02B5C">
            <w:pPr>
              <w:pStyle w:val="Heading2"/>
              <w:spacing w:beforeLines="20" w:before="48" w:afterLines="20" w:after="48"/>
              <w:ind w:left="0"/>
              <w:rPr>
                <w:rFonts w:ascii="Tahoma" w:hAnsi="Tahoma" w:cs="Tahoma"/>
                <w:b w:val="0"/>
                <w:sz w:val="14"/>
                <w:szCs w:val="14"/>
              </w:rPr>
            </w:pPr>
            <w:bookmarkStart w:id="484" w:name="_Toc363998857"/>
            <w:r w:rsidRPr="00C02B5C">
              <w:rPr>
                <w:rFonts w:ascii="Tahoma" w:hAnsi="Tahoma" w:cs="Tahoma"/>
                <w:b w:val="0"/>
                <w:sz w:val="14"/>
                <w:szCs w:val="14"/>
              </w:rPr>
              <w:t>Windows Azure Active Directory-Rechteverwaltung</w:t>
            </w:r>
            <w:bookmarkEnd w:id="484"/>
          </w:p>
        </w:tc>
        <w:tc>
          <w:tcPr>
            <w:tcW w:w="450" w:type="dxa"/>
            <w:tcBorders>
              <w:bottom w:val="single" w:sz="4" w:space="0" w:color="auto"/>
            </w:tcBorders>
            <w:shd w:val="clear" w:color="auto" w:fill="FABF8F"/>
            <w:vAlign w:val="center"/>
          </w:tcPr>
          <w:p w:rsidR="000B5EFD" w:rsidRPr="00C02B5C" w:rsidRDefault="000B5EFD" w:rsidP="00C02B5C">
            <w:pPr>
              <w:pStyle w:val="TableText"/>
              <w:widowControl w:val="0"/>
              <w:rPr>
                <w:rFonts w:cs="Tahoma"/>
                <w:sz w:val="13"/>
                <w:szCs w:val="13"/>
              </w:rPr>
            </w:pPr>
          </w:p>
        </w:tc>
        <w:tc>
          <w:tcPr>
            <w:tcW w:w="450" w:type="dxa"/>
            <w:tcBorders>
              <w:bottom w:val="single" w:sz="4"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r w:rsidRPr="004D10F1">
              <w:rPr>
                <w:rFonts w:ascii="Tahoma" w:hAnsi="Tahoma" w:cs="Tahoma"/>
                <w:sz w:val="13"/>
              </w:rPr>
              <w:t>9/13</w:t>
            </w:r>
          </w:p>
        </w:tc>
        <w:tc>
          <w:tcPr>
            <w:tcW w:w="360" w:type="dxa"/>
            <w:tcBorders>
              <w:bottom w:val="single" w:sz="4" w:space="0" w:color="auto"/>
              <w:right w:val="single" w:sz="18"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0B5EFD" w:rsidRPr="004D10F1" w:rsidRDefault="000B5EFD" w:rsidP="000C5B59">
            <w:pPr>
              <w:pStyle w:val="TableText"/>
              <w:widowControl w:val="0"/>
              <w:rPr>
                <w:rFonts w:ascii="Tahoma" w:hAnsi="Tahoma" w:cs="Tahoma"/>
                <w:sz w:val="13"/>
              </w:rPr>
            </w:pPr>
          </w:p>
        </w:tc>
      </w:tr>
      <w:tr w:rsidR="00B33D0E" w:rsidRPr="004D10F1" w:rsidTr="000C5B59">
        <w:trPr>
          <w:trHeight w:val="287"/>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485" w:name="_Toc336338114"/>
            <w:bookmarkStart w:id="486" w:name="_Toc363998858"/>
            <w:r w:rsidRPr="00C02B5C">
              <w:rPr>
                <w:rFonts w:ascii="Tahoma" w:hAnsi="Tahoma" w:cs="Tahoma"/>
                <w:b w:val="0"/>
                <w:sz w:val="14"/>
                <w:szCs w:val="14"/>
              </w:rPr>
              <w:t>Windows Azure-Dienste</w:t>
            </w:r>
            <w:bookmarkEnd w:id="485"/>
            <w:bookmarkEnd w:id="486"/>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99_Windows_Azure-Dienste" w:history="1">
              <w:r w:rsidR="00316801" w:rsidRPr="00C02B5C">
                <w:rPr>
                  <w:rStyle w:val="Hyperlink"/>
                  <w:rFonts w:cs="Tahoma"/>
                  <w:b/>
                  <w:sz w:val="13"/>
                  <w:szCs w:val="13"/>
                </w:rPr>
                <w:t>99</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1A63C6" w:rsidRPr="004D10F1" w:rsidTr="000C5B59">
        <w:trPr>
          <w:trHeight w:val="152"/>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487" w:name="_Toc336338115"/>
            <w:bookmarkStart w:id="488" w:name="_Toc363998859"/>
            <w:r w:rsidRPr="00C02B5C">
              <w:rPr>
                <w:rFonts w:ascii="Tahoma" w:hAnsi="Tahoma" w:cs="Tahoma"/>
                <w:b w:val="0"/>
                <w:sz w:val="14"/>
                <w:szCs w:val="14"/>
              </w:rPr>
              <w:t>Windows</w:t>
            </w:r>
            <w:r w:rsidR="0069040B" w:rsidRPr="0069040B">
              <w:rPr>
                <w:rFonts w:ascii="Tahoma" w:hAnsi="Tahoma" w:cs="Tahoma"/>
                <w:b w:val="0"/>
                <w:sz w:val="14"/>
                <w:szCs w:val="14"/>
                <w:vertAlign w:val="superscript"/>
              </w:rPr>
              <w:t>®</w:t>
            </w:r>
            <w:r w:rsidRPr="00C02B5C">
              <w:rPr>
                <w:rFonts w:ascii="Tahoma" w:hAnsi="Tahoma" w:cs="Tahoma"/>
                <w:b w:val="0"/>
                <w:sz w:val="14"/>
                <w:szCs w:val="14"/>
              </w:rPr>
              <w:t xml:space="preserve"> Embedded Device Manager2011</w:t>
            </w:r>
            <w:bookmarkEnd w:id="487"/>
            <w:bookmarkEnd w:id="488"/>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u w:val="single"/>
              </w:rPr>
            </w:pPr>
            <w:hyperlink w:anchor="_100_Windows_Embedded" w:history="1">
              <w:r w:rsidR="00316801" w:rsidRPr="00C02B5C">
                <w:rPr>
                  <w:rStyle w:val="Hyperlink"/>
                  <w:rFonts w:cs="Tahoma"/>
                  <w:b/>
                  <w:sz w:val="13"/>
                  <w:szCs w:val="13"/>
                </w:rPr>
                <w:t>100</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33D0E" w:rsidRPr="00FB51BA" w:rsidTr="000C5B59">
        <w:trPr>
          <w:trHeight w:val="287"/>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489" w:name="_Toc336338116"/>
            <w:bookmarkStart w:id="490" w:name="_Toc363998860"/>
            <w:r w:rsidRPr="00C02B5C">
              <w:rPr>
                <w:rFonts w:ascii="Tahoma" w:hAnsi="Tahoma" w:cs="Tahoma"/>
                <w:b w:val="0"/>
                <w:sz w:val="14"/>
                <w:szCs w:val="14"/>
                <w:lang w:val="de-DE"/>
              </w:rPr>
              <w:t>Client-Management-Lizenz pro Betriebssystemumgebung für Windows</w:t>
            </w:r>
            <w:r w:rsidR="0069040B" w:rsidRPr="0069040B">
              <w:rPr>
                <w:rFonts w:ascii="Tahoma" w:hAnsi="Tahoma" w:cs="Tahoma"/>
                <w:b w:val="0"/>
                <w:sz w:val="14"/>
                <w:szCs w:val="14"/>
                <w:vertAlign w:val="superscript"/>
                <w:lang w:val="de-DE"/>
              </w:rPr>
              <w:t>®</w:t>
            </w:r>
            <w:r w:rsidRPr="00C02B5C">
              <w:rPr>
                <w:rFonts w:ascii="Tahoma" w:hAnsi="Tahoma" w:cs="Tahoma"/>
                <w:b w:val="0"/>
                <w:sz w:val="14"/>
                <w:szCs w:val="14"/>
                <w:lang w:val="de-DE"/>
              </w:rPr>
              <w:t xml:space="preserve"> Embedded Device Manager 2011</w:t>
            </w:r>
            <w:bookmarkEnd w:id="489"/>
            <w:bookmarkEnd w:id="490"/>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Fonts w:cs="Tahoma"/>
                <w:b/>
                <w:color w:val="0000FF"/>
                <w:sz w:val="13"/>
                <w:szCs w:val="13"/>
                <w:lang w:val="de-DE"/>
              </w:rPr>
            </w:pPr>
          </w:p>
        </w:tc>
        <w:tc>
          <w:tcPr>
            <w:tcW w:w="450" w:type="dxa"/>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450" w:type="dxa"/>
            <w:gridSpan w:val="3"/>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360" w:type="dxa"/>
            <w:tcBorders>
              <w:bottom w:val="single" w:sz="4" w:space="0" w:color="auto"/>
              <w:right w:val="single" w:sz="18"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450" w:type="dxa"/>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c>
          <w:tcPr>
            <w:tcW w:w="540" w:type="dxa"/>
            <w:tcBorders>
              <w:bottom w:val="single" w:sz="4" w:space="0" w:color="auto"/>
            </w:tcBorders>
            <w:shd w:val="clear" w:color="auto" w:fill="auto"/>
            <w:vAlign w:val="center"/>
          </w:tcPr>
          <w:p w:rsidR="001A63C6" w:rsidRPr="00E22E42" w:rsidRDefault="001A63C6" w:rsidP="000C5B59">
            <w:pPr>
              <w:pStyle w:val="TableText"/>
              <w:widowControl w:val="0"/>
              <w:rPr>
                <w:rFonts w:ascii="Tahoma" w:hAnsi="Tahoma" w:cs="Tahoma"/>
                <w:sz w:val="13"/>
                <w:lang w:val="de-DE"/>
              </w:rPr>
            </w:pPr>
          </w:p>
        </w:tc>
      </w:tr>
      <w:tr w:rsidR="001A63C6" w:rsidRPr="004D10F1" w:rsidTr="000C5B59">
        <w:trPr>
          <w:trHeight w:val="287"/>
        </w:trPr>
        <w:tc>
          <w:tcPr>
            <w:tcW w:w="2734" w:type="dxa"/>
            <w:gridSpan w:val="2"/>
            <w:tcBorders>
              <w:bottom w:val="single" w:sz="4" w:space="0" w:color="auto"/>
            </w:tcBorders>
            <w:shd w:val="clear" w:color="auto" w:fill="FABF8F"/>
            <w:vAlign w:val="center"/>
          </w:tcPr>
          <w:p w:rsidR="001A63C6" w:rsidRPr="00C02B5C" w:rsidRDefault="001A63C6" w:rsidP="005A76F9">
            <w:pPr>
              <w:pStyle w:val="Heading2"/>
              <w:spacing w:beforeLines="20" w:before="48" w:afterLines="20" w:after="48"/>
              <w:ind w:left="0"/>
              <w:rPr>
                <w:rFonts w:ascii="Tahoma" w:hAnsi="Tahoma" w:cs="Tahoma"/>
                <w:b w:val="0"/>
                <w:sz w:val="14"/>
                <w:szCs w:val="14"/>
                <w:lang w:val="de-DE"/>
              </w:rPr>
            </w:pPr>
            <w:bookmarkStart w:id="491" w:name="_Toc336338117"/>
            <w:bookmarkStart w:id="492" w:name="_Toc363998861"/>
            <w:r w:rsidRPr="00C02B5C">
              <w:rPr>
                <w:rFonts w:ascii="Tahoma" w:hAnsi="Tahoma" w:cs="Tahoma"/>
                <w:b w:val="0"/>
                <w:sz w:val="14"/>
                <w:szCs w:val="14"/>
                <w:lang w:val="de-DE"/>
              </w:rPr>
              <w:t>Client-Management-Lizenz pro Nutzer fürWindows</w:t>
            </w:r>
            <w:r w:rsidR="0069040B" w:rsidRPr="0069040B">
              <w:rPr>
                <w:rFonts w:ascii="Tahoma" w:hAnsi="Tahoma" w:cs="Tahoma"/>
                <w:b w:val="0"/>
                <w:sz w:val="14"/>
                <w:szCs w:val="14"/>
                <w:vertAlign w:val="superscript"/>
                <w:lang w:val="de-DE"/>
              </w:rPr>
              <w:t>®</w:t>
            </w:r>
            <w:r w:rsidRPr="00C02B5C">
              <w:rPr>
                <w:rFonts w:ascii="Tahoma" w:hAnsi="Tahoma" w:cs="Tahoma"/>
                <w:b w:val="0"/>
                <w:sz w:val="14"/>
                <w:szCs w:val="14"/>
                <w:lang w:val="de-DE"/>
              </w:rPr>
              <w:t xml:space="preserve"> Embedded Device Manager</w:t>
            </w:r>
            <w:r w:rsidR="005A76F9">
              <w:rPr>
                <w:rFonts w:ascii="Tahoma" w:hAnsi="Tahoma" w:cs="Tahoma"/>
                <w:b w:val="0"/>
                <w:sz w:val="14"/>
                <w:szCs w:val="14"/>
                <w:lang w:val="de-DE"/>
              </w:rPr>
              <w:t> </w:t>
            </w:r>
            <w:r w:rsidRPr="00C02B5C">
              <w:rPr>
                <w:rFonts w:ascii="Tahoma" w:hAnsi="Tahoma" w:cs="Tahoma"/>
                <w:b w:val="0"/>
                <w:sz w:val="14"/>
                <w:szCs w:val="14"/>
                <w:lang w:val="de-DE"/>
              </w:rPr>
              <w:t>2011</w:t>
            </w:r>
            <w:bookmarkEnd w:id="491"/>
            <w:bookmarkEnd w:id="492"/>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color w:val="0000FF"/>
                <w:sz w:val="13"/>
                <w:szCs w:val="13"/>
              </w:rPr>
            </w:pPr>
            <w:hyperlink w:anchor="_96_Windows_Embedded" w:history="1">
              <w:r w:rsidR="00316801" w:rsidRPr="00C02B5C">
                <w:rPr>
                  <w:rStyle w:val="Hyperlink"/>
                  <w:rFonts w:cs="Tahoma"/>
                  <w:b/>
                  <w:sz w:val="13"/>
                  <w:szCs w:val="13"/>
                </w:rPr>
                <w:t>101</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287"/>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493" w:name="_Toc336338118"/>
            <w:bookmarkStart w:id="494" w:name="_Toc363998862"/>
            <w:r w:rsidRPr="00C02B5C">
              <w:rPr>
                <w:rFonts w:ascii="Tahoma" w:hAnsi="Tahoma" w:cs="Tahoma"/>
                <w:b w:val="0"/>
                <w:sz w:val="14"/>
                <w:szCs w:val="14"/>
              </w:rPr>
              <w:t>Windows</w:t>
            </w:r>
            <w:r w:rsidR="0069040B" w:rsidRPr="0069040B">
              <w:rPr>
                <w:rFonts w:ascii="Tahoma" w:hAnsi="Tahoma" w:cs="Tahoma"/>
                <w:b w:val="0"/>
                <w:sz w:val="14"/>
                <w:szCs w:val="14"/>
                <w:vertAlign w:val="superscript"/>
              </w:rPr>
              <w:t>®</w:t>
            </w:r>
            <w:r w:rsidRPr="00C02B5C">
              <w:rPr>
                <w:rFonts w:ascii="Tahoma" w:hAnsi="Tahoma" w:cs="Tahoma"/>
                <w:b w:val="0"/>
                <w:sz w:val="14"/>
                <w:szCs w:val="14"/>
              </w:rPr>
              <w:t xml:space="preserve"> Embedded Device Manager 2011 mit SQL Server</w:t>
            </w:r>
            <w:r w:rsidR="0069040B" w:rsidRPr="0069040B">
              <w:rPr>
                <w:rFonts w:ascii="Tahoma" w:hAnsi="Tahoma" w:cs="Tahoma"/>
                <w:b w:val="0"/>
                <w:sz w:val="14"/>
                <w:szCs w:val="14"/>
                <w:vertAlign w:val="superscript"/>
              </w:rPr>
              <w:t>®</w:t>
            </w:r>
            <w:r w:rsidRPr="00C02B5C">
              <w:rPr>
                <w:rFonts w:ascii="Tahoma" w:hAnsi="Tahoma" w:cs="Tahoma"/>
                <w:b w:val="0"/>
                <w:sz w:val="14"/>
                <w:szCs w:val="14"/>
              </w:rPr>
              <w:t xml:space="preserve"> 2008-Technologie</w:t>
            </w:r>
            <w:bookmarkEnd w:id="493"/>
            <w:bookmarkEnd w:id="494"/>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color w:val="0000FF"/>
                <w:sz w:val="13"/>
                <w:szCs w:val="13"/>
                <w:u w:val="single"/>
              </w:rPr>
            </w:pPr>
            <w:hyperlink w:anchor="_96_Windows_Embedded" w:history="1">
              <w:r w:rsidR="005E70E4" w:rsidRPr="00C02B5C">
                <w:rPr>
                  <w:rStyle w:val="Hyperlink"/>
                  <w:rFonts w:cs="Tahoma"/>
                  <w:b/>
                  <w:sz w:val="13"/>
                  <w:szCs w:val="13"/>
                </w:rPr>
                <w:t>101</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1A63C6" w:rsidRPr="004D10F1" w:rsidTr="000C5B59">
        <w:trPr>
          <w:trHeight w:val="287"/>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495" w:name="_Toc336338119"/>
            <w:bookmarkStart w:id="496" w:name="_Toc363998863"/>
            <w:r w:rsidRPr="00C02B5C">
              <w:rPr>
                <w:rFonts w:ascii="Tahoma" w:hAnsi="Tahoma" w:cs="Tahoma"/>
                <w:b w:val="0"/>
                <w:sz w:val="14"/>
                <w:szCs w:val="14"/>
              </w:rPr>
              <w:t>Windows Essential Business Server 2008 Standard</w:t>
            </w:r>
            <w:bookmarkEnd w:id="495"/>
            <w:bookmarkEnd w:id="496"/>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102_Windows_EBS" w:history="1">
              <w:r w:rsidR="00316801" w:rsidRPr="00C02B5C">
                <w:rPr>
                  <w:rStyle w:val="Hyperlink"/>
                  <w:rFonts w:cs="Tahoma"/>
                  <w:b/>
                  <w:sz w:val="13"/>
                  <w:szCs w:val="13"/>
                </w:rPr>
                <w:t>102</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trHeight w:val="287"/>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497" w:name="_Toc336338120"/>
            <w:bookmarkStart w:id="498" w:name="_Toc363998864"/>
            <w:r w:rsidRPr="00C02B5C">
              <w:rPr>
                <w:rFonts w:ascii="Tahoma" w:hAnsi="Tahoma" w:cs="Tahoma"/>
                <w:b w:val="0"/>
                <w:sz w:val="14"/>
                <w:szCs w:val="14"/>
              </w:rPr>
              <w:t>CAL-Suite für Windows Essential Business Server 2008</w:t>
            </w:r>
            <w:bookmarkEnd w:id="497"/>
            <w:bookmarkEnd w:id="498"/>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1A63C6" w:rsidRPr="004D10F1" w:rsidTr="000C5B59">
        <w:trPr>
          <w:trHeight w:val="287"/>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499" w:name="_Toc336338121"/>
            <w:bookmarkStart w:id="500" w:name="_Toc363998865"/>
            <w:r w:rsidRPr="00C02B5C">
              <w:rPr>
                <w:rFonts w:ascii="Tahoma" w:hAnsi="Tahoma" w:cs="Tahoma"/>
                <w:b w:val="0"/>
                <w:sz w:val="14"/>
                <w:szCs w:val="14"/>
              </w:rPr>
              <w:t>CAL-Suite für Windows Essential Business Server 2008 (5 Clients)</w:t>
            </w:r>
            <w:bookmarkEnd w:id="499"/>
            <w:bookmarkEnd w:id="500"/>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w:t>
            </w:r>
          </w:p>
        </w:tc>
      </w:tr>
      <w:tr w:rsidR="00B33D0E" w:rsidRPr="004D10F1" w:rsidTr="000C5B59">
        <w:trPr>
          <w:trHeight w:val="287"/>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01" w:name="_Toc336338122"/>
            <w:bookmarkStart w:id="502" w:name="_Toc363998866"/>
            <w:r w:rsidRPr="00C02B5C">
              <w:rPr>
                <w:rFonts w:ascii="Tahoma" w:hAnsi="Tahoma" w:cs="Tahoma"/>
                <w:b w:val="0"/>
                <w:color w:val="000000"/>
                <w:sz w:val="14"/>
                <w:szCs w:val="14"/>
              </w:rPr>
              <w:t>CAL-Suite für Windows Essential Business Server 2008 (20 Clients)</w:t>
            </w:r>
            <w:bookmarkEnd w:id="501"/>
            <w:bookmarkEnd w:id="502"/>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w:t>
            </w:r>
          </w:p>
        </w:tc>
      </w:tr>
      <w:tr w:rsidR="001A63C6" w:rsidRPr="004D10F1" w:rsidTr="000C5B59">
        <w:trPr>
          <w:trHeight w:val="287"/>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03" w:name="_Toc336338123"/>
            <w:bookmarkStart w:id="504" w:name="_Toc363998867"/>
            <w:r w:rsidRPr="00C02B5C">
              <w:rPr>
                <w:rFonts w:ascii="Tahoma" w:hAnsi="Tahoma" w:cs="Tahoma"/>
                <w:b w:val="0"/>
                <w:sz w:val="14"/>
                <w:szCs w:val="14"/>
              </w:rPr>
              <w:t>CAL-Suite für Windows Essential Business Server 2008 (50 Clients)</w:t>
            </w:r>
            <w:bookmarkEnd w:id="503"/>
            <w:bookmarkEnd w:id="504"/>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w:t>
            </w:r>
          </w:p>
        </w:tc>
      </w:tr>
      <w:tr w:rsidR="00B33D0E" w:rsidRPr="004D10F1" w:rsidTr="00F674A6">
        <w:trPr>
          <w:cantSplit/>
          <w:trHeight w:val="287"/>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05" w:name="_Toc336338124"/>
            <w:bookmarkStart w:id="506" w:name="_Toc363998868"/>
            <w:r w:rsidRPr="00C02B5C">
              <w:rPr>
                <w:rFonts w:ascii="Tahoma" w:hAnsi="Tahoma" w:cs="Tahoma"/>
                <w:b w:val="0"/>
                <w:sz w:val="14"/>
                <w:szCs w:val="14"/>
              </w:rPr>
              <w:t>Windows Essential Business Server 2008 Premium</w:t>
            </w:r>
            <w:bookmarkEnd w:id="505"/>
            <w:bookmarkEnd w:id="506"/>
            <w:r w:rsidRPr="00C02B5C">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102_Windows_EBS" w:history="1">
              <w:r w:rsidR="00A71B90" w:rsidRPr="00C02B5C">
                <w:rPr>
                  <w:rStyle w:val="Hyperlink"/>
                  <w:rFonts w:cs="Tahoma"/>
                  <w:b/>
                  <w:sz w:val="13"/>
                  <w:szCs w:val="13"/>
                </w:rPr>
                <w:t>102</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r>
      <w:tr w:rsidR="00E5334D" w:rsidRPr="004D10F1" w:rsidTr="000C5B59">
        <w:trPr>
          <w:trHeight w:val="287"/>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507" w:name="_Toc336338125"/>
            <w:bookmarkStart w:id="508" w:name="_Toc363998869"/>
            <w:r w:rsidRPr="00C02B5C">
              <w:rPr>
                <w:rFonts w:ascii="Tahoma" w:hAnsi="Tahoma" w:cs="Tahoma"/>
                <w:b w:val="0"/>
                <w:sz w:val="14"/>
                <w:szCs w:val="14"/>
                <w:lang w:val="de-DE"/>
              </w:rPr>
              <w:t>CAL-Suite für Windows Essential Business Server 2008 für Premium-Nutzer oder -Geräte</w:t>
            </w:r>
            <w:bookmarkEnd w:id="507"/>
            <w:bookmarkEnd w:id="508"/>
            <w:r w:rsidRPr="00C02B5C">
              <w:rPr>
                <w:rFonts w:ascii="Tahoma" w:hAnsi="Tahoma" w:cs="Tahoma"/>
                <w:b w:val="0"/>
                <w:sz w:val="14"/>
                <w:szCs w:val="14"/>
                <w:lang w:val="de-DE"/>
              </w:rPr>
              <w:t xml:space="preserve"> </w:t>
            </w:r>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sz w:val="13"/>
                <w:szCs w:val="13"/>
                <w:lang w:val="de-D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r>
      <w:tr w:rsidR="00B33D0E" w:rsidRPr="004D10F1" w:rsidTr="000C5B59">
        <w:trPr>
          <w:cantSplit/>
          <w:trHeight w:val="287"/>
        </w:trPr>
        <w:tc>
          <w:tcPr>
            <w:tcW w:w="2734" w:type="dxa"/>
            <w:gridSpan w:val="2"/>
            <w:tcBorders>
              <w:bottom w:val="single" w:sz="4" w:space="0" w:color="auto"/>
            </w:tcBorders>
            <w:shd w:val="clear" w:color="auto" w:fill="auto"/>
            <w:vAlign w:val="center"/>
          </w:tcPr>
          <w:p w:rsidR="001A63C6" w:rsidRPr="001614A1" w:rsidRDefault="001A63C6" w:rsidP="00C02B5C">
            <w:pPr>
              <w:pStyle w:val="Heading2"/>
              <w:spacing w:beforeLines="20" w:before="48" w:afterLines="20" w:after="48"/>
              <w:ind w:left="0"/>
              <w:rPr>
                <w:rFonts w:ascii="Tahoma" w:hAnsi="Tahoma" w:cs="Tahoma"/>
                <w:b w:val="0"/>
                <w:sz w:val="14"/>
                <w:szCs w:val="14"/>
              </w:rPr>
            </w:pPr>
            <w:bookmarkStart w:id="509" w:name="_Toc336338126"/>
            <w:bookmarkStart w:id="510" w:name="_Toc363998870"/>
            <w:r w:rsidRPr="001614A1">
              <w:rPr>
                <w:rFonts w:ascii="Tahoma" w:hAnsi="Tahoma" w:cs="Tahoma"/>
                <w:b w:val="0"/>
                <w:sz w:val="14"/>
                <w:szCs w:val="14"/>
              </w:rPr>
              <w:t>Windows Essential Business Server 2008 CAL Suite für Premium-Nutzer oder -Geräte (5 Clients)</w:t>
            </w:r>
            <w:bookmarkEnd w:id="509"/>
            <w:bookmarkEnd w:id="510"/>
          </w:p>
        </w:tc>
        <w:tc>
          <w:tcPr>
            <w:tcW w:w="450" w:type="dxa"/>
            <w:tcBorders>
              <w:bottom w:val="single" w:sz="4" w:space="0" w:color="auto"/>
            </w:tcBorders>
            <w:shd w:val="clear" w:color="auto" w:fill="auto"/>
            <w:vAlign w:val="center"/>
          </w:tcPr>
          <w:p w:rsidR="001A63C6" w:rsidRPr="001614A1" w:rsidRDefault="001A63C6" w:rsidP="00C02B5C">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w:t>
            </w:r>
          </w:p>
        </w:tc>
      </w:tr>
      <w:tr w:rsidR="00E5334D" w:rsidRPr="004D10F1" w:rsidTr="000C5B59">
        <w:trPr>
          <w:trHeight w:val="287"/>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511" w:name="_Toc336338127"/>
            <w:bookmarkStart w:id="512" w:name="_Toc363998871"/>
            <w:r w:rsidRPr="00C02B5C">
              <w:rPr>
                <w:rFonts w:ascii="Tahoma" w:hAnsi="Tahoma" w:cs="Tahoma"/>
                <w:b w:val="0"/>
                <w:sz w:val="14"/>
                <w:szCs w:val="14"/>
                <w:lang w:val="de-DE"/>
              </w:rPr>
              <w:t>CAL-Suite für Windows Essential Business Server 2008 für Premium-Nutzer oder -Geräte (20 Clients)</w:t>
            </w:r>
            <w:bookmarkEnd w:id="511"/>
            <w:bookmarkEnd w:id="512"/>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sz w:val="13"/>
                <w:szCs w:val="13"/>
                <w:lang w:val="de-D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w:t>
            </w:r>
          </w:p>
        </w:tc>
      </w:tr>
      <w:tr w:rsidR="00B33D0E" w:rsidRPr="004D10F1" w:rsidTr="000C5B59">
        <w:trPr>
          <w:trHeight w:val="287"/>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513" w:name="_Toc336338128"/>
            <w:bookmarkStart w:id="514" w:name="_Toc363998872"/>
            <w:r w:rsidRPr="00C02B5C">
              <w:rPr>
                <w:rFonts w:ascii="Tahoma" w:hAnsi="Tahoma" w:cs="Tahoma"/>
                <w:b w:val="0"/>
                <w:sz w:val="14"/>
                <w:szCs w:val="14"/>
                <w:lang w:val="de-DE"/>
              </w:rPr>
              <w:t>CAL-Suite für Windows Essential Business Server 2008 für Premium-Nutzer oder -Geräte (50 Clients)</w:t>
            </w:r>
            <w:bookmarkEnd w:id="513"/>
            <w:bookmarkEnd w:id="514"/>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color w:val="0000FF"/>
                <w:sz w:val="13"/>
                <w:szCs w:val="13"/>
                <w:lang w:val="de-D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OL</w:t>
            </w:r>
          </w:p>
        </w:tc>
      </w:tr>
      <w:tr w:rsidR="00E5334D"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keepNext/>
              <w:spacing w:beforeLines="20" w:before="48" w:afterLines="20" w:after="48"/>
              <w:ind w:left="0"/>
              <w:rPr>
                <w:rFonts w:ascii="Tahoma" w:hAnsi="Tahoma" w:cs="Tahoma"/>
                <w:b w:val="0"/>
                <w:sz w:val="14"/>
                <w:szCs w:val="14"/>
              </w:rPr>
            </w:pPr>
            <w:bookmarkStart w:id="515" w:name="_Toc336338129"/>
            <w:bookmarkStart w:id="516" w:name="_Toc363998873"/>
            <w:r w:rsidRPr="00C02B5C">
              <w:rPr>
                <w:rFonts w:ascii="Tahoma" w:hAnsi="Tahoma" w:cs="Tahoma"/>
                <w:b w:val="0"/>
                <w:sz w:val="14"/>
                <w:szCs w:val="14"/>
              </w:rPr>
              <w:t>Windows HPC Server 2008 R2 Suite</w:t>
            </w:r>
            <w:bookmarkEnd w:id="515"/>
            <w:bookmarkEnd w:id="516"/>
            <w:r w:rsidRPr="00C02B5C">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sz w:val="13"/>
                <w:szCs w:val="13"/>
                <w:u w:val="single"/>
              </w:rPr>
            </w:pPr>
            <w:hyperlink w:anchor="_103_Windows_HPC" w:history="1">
              <w:r w:rsidR="00316801" w:rsidRPr="00C02B5C">
                <w:rPr>
                  <w:rStyle w:val="Hyperlink"/>
                  <w:rFonts w:cs="Tahoma"/>
                  <w:b/>
                  <w:sz w:val="13"/>
                  <w:szCs w:val="13"/>
                </w:rPr>
                <w:t>103</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17" w:name="_Toc363998874"/>
            <w:r w:rsidRPr="00C02B5C">
              <w:rPr>
                <w:rFonts w:ascii="Tahoma" w:hAnsi="Tahoma" w:cs="Tahoma"/>
                <w:b w:val="0"/>
                <w:sz w:val="14"/>
                <w:szCs w:val="14"/>
              </w:rPr>
              <w:t>Windows Intune Add-on für System Center Configuration Manager und System Center Endpoint Protection (pro Nutzer)</w:t>
            </w:r>
            <w:bookmarkEnd w:id="517"/>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18" w:name="_Toc363998875"/>
            <w:r w:rsidRPr="00C02B5C">
              <w:rPr>
                <w:rFonts w:ascii="Tahoma" w:hAnsi="Tahoma" w:cs="Tahoma"/>
                <w:b w:val="0"/>
                <w:sz w:val="14"/>
                <w:szCs w:val="14"/>
              </w:rPr>
              <w:t>Windows Intune (pro Nutzer)</w:t>
            </w:r>
            <w:bookmarkEnd w:id="518"/>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Fonts w:cs="Tahoma"/>
                <w:b/>
                <w:sz w:val="13"/>
                <w:szCs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519" w:name="_Toc336338132"/>
            <w:bookmarkStart w:id="520" w:name="_Toc341193035"/>
            <w:bookmarkStart w:id="521" w:name="_Toc363998876"/>
            <w:r w:rsidRPr="00C02B5C">
              <w:rPr>
                <w:rFonts w:ascii="Tahoma" w:hAnsi="Tahoma" w:cs="Tahoma"/>
                <w:b w:val="0"/>
                <w:sz w:val="14"/>
                <w:szCs w:val="14"/>
                <w:lang w:val="de-DE"/>
              </w:rPr>
              <w:t>Nutzer-AL für Add-On für Windows Intune Extra Storage 1 GB</w:t>
            </w:r>
            <w:bookmarkEnd w:id="519"/>
            <w:bookmarkEnd w:id="520"/>
            <w:bookmarkEnd w:id="521"/>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22" w:name="_Toc336338133"/>
            <w:bookmarkStart w:id="523" w:name="_Toc363998877"/>
            <w:r w:rsidRPr="00C02B5C">
              <w:rPr>
                <w:rFonts w:ascii="Tahoma" w:hAnsi="Tahoma" w:cs="Tahoma"/>
                <w:b w:val="0"/>
                <w:sz w:val="14"/>
                <w:szCs w:val="14"/>
              </w:rPr>
              <w:t>Windows MultiPoint Server 2012 Standard</w:t>
            </w:r>
            <w:bookmarkEnd w:id="522"/>
            <w:bookmarkEnd w:id="523"/>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sz w:val="13"/>
                <w:szCs w:val="13"/>
                <w:u w:val="single"/>
              </w:rPr>
            </w:pPr>
            <w:hyperlink w:anchor="_104_Windows_Multipoint" w:history="1">
              <w:r w:rsidR="00316801" w:rsidRPr="00C02B5C">
                <w:rPr>
                  <w:rStyle w:val="Hyperlink"/>
                  <w:rFonts w:cs="Tahoma"/>
                  <w:b/>
                  <w:sz w:val="13"/>
                  <w:szCs w:val="13"/>
                </w:rPr>
                <w:t>104</w:t>
              </w:r>
            </w:hyperlink>
            <w:hyperlink w:anchor="_98_Windows_Multipoint" w:history="1"/>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24" w:name="_Toc336338134"/>
            <w:bookmarkStart w:id="525" w:name="_Toc363998878"/>
            <w:r w:rsidRPr="00C02B5C">
              <w:rPr>
                <w:rFonts w:ascii="Tahoma" w:hAnsi="Tahoma" w:cs="Tahoma"/>
                <w:b w:val="0"/>
                <w:sz w:val="14"/>
                <w:szCs w:val="14"/>
              </w:rPr>
              <w:t>Windows MultiPoint Server 2012 Premium</w:t>
            </w:r>
            <w:bookmarkEnd w:id="524"/>
            <w:bookmarkEnd w:id="525"/>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sz w:val="13"/>
                <w:szCs w:val="13"/>
                <w:u w:val="single"/>
              </w:rPr>
            </w:pPr>
            <w:hyperlink w:anchor="_106_Windows_Multipoint" w:history="1">
              <w:hyperlink w:anchor="Srv_107WinMultipointSvr2011Premium" w:history="1">
                <w:r w:rsidR="00316801" w:rsidRPr="005E70E4">
                  <w:rPr>
                    <w:rStyle w:val="Hyperlink"/>
                    <w:rFonts w:cs="Tahoma"/>
                    <w:b/>
                    <w:sz w:val="13"/>
                    <w:szCs w:val="13"/>
                  </w:rPr>
                  <w:t>10</w:t>
                </w:r>
              </w:hyperlink>
              <w:r w:rsidR="00316801" w:rsidRPr="005E70E4">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26" w:name="_Toc336338135"/>
            <w:bookmarkStart w:id="527" w:name="_Toc363998879"/>
            <w:r w:rsidRPr="00C02B5C">
              <w:rPr>
                <w:rFonts w:ascii="Tahoma" w:hAnsi="Tahoma" w:cs="Tahoma"/>
                <w:b w:val="0"/>
                <w:sz w:val="14"/>
                <w:szCs w:val="14"/>
              </w:rPr>
              <w:t>CAL für Windows MultiPoint Server 2012</w:t>
            </w:r>
            <w:bookmarkEnd w:id="526"/>
            <w:bookmarkEnd w:id="527"/>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Fonts w:cs="Tahoma"/>
                <w:b/>
                <w:sz w:val="13"/>
                <w:szCs w:val="13"/>
                <w:u w:val="single"/>
              </w:rPr>
            </w:pPr>
            <w:hyperlink w:anchor="_106_CAL_für" w:history="1">
              <w:r w:rsidR="00316801" w:rsidRPr="00C02B5C">
                <w:rPr>
                  <w:rStyle w:val="Hyperlink"/>
                  <w:rFonts w:cs="Tahoma"/>
                  <w:b/>
                  <w:sz w:val="13"/>
                  <w:szCs w:val="13"/>
                </w:rPr>
                <w:t>106</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528" w:name="_Toc336338136"/>
            <w:bookmarkStart w:id="529" w:name="_Toc363998880"/>
            <w:r w:rsidRPr="00C02B5C">
              <w:rPr>
                <w:rFonts w:ascii="Tahoma" w:hAnsi="Tahoma" w:cs="Tahoma"/>
                <w:b w:val="0"/>
                <w:sz w:val="14"/>
                <w:szCs w:val="14"/>
                <w:lang w:val="de-DE"/>
              </w:rPr>
              <w:t>CAL für Windows MultiPoint Server 2012 mit CAL für Windows Server 2012</w:t>
            </w:r>
            <w:bookmarkEnd w:id="528"/>
            <w:bookmarkEnd w:id="529"/>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Fonts w:cs="Tahoma"/>
                <w:b/>
                <w:sz w:val="13"/>
                <w:szCs w:val="13"/>
                <w:lang w:val="de-D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30" w:name="_Toc336338137"/>
            <w:bookmarkStart w:id="531" w:name="_Toc363998881"/>
            <w:r w:rsidRPr="00C02B5C">
              <w:rPr>
                <w:rFonts w:ascii="Tahoma" w:hAnsi="Tahoma" w:cs="Tahoma"/>
                <w:b w:val="0"/>
                <w:sz w:val="14"/>
                <w:szCs w:val="14"/>
              </w:rPr>
              <w:t>Windows MultiPoint Server 2012 Premium mit Windows MultiPoint Server 2012 (CAL) (5 Clients)</w:t>
            </w:r>
            <w:bookmarkEnd w:id="530"/>
            <w:bookmarkEnd w:id="531"/>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Fonts w:cs="Tahoma"/>
                <w:b/>
                <w:sz w:val="13"/>
                <w:szCs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OL/OV</w:t>
            </w: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32" w:name="_Toc336338138"/>
            <w:bookmarkStart w:id="533" w:name="_Toc363998882"/>
            <w:r w:rsidRPr="00C02B5C">
              <w:rPr>
                <w:rFonts w:ascii="Tahoma" w:hAnsi="Tahoma" w:cs="Tahoma"/>
                <w:b w:val="0"/>
                <w:sz w:val="14"/>
                <w:szCs w:val="14"/>
              </w:rPr>
              <w:t>Windows MultiPoint Server 2012 Premium mit Windows MultiPoint Server 2012 (CAL) (5 Clients) mit CAL für Windows Server 2012 (5 Clients)</w:t>
            </w:r>
            <w:bookmarkEnd w:id="532"/>
            <w:bookmarkEnd w:id="533"/>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63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OL/OV</w:t>
            </w:r>
          </w:p>
        </w:tc>
      </w:tr>
      <w:tr w:rsidR="001933C6" w:rsidRPr="004D10F1" w:rsidTr="000C5B59">
        <w:trPr>
          <w:trHeight w:val="145"/>
        </w:trPr>
        <w:tc>
          <w:tcPr>
            <w:tcW w:w="2734" w:type="dxa"/>
            <w:gridSpan w:val="2"/>
            <w:tcBorders>
              <w:bottom w:val="single" w:sz="4" w:space="0" w:color="auto"/>
            </w:tcBorders>
            <w:shd w:val="clear" w:color="auto" w:fill="FABF8F"/>
            <w:vAlign w:val="center"/>
          </w:tcPr>
          <w:p w:rsidR="001933C6" w:rsidRPr="00C02B5C" w:rsidRDefault="001933C6" w:rsidP="00C02B5C">
            <w:pPr>
              <w:pStyle w:val="Heading2"/>
              <w:spacing w:beforeLines="20" w:before="48" w:afterLines="20" w:after="48"/>
              <w:ind w:left="0"/>
              <w:rPr>
                <w:rFonts w:ascii="Tahoma" w:hAnsi="Tahoma" w:cs="Tahoma"/>
                <w:b w:val="0"/>
                <w:sz w:val="14"/>
                <w:szCs w:val="14"/>
              </w:rPr>
            </w:pPr>
            <w:bookmarkStart w:id="534" w:name="_Toc363998883"/>
            <w:r w:rsidRPr="00C02B5C">
              <w:rPr>
                <w:rFonts w:ascii="Tahoma" w:hAnsi="Tahoma" w:cs="Tahoma"/>
                <w:b w:val="0"/>
                <w:sz w:val="14"/>
                <w:szCs w:val="14"/>
              </w:rPr>
              <w:t>Windows Server™ 2008 R2 HPC Edition</w:t>
            </w:r>
            <w:bookmarkEnd w:id="534"/>
          </w:p>
        </w:tc>
        <w:tc>
          <w:tcPr>
            <w:tcW w:w="450" w:type="dxa"/>
            <w:tcBorders>
              <w:bottom w:val="single" w:sz="4" w:space="0" w:color="auto"/>
            </w:tcBorders>
            <w:shd w:val="clear" w:color="auto" w:fill="FABF8F"/>
            <w:vAlign w:val="center"/>
          </w:tcPr>
          <w:p w:rsidR="001933C6" w:rsidRPr="00C02B5C" w:rsidRDefault="005B744B" w:rsidP="00C02B5C">
            <w:pPr>
              <w:pStyle w:val="TableText"/>
              <w:widowControl w:val="0"/>
              <w:rPr>
                <w:rFonts w:cs="Tahoma"/>
                <w:sz w:val="13"/>
                <w:szCs w:val="13"/>
              </w:rPr>
            </w:pPr>
            <w:hyperlink w:anchor="_107_Windows_Server" w:history="1">
              <w:hyperlink w:anchor="Srv_110WinSvr08R2HPC" w:history="1">
                <w:r w:rsidR="00316801" w:rsidRPr="005E70E4">
                  <w:rPr>
                    <w:rStyle w:val="Hyperlink"/>
                    <w:rFonts w:cs="Tahoma"/>
                    <w:b/>
                    <w:sz w:val="13"/>
                    <w:szCs w:val="13"/>
                  </w:rPr>
                  <w:t>10</w:t>
                </w:r>
              </w:hyperlink>
              <w:r w:rsidR="00316801" w:rsidRPr="005E70E4">
                <w:rPr>
                  <w:rStyle w:val="Hyperlink"/>
                  <w:rFonts w:cs="Tahoma"/>
                  <w:b/>
                  <w:sz w:val="13"/>
                  <w:szCs w:val="13"/>
                </w:rPr>
                <w:t>7</w:t>
              </w:r>
            </w:hyperlink>
          </w:p>
        </w:tc>
        <w:tc>
          <w:tcPr>
            <w:tcW w:w="450" w:type="dxa"/>
            <w:tcBorders>
              <w:bottom w:val="single" w:sz="4" w:space="0" w:color="auto"/>
            </w:tcBorders>
            <w:shd w:val="clear" w:color="auto" w:fill="FABF8F"/>
            <w:vAlign w:val="center"/>
          </w:tcPr>
          <w:p w:rsidR="001933C6" w:rsidRPr="004D10F1" w:rsidRDefault="001933C6" w:rsidP="000C5B59">
            <w:pPr>
              <w:pStyle w:val="TableText"/>
              <w:widowControl w:val="0"/>
              <w:rPr>
                <w:rFonts w:ascii="Tahoma" w:hAnsi="Tahoma" w:cs="Tahoma"/>
                <w:color w:val="000000"/>
                <w:sz w:val="13"/>
              </w:rPr>
            </w:pPr>
            <w:r w:rsidRPr="004D10F1">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4D10F1" w:rsidRDefault="00193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4D10F1" w:rsidRDefault="00193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4D10F1" w:rsidRDefault="00193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4D10F1" w:rsidRDefault="00193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933C6" w:rsidRPr="004D10F1" w:rsidRDefault="00193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4D10F1" w:rsidRDefault="00193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4D10F1" w:rsidRDefault="00193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4D10F1" w:rsidRDefault="00193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4D10F1" w:rsidRDefault="00193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4D10F1" w:rsidRDefault="00193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4D10F1" w:rsidRDefault="00193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4D10F1" w:rsidRDefault="00193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4D10F1" w:rsidRDefault="00193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933C6" w:rsidRPr="004D10F1" w:rsidRDefault="00193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933C6" w:rsidRPr="004D10F1" w:rsidRDefault="00193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4D10F1" w:rsidRDefault="001933C6" w:rsidP="000C5B59">
            <w:pPr>
              <w:pStyle w:val="TableText"/>
              <w:widowControl w:val="0"/>
              <w:rPr>
                <w:rFonts w:ascii="Tahoma" w:hAnsi="Tahoma" w:cs="Tahoma"/>
                <w:color w:val="000000"/>
                <w:sz w:val="13"/>
              </w:rPr>
            </w:pP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35" w:name="_Toc336338140"/>
            <w:bookmarkStart w:id="536" w:name="_Toc363998884"/>
            <w:r w:rsidRPr="00C02B5C">
              <w:rPr>
                <w:rFonts w:ascii="Tahoma" w:hAnsi="Tahoma" w:cs="Tahoma"/>
                <w:b w:val="0"/>
                <w:sz w:val="14"/>
                <w:szCs w:val="14"/>
              </w:rPr>
              <w:t>Windows Server™ 2008 R2 Enterprise</w:t>
            </w:r>
            <w:bookmarkEnd w:id="535"/>
            <w:bookmarkEnd w:id="536"/>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00FF"/>
                <w:sz w:val="13"/>
                <w:szCs w:val="13"/>
                <w:u w:val="single"/>
              </w:rPr>
            </w:pPr>
            <w:hyperlink w:anchor="_109_Windows_Server" w:history="1">
              <w:r w:rsidR="00316801" w:rsidRPr="00C02B5C">
                <w:rPr>
                  <w:rStyle w:val="Hyperlink"/>
                  <w:rFonts w:cs="Tahoma"/>
                  <w:b/>
                  <w:sz w:val="13"/>
                  <w:szCs w:val="13"/>
                </w:rPr>
                <w:t>108</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537" w:name="_Toc336338141"/>
            <w:bookmarkStart w:id="538" w:name="_Toc363998885"/>
            <w:r w:rsidRPr="00C02B5C">
              <w:rPr>
                <w:rFonts w:ascii="Tahoma" w:hAnsi="Tahoma" w:cs="Tahoma"/>
                <w:b w:val="0"/>
                <w:sz w:val="14"/>
                <w:szCs w:val="14"/>
                <w:lang w:val="de-DE"/>
              </w:rPr>
              <w:t>Windows Server™ 2008 R2 für Itanium-basierte Systeme</w:t>
            </w:r>
            <w:bookmarkEnd w:id="537"/>
            <w:bookmarkEnd w:id="538"/>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sz w:val="13"/>
                <w:szCs w:val="13"/>
                <w:u w:val="single"/>
              </w:rPr>
            </w:pPr>
            <w:hyperlink w:anchor="_110_Windows_Server_1" w:history="1">
              <w:r w:rsidR="00316801" w:rsidRPr="00C02B5C">
                <w:rPr>
                  <w:rStyle w:val="Hyperlink"/>
                  <w:rFonts w:cs="Tahoma"/>
                  <w:b/>
                  <w:sz w:val="13"/>
                  <w:szCs w:val="13"/>
                </w:rPr>
                <w:t>109</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539" w:name="_Toc336338142"/>
            <w:bookmarkStart w:id="540" w:name="_Toc363998886"/>
            <w:r w:rsidRPr="00C02B5C">
              <w:rPr>
                <w:rFonts w:ascii="Tahoma" w:hAnsi="Tahoma" w:cs="Tahoma"/>
                <w:b w:val="0"/>
                <w:sz w:val="14"/>
                <w:szCs w:val="14"/>
                <w:lang w:val="de-DE"/>
              </w:rPr>
              <w:t>CAL für Windows Server™ 2012 (Gerät &amp; Nutzer)</w:t>
            </w:r>
            <w:bookmarkEnd w:id="539"/>
            <w:bookmarkEnd w:id="540"/>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Fonts w:cs="Tahoma"/>
                <w:b/>
                <w:sz w:val="13"/>
                <w:szCs w:val="13"/>
                <w:u w:val="single"/>
              </w:rPr>
            </w:pPr>
            <w:hyperlink w:anchor="_110_CAL_für" w:history="1">
              <w:r w:rsidR="00316801" w:rsidRPr="00C02B5C">
                <w:rPr>
                  <w:rStyle w:val="Hyperlink"/>
                  <w:rFonts w:cs="Tahoma"/>
                  <w:b/>
                  <w:sz w:val="13"/>
                  <w:szCs w:val="13"/>
                </w:rPr>
                <w:t>110</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D</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41" w:name="_Toc336338143"/>
            <w:bookmarkStart w:id="542" w:name="_Toc363998887"/>
            <w:r w:rsidRPr="00C02B5C">
              <w:rPr>
                <w:rFonts w:ascii="Tahoma" w:hAnsi="Tahoma" w:cs="Tahoma"/>
                <w:b w:val="0"/>
                <w:sz w:val="14"/>
                <w:szCs w:val="14"/>
              </w:rPr>
              <w:t>Windows Server™ 2012 Datacenter</w:t>
            </w:r>
            <w:bookmarkEnd w:id="541"/>
            <w:bookmarkEnd w:id="542"/>
          </w:p>
        </w:tc>
        <w:tc>
          <w:tcPr>
            <w:tcW w:w="450" w:type="dxa"/>
            <w:tcBorders>
              <w:bottom w:val="single" w:sz="4" w:space="0" w:color="auto"/>
            </w:tcBorders>
            <w:shd w:val="clear" w:color="auto" w:fill="FABF8F"/>
            <w:vAlign w:val="center"/>
          </w:tcPr>
          <w:p w:rsidR="001A63C6" w:rsidRPr="00C02B5C" w:rsidRDefault="005B744B" w:rsidP="00C02B5C">
            <w:pPr>
              <w:pStyle w:val="TableText"/>
              <w:widowControl w:val="0"/>
              <w:rPr>
                <w:rStyle w:val="EndnoteReference"/>
                <w:rFonts w:cs="Tahoma"/>
                <w:b w:val="0"/>
                <w:color w:val="0070C0"/>
                <w:sz w:val="13"/>
                <w:szCs w:val="13"/>
                <w:u w:val="single"/>
              </w:rPr>
            </w:pPr>
            <w:hyperlink w:anchor="_114_Windows_Server" w:history="1">
              <w:r w:rsidR="00316801" w:rsidRPr="00C02B5C">
                <w:rPr>
                  <w:rStyle w:val="Hyperlink"/>
                  <w:rFonts w:cs="Tahoma"/>
                  <w:b/>
                  <w:sz w:val="13"/>
                  <w:szCs w:val="13"/>
                </w:rPr>
                <w:t>111</w:t>
              </w:r>
            </w:hyperlink>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OL/OV</w:t>
            </w: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43" w:name="_Toc336338144"/>
            <w:bookmarkStart w:id="544" w:name="_Toc363998888"/>
            <w:r w:rsidRPr="00C02B5C">
              <w:rPr>
                <w:rFonts w:ascii="Tahoma" w:hAnsi="Tahoma" w:cs="Tahoma"/>
                <w:b w:val="0"/>
                <w:sz w:val="14"/>
                <w:szCs w:val="14"/>
              </w:rPr>
              <w:t>Windows Server™ 2012 Standard</w:t>
            </w:r>
            <w:bookmarkEnd w:id="543"/>
            <w:bookmarkEnd w:id="544"/>
          </w:p>
        </w:tc>
        <w:tc>
          <w:tcPr>
            <w:tcW w:w="450" w:type="dxa"/>
            <w:tcBorders>
              <w:bottom w:val="single" w:sz="4" w:space="0" w:color="auto"/>
            </w:tcBorders>
            <w:shd w:val="clear" w:color="auto" w:fill="auto"/>
            <w:vAlign w:val="center"/>
          </w:tcPr>
          <w:p w:rsidR="001A63C6" w:rsidRPr="00C02B5C" w:rsidRDefault="005B744B" w:rsidP="00C02B5C">
            <w:pPr>
              <w:pStyle w:val="TableText"/>
              <w:widowControl w:val="0"/>
              <w:rPr>
                <w:rStyle w:val="EndnoteReference"/>
                <w:rFonts w:cs="Tahoma"/>
                <w:b w:val="0"/>
                <w:color w:val="0070C0"/>
                <w:sz w:val="13"/>
                <w:szCs w:val="13"/>
                <w:u w:val="single"/>
                <w:vertAlign w:val="baseline"/>
              </w:rPr>
            </w:pPr>
            <w:hyperlink w:anchor="_118_Windows_Server" w:history="1">
              <w:r w:rsidR="00316801" w:rsidRPr="00C02B5C">
                <w:rPr>
                  <w:rStyle w:val="Hyperlink"/>
                  <w:rFonts w:cs="Tahoma"/>
                  <w:b/>
                  <w:sz w:val="13"/>
                  <w:szCs w:val="13"/>
                </w:rPr>
                <w:t>112</w:t>
              </w:r>
            </w:hyperlink>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1A63C6" w:rsidRPr="004D10F1" w:rsidTr="000C5B59">
        <w:trPr>
          <w:trHeight w:val="145"/>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45" w:name="_Toc336338145"/>
            <w:bookmarkStart w:id="546" w:name="_Toc363998889"/>
            <w:r w:rsidRPr="00C02B5C">
              <w:rPr>
                <w:rFonts w:ascii="Tahoma" w:hAnsi="Tahoma" w:cs="Tahoma"/>
                <w:b w:val="0"/>
                <w:sz w:val="14"/>
                <w:szCs w:val="14"/>
              </w:rPr>
              <w:t>Externer Connector für Windows Server™</w:t>
            </w:r>
            <w:bookmarkEnd w:id="545"/>
            <w:bookmarkEnd w:id="546"/>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OL/OV</w:t>
            </w: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547" w:name="_Toc336338146"/>
            <w:bookmarkStart w:id="548" w:name="_Toc363998890"/>
            <w:r w:rsidRPr="00C02B5C">
              <w:rPr>
                <w:rFonts w:ascii="Tahoma" w:hAnsi="Tahoma" w:cs="Tahoma"/>
                <w:b w:val="0"/>
                <w:sz w:val="14"/>
                <w:szCs w:val="14"/>
                <w:lang w:val="de-DE"/>
              </w:rPr>
              <w:t>CAL für Windows Server™ 2012-Remotedesktopdienste</w:t>
            </w:r>
            <w:bookmarkEnd w:id="547"/>
            <w:bookmarkEnd w:id="548"/>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Z,B</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1A63C6" w:rsidRPr="004D10F1" w:rsidTr="000C5B59">
        <w:trPr>
          <w:trHeight w:val="431"/>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spacing w:beforeLines="20" w:before="48" w:afterLines="20" w:after="48"/>
              <w:ind w:left="0"/>
              <w:rPr>
                <w:rFonts w:ascii="Tahoma" w:hAnsi="Tahoma" w:cs="Tahoma"/>
                <w:b w:val="0"/>
                <w:sz w:val="14"/>
                <w:szCs w:val="14"/>
              </w:rPr>
            </w:pPr>
            <w:bookmarkStart w:id="549" w:name="_Toc336338147"/>
            <w:bookmarkStart w:id="550" w:name="_Toc363998891"/>
            <w:r w:rsidRPr="00C02B5C">
              <w:rPr>
                <w:rFonts w:ascii="Tahoma" w:hAnsi="Tahoma" w:cs="Tahoma"/>
                <w:b w:val="0"/>
                <w:sz w:val="14"/>
                <w:szCs w:val="14"/>
              </w:rPr>
              <w:t>Externer Connector für Windows Server™ 2012-Remotedesktopdienste</w:t>
            </w:r>
            <w:bookmarkEnd w:id="549"/>
            <w:bookmarkEnd w:id="550"/>
          </w:p>
        </w:tc>
        <w:tc>
          <w:tcPr>
            <w:tcW w:w="450" w:type="dxa"/>
            <w:tcBorders>
              <w:bottom w:val="single" w:sz="4" w:space="0" w:color="auto"/>
            </w:tcBorders>
            <w:shd w:val="clear" w:color="auto" w:fill="FABF8F"/>
            <w:vAlign w:val="center"/>
          </w:tcPr>
          <w:p w:rsidR="001A63C6" w:rsidRPr="00C02B5C" w:rsidRDefault="001A63C6" w:rsidP="00C02B5C">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OL/OV</w:t>
            </w:r>
          </w:p>
        </w:tc>
      </w:tr>
      <w:tr w:rsidR="00B33D0E" w:rsidRPr="004D10F1" w:rsidTr="000C5B59">
        <w:trPr>
          <w:trHeight w:val="145"/>
        </w:trPr>
        <w:tc>
          <w:tcPr>
            <w:tcW w:w="2734" w:type="dxa"/>
            <w:gridSpan w:val="2"/>
            <w:tcBorders>
              <w:bottom w:val="single" w:sz="4" w:space="0" w:color="auto"/>
            </w:tcBorders>
            <w:shd w:val="clear" w:color="auto" w:fill="auto"/>
            <w:vAlign w:val="center"/>
          </w:tcPr>
          <w:p w:rsidR="001A63C6" w:rsidRPr="00C02B5C" w:rsidRDefault="001A63C6" w:rsidP="00C02B5C">
            <w:pPr>
              <w:pStyle w:val="Heading2"/>
              <w:spacing w:beforeLines="20" w:before="48" w:afterLines="20" w:after="48"/>
              <w:ind w:left="0"/>
              <w:rPr>
                <w:rFonts w:ascii="Tahoma" w:hAnsi="Tahoma" w:cs="Tahoma"/>
                <w:b w:val="0"/>
                <w:sz w:val="14"/>
                <w:szCs w:val="14"/>
                <w:lang w:val="de-DE"/>
              </w:rPr>
            </w:pPr>
            <w:bookmarkStart w:id="551" w:name="_Toc336338148"/>
            <w:bookmarkStart w:id="552" w:name="_Toc363998892"/>
            <w:r w:rsidRPr="00C02B5C">
              <w:rPr>
                <w:rFonts w:ascii="Tahoma" w:hAnsi="Tahoma" w:cs="Tahoma"/>
                <w:b w:val="0"/>
                <w:sz w:val="14"/>
                <w:szCs w:val="14"/>
                <w:lang w:val="de-DE"/>
              </w:rPr>
              <w:t>CAL für Windows Server™ 2012 Active Directory-Rechteverwaltungsdienste</w:t>
            </w:r>
            <w:bookmarkEnd w:id="551"/>
            <w:bookmarkEnd w:id="552"/>
          </w:p>
        </w:tc>
        <w:tc>
          <w:tcPr>
            <w:tcW w:w="450" w:type="dxa"/>
            <w:tcBorders>
              <w:bottom w:val="single" w:sz="4" w:space="0" w:color="auto"/>
            </w:tcBorders>
            <w:shd w:val="clear" w:color="auto" w:fill="auto"/>
            <w:vAlign w:val="center"/>
          </w:tcPr>
          <w:p w:rsidR="001A63C6" w:rsidRPr="00C02B5C" w:rsidRDefault="001A63C6" w:rsidP="00C02B5C">
            <w:pPr>
              <w:pStyle w:val="TableText"/>
              <w:widowControl w:val="0"/>
              <w:rPr>
                <w:rStyle w:val="EndnoteReference"/>
                <w:rFonts w:cs="Tahoma"/>
                <w:sz w:val="13"/>
                <w:szCs w:val="13"/>
                <w:u w:val="single"/>
                <w:lang w:val="de-DE"/>
              </w:rPr>
            </w:pP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auto"/>
            <w:vAlign w:val="center"/>
          </w:tcPr>
          <w:p w:rsidR="001A63C6" w:rsidRPr="004D10F1" w:rsidRDefault="001A63C6" w:rsidP="000C5B59">
            <w:pPr>
              <w:pStyle w:val="TableText"/>
              <w:widowControl w:val="0"/>
              <w:rPr>
                <w:rFonts w:ascii="Tahoma" w:hAnsi="Tahoma" w:cs="Tahoma"/>
                <w:color w:val="000000"/>
                <w:sz w:val="13"/>
              </w:rPr>
            </w:pPr>
          </w:p>
        </w:tc>
      </w:tr>
      <w:tr w:rsidR="001A63C6" w:rsidRPr="004D10F1" w:rsidTr="000C5B59">
        <w:trPr>
          <w:trHeight w:val="467"/>
        </w:trPr>
        <w:tc>
          <w:tcPr>
            <w:tcW w:w="2734" w:type="dxa"/>
            <w:gridSpan w:val="2"/>
            <w:tcBorders>
              <w:bottom w:val="single" w:sz="4" w:space="0" w:color="auto"/>
            </w:tcBorders>
            <w:shd w:val="clear" w:color="auto" w:fill="FABF8F"/>
            <w:vAlign w:val="center"/>
          </w:tcPr>
          <w:p w:rsidR="001A63C6" w:rsidRPr="00C02B5C" w:rsidRDefault="001A63C6" w:rsidP="00C02B5C">
            <w:pPr>
              <w:pStyle w:val="Heading2"/>
              <w:keepNext/>
              <w:keepLines/>
              <w:spacing w:beforeLines="20" w:before="48" w:afterLines="20" w:after="48"/>
              <w:ind w:left="0"/>
              <w:rPr>
                <w:rFonts w:ascii="Tahoma" w:hAnsi="Tahoma" w:cs="Tahoma"/>
                <w:b w:val="0"/>
                <w:sz w:val="14"/>
                <w:szCs w:val="14"/>
              </w:rPr>
            </w:pPr>
            <w:bookmarkStart w:id="553" w:name="_Toc336338149"/>
            <w:bookmarkStart w:id="554" w:name="_Toc363998893"/>
            <w:r w:rsidRPr="00C02B5C">
              <w:rPr>
                <w:rFonts w:ascii="Tahoma" w:hAnsi="Tahoma" w:cs="Tahoma"/>
                <w:b w:val="0"/>
                <w:sz w:val="14"/>
                <w:szCs w:val="14"/>
              </w:rPr>
              <w:t>Externer Connector für Windows Server™ Active Directory- Rechteverwaltungsdienste</w:t>
            </w:r>
            <w:bookmarkEnd w:id="553"/>
            <w:bookmarkEnd w:id="554"/>
          </w:p>
        </w:tc>
        <w:tc>
          <w:tcPr>
            <w:tcW w:w="450" w:type="dxa"/>
            <w:tcBorders>
              <w:bottom w:val="single" w:sz="4" w:space="0" w:color="auto"/>
            </w:tcBorders>
            <w:shd w:val="clear" w:color="auto" w:fill="FABF8F"/>
            <w:vAlign w:val="center"/>
          </w:tcPr>
          <w:p w:rsidR="001A63C6" w:rsidRPr="00C02B5C" w:rsidRDefault="001A63C6" w:rsidP="00C02B5C">
            <w:pPr>
              <w:pStyle w:val="TableText"/>
              <w:keepNext/>
              <w:keepLines/>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color w:val="000000"/>
                <w:sz w:val="13"/>
              </w:rPr>
            </w:pPr>
            <w:r w:rsidRPr="004D10F1">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sz w:val="13"/>
              </w:rPr>
            </w:pPr>
            <w:r w:rsidRPr="004D10F1">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sz w:val="13"/>
              </w:rPr>
            </w:pPr>
            <w:r w:rsidRPr="004D10F1">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sz w:val="13"/>
              </w:rPr>
            </w:pPr>
            <w:r w:rsidRPr="004D10F1">
              <w:rPr>
                <w:rFonts w:ascii="Tahoma" w:hAnsi="Tahoma" w:cs="Tahoma"/>
                <w:sz w:val="13"/>
              </w:rPr>
              <w:t>250</w:t>
            </w:r>
          </w:p>
        </w:tc>
        <w:tc>
          <w:tcPr>
            <w:tcW w:w="450" w:type="dxa"/>
            <w:gridSpan w:val="3"/>
            <w:tcBorders>
              <w:bottom w:val="single" w:sz="4"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sz w:val="13"/>
              </w:rPr>
            </w:pPr>
            <w:r w:rsidRPr="004D10F1">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sz w:val="13"/>
              </w:rPr>
            </w:pPr>
            <w:r w:rsidRPr="004D10F1">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sz w:val="13"/>
              </w:rPr>
            </w:pPr>
            <w:r w:rsidRPr="004D10F1">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sz w:val="13"/>
              </w:rPr>
            </w:pPr>
            <w:r w:rsidRPr="004D10F1">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sz w:val="13"/>
              </w:rPr>
            </w:pPr>
            <w:r w:rsidRPr="004D10F1">
              <w:rPr>
                <w:rFonts w:ascii="Tahoma" w:hAnsi="Tahoma" w:cs="Tahoma"/>
                <w:sz w:val="13"/>
              </w:rPr>
              <w:t>125</w:t>
            </w:r>
          </w:p>
        </w:tc>
        <w:tc>
          <w:tcPr>
            <w:tcW w:w="450" w:type="dxa"/>
            <w:tcBorders>
              <w:bottom w:val="single" w:sz="4"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sz w:val="13"/>
              </w:rPr>
            </w:pPr>
            <w:r w:rsidRPr="004D10F1">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sz w:val="13"/>
              </w:rPr>
            </w:pPr>
            <w:r w:rsidRPr="004D10F1">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sz w:val="13"/>
              </w:rPr>
            </w:pPr>
            <w:r w:rsidRPr="004D10F1">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sz w:val="13"/>
              </w:rPr>
            </w:pPr>
            <w:r w:rsidRPr="004D10F1">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FABF8F"/>
            <w:vAlign w:val="center"/>
          </w:tcPr>
          <w:p w:rsidR="001A63C6" w:rsidRPr="004D10F1" w:rsidRDefault="001A63C6" w:rsidP="000C5B59">
            <w:pPr>
              <w:pStyle w:val="TableText"/>
              <w:keepNext/>
              <w:keepLines/>
              <w:widowControl w:val="0"/>
              <w:rPr>
                <w:rFonts w:ascii="Tahoma" w:hAnsi="Tahoma" w:cs="Tahoma"/>
                <w:color w:val="000000"/>
                <w:sz w:val="13"/>
              </w:rPr>
            </w:pPr>
            <w:r w:rsidRPr="004D10F1">
              <w:rPr>
                <w:rFonts w:ascii="Tahoma" w:hAnsi="Tahoma" w:cs="Tahoma"/>
                <w:color w:val="000000"/>
                <w:sz w:val="13"/>
              </w:rPr>
              <w:t>OL/OV</w:t>
            </w:r>
          </w:p>
        </w:tc>
      </w:tr>
      <w:tr w:rsidR="00A5643F" w:rsidRPr="004D10F1" w:rsidTr="000C5B59">
        <w:trPr>
          <w:gridBefore w:val="1"/>
          <w:wBefore w:w="20" w:type="dxa"/>
          <w:trHeight w:val="145"/>
        </w:trPr>
        <w:tc>
          <w:tcPr>
            <w:tcW w:w="2714" w:type="dxa"/>
            <w:tcBorders>
              <w:bottom w:val="single" w:sz="4" w:space="0" w:color="auto"/>
            </w:tcBorders>
            <w:shd w:val="clear" w:color="auto" w:fill="auto"/>
            <w:vAlign w:val="center"/>
          </w:tcPr>
          <w:p w:rsidR="00A5643F" w:rsidRPr="00C02B5C" w:rsidRDefault="00A5643F" w:rsidP="00C02B5C">
            <w:pPr>
              <w:pStyle w:val="Heading2"/>
              <w:keepNext/>
              <w:keepLines/>
              <w:spacing w:beforeLines="20" w:before="48" w:afterLines="20" w:after="48"/>
              <w:ind w:left="0"/>
              <w:rPr>
                <w:rFonts w:ascii="Tahoma" w:hAnsi="Tahoma" w:cs="Tahoma"/>
                <w:b w:val="0"/>
                <w:sz w:val="14"/>
                <w:szCs w:val="14"/>
              </w:rPr>
            </w:pPr>
            <w:bookmarkStart w:id="555" w:name="_Toc363998894"/>
            <w:r w:rsidRPr="00C02B5C">
              <w:rPr>
                <w:rFonts w:ascii="Tahoma" w:hAnsi="Tahoma" w:cs="Tahoma"/>
                <w:b w:val="0"/>
                <w:sz w:val="14"/>
                <w:szCs w:val="14"/>
              </w:rPr>
              <w:t>Windows Small Business Server 2008 Premium</w:t>
            </w:r>
            <w:bookmarkEnd w:id="555"/>
            <w:r w:rsidRPr="00C02B5C">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C02B5C" w:rsidRDefault="005B744B" w:rsidP="00C02B5C">
            <w:pPr>
              <w:pStyle w:val="TableText"/>
              <w:keepNext/>
              <w:keepLines/>
              <w:widowControl w:val="0"/>
              <w:rPr>
                <w:rFonts w:cs="Tahoma"/>
                <w:b/>
                <w:sz w:val="13"/>
                <w:szCs w:val="13"/>
                <w:u w:val="single"/>
              </w:rPr>
            </w:pPr>
            <w:hyperlink w:anchor="_113_Windows_Small" w:history="1">
              <w:r w:rsidR="00316801" w:rsidRPr="00C02B5C">
                <w:rPr>
                  <w:rStyle w:val="Hyperlink"/>
                  <w:rFonts w:cs="Tahoma"/>
                  <w:b/>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r w:rsidRPr="004D10F1">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4D10F1" w:rsidDel="001265B4" w:rsidRDefault="00A5643F" w:rsidP="000C5B59">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4D10F1" w:rsidRDefault="00A5643F" w:rsidP="000C5B59">
            <w:pPr>
              <w:pStyle w:val="TableText"/>
              <w:keepNext/>
              <w:keepLines/>
              <w:widowControl w:val="0"/>
              <w:rPr>
                <w:rFonts w:ascii="Tahoma" w:hAnsi="Tahoma" w:cs="Tahoma"/>
                <w:sz w:val="13"/>
              </w:rPr>
            </w:pPr>
          </w:p>
        </w:tc>
      </w:tr>
      <w:tr w:rsidR="0091195E" w:rsidRPr="004D10F1" w:rsidTr="000C5B59">
        <w:trPr>
          <w:gridBefore w:val="1"/>
          <w:wBefore w:w="20" w:type="dxa"/>
          <w:trHeight w:val="145"/>
        </w:trPr>
        <w:tc>
          <w:tcPr>
            <w:tcW w:w="2714" w:type="dxa"/>
            <w:tcBorders>
              <w:bottom w:val="single" w:sz="4" w:space="0" w:color="auto"/>
            </w:tcBorders>
            <w:shd w:val="clear" w:color="auto" w:fill="FABF8F"/>
            <w:vAlign w:val="center"/>
          </w:tcPr>
          <w:p w:rsidR="0091195E" w:rsidRPr="00C02B5C" w:rsidRDefault="0091195E" w:rsidP="00C02B5C">
            <w:pPr>
              <w:pStyle w:val="Heading2"/>
              <w:spacing w:beforeLines="20" w:before="48" w:afterLines="20" w:after="48"/>
              <w:ind w:left="0"/>
              <w:rPr>
                <w:rFonts w:ascii="Tahoma" w:hAnsi="Tahoma" w:cs="Tahoma"/>
                <w:b w:val="0"/>
                <w:sz w:val="14"/>
                <w:szCs w:val="14"/>
              </w:rPr>
            </w:pPr>
            <w:bookmarkStart w:id="556" w:name="_Toc363998895"/>
            <w:r w:rsidRPr="00C02B5C">
              <w:rPr>
                <w:rFonts w:ascii="Tahoma" w:hAnsi="Tahoma" w:cs="Tahoma"/>
                <w:b w:val="0"/>
                <w:sz w:val="14"/>
                <w:szCs w:val="14"/>
              </w:rPr>
              <w:t>Windows Small Business Server 2011 Standard</w:t>
            </w:r>
            <w:bookmarkEnd w:id="556"/>
          </w:p>
        </w:tc>
        <w:tc>
          <w:tcPr>
            <w:tcW w:w="450" w:type="dxa"/>
            <w:tcBorders>
              <w:bottom w:val="single" w:sz="4" w:space="0" w:color="auto"/>
            </w:tcBorders>
            <w:shd w:val="clear" w:color="auto" w:fill="FABF8F"/>
            <w:vAlign w:val="center"/>
          </w:tcPr>
          <w:p w:rsidR="0091195E" w:rsidRPr="00C02B5C" w:rsidRDefault="005B744B" w:rsidP="00C02B5C">
            <w:pPr>
              <w:pStyle w:val="TableText"/>
              <w:widowControl w:val="0"/>
              <w:rPr>
                <w:rFonts w:cs="Tahoma"/>
                <w:sz w:val="13"/>
                <w:szCs w:val="13"/>
              </w:rPr>
            </w:pPr>
            <w:hyperlink w:anchor="_114_Windows_Small_1" w:history="1">
              <w:r w:rsidR="00ED1DE2" w:rsidRPr="005E70E4">
                <w:rPr>
                  <w:rStyle w:val="Hyperlink"/>
                  <w:rFonts w:cs="Tahoma"/>
                  <w:b/>
                  <w:sz w:val="13"/>
                  <w:szCs w:val="13"/>
                </w:rPr>
                <w:t>11</w:t>
              </w:r>
              <w:r w:rsidR="00ED1DE2" w:rsidRPr="005E70E4">
                <w:rPr>
                  <w:rStyle w:val="Hyperlink"/>
                  <w:rFonts w:cs="Tahoma"/>
                  <w:sz w:val="13"/>
                  <w:szCs w:val="13"/>
                </w:rPr>
                <w:t>4</w:t>
              </w:r>
            </w:hyperlink>
          </w:p>
        </w:tc>
        <w:tc>
          <w:tcPr>
            <w:tcW w:w="450" w:type="dxa"/>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r>
      <w:tr w:rsidR="00500991" w:rsidRPr="004D10F1" w:rsidTr="000C5B59">
        <w:trPr>
          <w:gridBefore w:val="1"/>
          <w:wBefore w:w="20" w:type="dxa"/>
          <w:trHeight w:val="145"/>
        </w:trPr>
        <w:tc>
          <w:tcPr>
            <w:tcW w:w="2714" w:type="dxa"/>
            <w:tcBorders>
              <w:bottom w:val="single" w:sz="4" w:space="0" w:color="auto"/>
            </w:tcBorders>
            <w:shd w:val="clear" w:color="auto" w:fill="auto"/>
            <w:vAlign w:val="center"/>
          </w:tcPr>
          <w:p w:rsidR="00A5643F" w:rsidRPr="00C02B5C" w:rsidRDefault="00A5643F" w:rsidP="00C02B5C">
            <w:pPr>
              <w:pStyle w:val="Heading2"/>
              <w:spacing w:beforeLines="20" w:before="48" w:afterLines="20" w:after="48"/>
              <w:ind w:left="0"/>
              <w:rPr>
                <w:rFonts w:ascii="Tahoma" w:hAnsi="Tahoma" w:cs="Tahoma"/>
                <w:b w:val="0"/>
                <w:sz w:val="14"/>
                <w:szCs w:val="14"/>
              </w:rPr>
            </w:pPr>
            <w:bookmarkStart w:id="557" w:name="_Toc336338158"/>
            <w:bookmarkStart w:id="558" w:name="_Toc363998896"/>
            <w:r w:rsidRPr="00C02B5C">
              <w:rPr>
                <w:rFonts w:ascii="Tahoma" w:hAnsi="Tahoma" w:cs="Tahoma"/>
                <w:b w:val="0"/>
                <w:sz w:val="14"/>
                <w:szCs w:val="14"/>
              </w:rPr>
              <w:t>CAL-Suite für Windows Small Business Server 2011 (1 Client)</w:t>
            </w:r>
            <w:bookmarkEnd w:id="557"/>
            <w:bookmarkEnd w:id="558"/>
          </w:p>
        </w:tc>
        <w:tc>
          <w:tcPr>
            <w:tcW w:w="450" w:type="dxa"/>
            <w:tcBorders>
              <w:bottom w:val="single" w:sz="4" w:space="0" w:color="auto"/>
            </w:tcBorders>
            <w:shd w:val="clear" w:color="auto" w:fill="auto"/>
            <w:vAlign w:val="center"/>
          </w:tcPr>
          <w:p w:rsidR="00A5643F" w:rsidRPr="00C02B5C" w:rsidRDefault="005B744B" w:rsidP="00C02B5C">
            <w:pPr>
              <w:pStyle w:val="TableText"/>
              <w:widowControl w:val="0"/>
              <w:rPr>
                <w:rStyle w:val="EndnoteReference"/>
                <w:rFonts w:cs="Tahoma"/>
                <w:b w:val="0"/>
                <w:color w:val="0000FF"/>
                <w:sz w:val="13"/>
                <w:szCs w:val="13"/>
                <w:u w:val="single"/>
              </w:rPr>
            </w:pPr>
            <w:hyperlink w:anchor="_122_Windows_Small" w:history="1">
              <w:r w:rsidR="00316801" w:rsidRPr="00C02B5C">
                <w:rPr>
                  <w:rStyle w:val="Hyperlink"/>
                  <w:rFonts w:cs="Tahoma"/>
                  <w:b/>
                  <w:sz w:val="13"/>
                  <w:szCs w:val="13"/>
                </w:rPr>
                <w:t>115</w:t>
              </w:r>
            </w:hyperlink>
          </w:p>
        </w:tc>
        <w:tc>
          <w:tcPr>
            <w:tcW w:w="45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E, P</w:t>
            </w:r>
          </w:p>
        </w:tc>
        <w:tc>
          <w:tcPr>
            <w:tcW w:w="54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r>
      <w:tr w:rsidR="00F76ED4" w:rsidRPr="004D10F1" w:rsidTr="000C5B59">
        <w:trPr>
          <w:gridBefore w:val="1"/>
          <w:wBefore w:w="20" w:type="dxa"/>
          <w:trHeight w:val="145"/>
        </w:trPr>
        <w:tc>
          <w:tcPr>
            <w:tcW w:w="2714" w:type="dxa"/>
            <w:tcBorders>
              <w:bottom w:val="single" w:sz="4" w:space="0" w:color="auto"/>
            </w:tcBorders>
            <w:shd w:val="clear" w:color="auto" w:fill="FABF8F"/>
            <w:vAlign w:val="center"/>
          </w:tcPr>
          <w:p w:rsidR="00A5643F" w:rsidRPr="00C02B5C" w:rsidRDefault="00A5643F" w:rsidP="00C02B5C">
            <w:pPr>
              <w:pStyle w:val="Heading2"/>
              <w:spacing w:beforeLines="20" w:before="48" w:afterLines="20" w:after="48"/>
              <w:ind w:left="0"/>
              <w:rPr>
                <w:rFonts w:ascii="Tahoma" w:hAnsi="Tahoma" w:cs="Tahoma"/>
                <w:b w:val="0"/>
                <w:color w:val="000000"/>
                <w:sz w:val="14"/>
                <w:szCs w:val="14"/>
              </w:rPr>
            </w:pPr>
            <w:bookmarkStart w:id="559" w:name="_Toc336338159"/>
            <w:bookmarkStart w:id="560" w:name="_Toc363998897"/>
            <w:r w:rsidRPr="00C02B5C">
              <w:rPr>
                <w:rFonts w:ascii="Tahoma" w:hAnsi="Tahoma" w:cs="Tahoma"/>
                <w:b w:val="0"/>
                <w:sz w:val="14"/>
                <w:szCs w:val="14"/>
              </w:rPr>
              <w:t>CAL-Suite für Windows Small Business Server 2011 (5 Clients)</w:t>
            </w:r>
            <w:bookmarkEnd w:id="559"/>
            <w:bookmarkEnd w:id="560"/>
          </w:p>
        </w:tc>
        <w:tc>
          <w:tcPr>
            <w:tcW w:w="450" w:type="dxa"/>
            <w:tcBorders>
              <w:bottom w:val="single" w:sz="4" w:space="0" w:color="auto"/>
            </w:tcBorders>
            <w:shd w:val="clear" w:color="auto" w:fill="FABF8F"/>
            <w:vAlign w:val="center"/>
          </w:tcPr>
          <w:p w:rsidR="00A5643F" w:rsidRPr="00C02B5C" w:rsidRDefault="005B744B" w:rsidP="00C02B5C">
            <w:pPr>
              <w:pStyle w:val="TableText"/>
              <w:widowControl w:val="0"/>
              <w:rPr>
                <w:rStyle w:val="EndnoteReference"/>
                <w:rFonts w:cs="Tahoma"/>
                <w:b w:val="0"/>
                <w:sz w:val="13"/>
                <w:szCs w:val="13"/>
                <w:u w:val="single"/>
              </w:rPr>
            </w:pPr>
            <w:hyperlink w:anchor="_116_Windows_Small" w:history="1">
              <w:r w:rsidR="005E70E4" w:rsidRPr="00C02B5C">
                <w:rPr>
                  <w:rStyle w:val="Hyperlink"/>
                  <w:rFonts w:cs="Tahoma"/>
                  <w:b/>
                  <w:sz w:val="13"/>
                  <w:szCs w:val="13"/>
                </w:rPr>
                <w:t>115</w:t>
              </w:r>
            </w:hyperlink>
          </w:p>
        </w:tc>
        <w:tc>
          <w:tcPr>
            <w:tcW w:w="450" w:type="dxa"/>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5</w:t>
            </w:r>
          </w:p>
        </w:tc>
        <w:tc>
          <w:tcPr>
            <w:tcW w:w="450" w:type="dxa"/>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color w:val="000000"/>
                <w:sz w:val="13"/>
              </w:rPr>
              <w:t>OL/OV</w:t>
            </w:r>
          </w:p>
        </w:tc>
      </w:tr>
      <w:tr w:rsidR="00500991" w:rsidRPr="004D10F1" w:rsidTr="000C5B59">
        <w:trPr>
          <w:gridBefore w:val="1"/>
          <w:wBefore w:w="20" w:type="dxa"/>
          <w:trHeight w:val="145"/>
        </w:trPr>
        <w:tc>
          <w:tcPr>
            <w:tcW w:w="2714" w:type="dxa"/>
            <w:tcBorders>
              <w:bottom w:val="single" w:sz="4" w:space="0" w:color="auto"/>
            </w:tcBorders>
            <w:shd w:val="clear" w:color="auto" w:fill="auto"/>
            <w:vAlign w:val="center"/>
          </w:tcPr>
          <w:p w:rsidR="00A5643F" w:rsidRPr="00C02B5C" w:rsidRDefault="00A5643F" w:rsidP="00C02B5C">
            <w:pPr>
              <w:pStyle w:val="Heading2"/>
              <w:spacing w:beforeLines="20" w:before="48" w:afterLines="20" w:after="48"/>
              <w:ind w:left="0"/>
              <w:rPr>
                <w:rFonts w:ascii="Tahoma" w:hAnsi="Tahoma" w:cs="Tahoma"/>
                <w:b w:val="0"/>
                <w:color w:val="000000"/>
                <w:sz w:val="14"/>
                <w:szCs w:val="14"/>
              </w:rPr>
            </w:pPr>
            <w:bookmarkStart w:id="561" w:name="_Toc336338160"/>
            <w:bookmarkStart w:id="562" w:name="_Toc363998898"/>
            <w:r w:rsidRPr="00C02B5C">
              <w:rPr>
                <w:rFonts w:ascii="Tahoma" w:hAnsi="Tahoma" w:cs="Tahoma"/>
                <w:b w:val="0"/>
                <w:sz w:val="14"/>
                <w:szCs w:val="14"/>
              </w:rPr>
              <w:t>CAL-Suite für Windows Small Business Server 2011 (20 Clients)</w:t>
            </w:r>
            <w:bookmarkEnd w:id="561"/>
            <w:bookmarkEnd w:id="562"/>
            <w:r w:rsidRPr="00C02B5C">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C02B5C" w:rsidRDefault="005B744B" w:rsidP="00C02B5C">
            <w:pPr>
              <w:pStyle w:val="TableText"/>
              <w:widowControl w:val="0"/>
              <w:rPr>
                <w:rStyle w:val="EndnoteReference"/>
                <w:rFonts w:cs="Tahoma"/>
                <w:b w:val="0"/>
                <w:sz w:val="13"/>
                <w:szCs w:val="13"/>
                <w:u w:val="single"/>
              </w:rPr>
            </w:pPr>
            <w:hyperlink w:anchor="_116_Windows_Small" w:history="1">
              <w:r w:rsidR="005E70E4" w:rsidRPr="00C02B5C">
                <w:rPr>
                  <w:rStyle w:val="Hyperlink"/>
                  <w:rFonts w:cs="Tahoma"/>
                  <w:b/>
                  <w:sz w:val="13"/>
                  <w:szCs w:val="13"/>
                </w:rPr>
                <w:t>115</w:t>
              </w:r>
            </w:hyperlink>
          </w:p>
        </w:tc>
        <w:tc>
          <w:tcPr>
            <w:tcW w:w="45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color w:val="000000"/>
                <w:sz w:val="13"/>
              </w:rPr>
              <w:t>OL/OV</w:t>
            </w:r>
          </w:p>
        </w:tc>
      </w:tr>
      <w:tr w:rsidR="0091195E" w:rsidRPr="004D10F1" w:rsidTr="000C5B59">
        <w:trPr>
          <w:gridBefore w:val="1"/>
          <w:wBefore w:w="20" w:type="dxa"/>
          <w:trHeight w:val="145"/>
        </w:trPr>
        <w:tc>
          <w:tcPr>
            <w:tcW w:w="2714" w:type="dxa"/>
            <w:tcBorders>
              <w:bottom w:val="single" w:sz="4" w:space="0" w:color="auto"/>
            </w:tcBorders>
            <w:shd w:val="clear" w:color="auto" w:fill="FABF8F"/>
            <w:vAlign w:val="center"/>
          </w:tcPr>
          <w:p w:rsidR="0091195E" w:rsidRPr="00C02B5C" w:rsidRDefault="0091195E" w:rsidP="00C02B5C">
            <w:pPr>
              <w:pStyle w:val="Heading2"/>
              <w:spacing w:beforeLines="20" w:before="48" w:afterLines="20" w:after="48"/>
              <w:ind w:left="0"/>
              <w:rPr>
                <w:rFonts w:ascii="Tahoma" w:hAnsi="Tahoma" w:cs="Tahoma"/>
                <w:b w:val="0"/>
                <w:sz w:val="14"/>
                <w:szCs w:val="14"/>
              </w:rPr>
            </w:pPr>
            <w:bookmarkStart w:id="563" w:name="_Toc363998899"/>
            <w:r w:rsidRPr="00C02B5C">
              <w:rPr>
                <w:rFonts w:ascii="Tahoma" w:hAnsi="Tahoma" w:cs="Tahoma"/>
                <w:b w:val="0"/>
                <w:sz w:val="14"/>
                <w:szCs w:val="14"/>
              </w:rPr>
              <w:t>Windows Small Business Server 2011 Premium Add-On</w:t>
            </w:r>
            <w:bookmarkEnd w:id="563"/>
          </w:p>
        </w:tc>
        <w:tc>
          <w:tcPr>
            <w:tcW w:w="450" w:type="dxa"/>
            <w:tcBorders>
              <w:bottom w:val="single" w:sz="4" w:space="0" w:color="auto"/>
            </w:tcBorders>
            <w:shd w:val="clear" w:color="auto" w:fill="FABF8F"/>
            <w:vAlign w:val="center"/>
          </w:tcPr>
          <w:p w:rsidR="0091195E" w:rsidRPr="00C02B5C" w:rsidRDefault="005B744B" w:rsidP="00C02B5C">
            <w:pPr>
              <w:pStyle w:val="TableText"/>
              <w:widowControl w:val="0"/>
              <w:rPr>
                <w:rFonts w:cs="Tahoma"/>
                <w:sz w:val="13"/>
                <w:szCs w:val="13"/>
              </w:rPr>
            </w:pPr>
            <w:hyperlink w:anchor="_116_Windows_Small_1" w:history="1">
              <w:r w:rsidR="00316801" w:rsidRPr="00C02B5C">
                <w:rPr>
                  <w:rStyle w:val="Hyperlink"/>
                  <w:rFonts w:cs="Tahoma"/>
                  <w:b/>
                  <w:sz w:val="13"/>
                  <w:szCs w:val="13"/>
                </w:rPr>
                <w:t>116</w:t>
              </w:r>
            </w:hyperlink>
          </w:p>
        </w:tc>
        <w:tc>
          <w:tcPr>
            <w:tcW w:w="450" w:type="dxa"/>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195E" w:rsidRPr="004D10F1" w:rsidRDefault="0091195E" w:rsidP="000C5B5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4D10F1" w:rsidRDefault="0091195E" w:rsidP="000C5B59">
            <w:pPr>
              <w:pStyle w:val="TableText"/>
              <w:widowControl w:val="0"/>
              <w:rPr>
                <w:rFonts w:ascii="Tahoma" w:hAnsi="Tahoma" w:cs="Tahoma"/>
                <w:sz w:val="13"/>
              </w:rPr>
            </w:pPr>
          </w:p>
        </w:tc>
      </w:tr>
      <w:tr w:rsidR="00A5643F" w:rsidRPr="004D10F1" w:rsidTr="000C5B59">
        <w:trPr>
          <w:gridBefore w:val="1"/>
          <w:wBefore w:w="20" w:type="dxa"/>
          <w:trHeight w:val="145"/>
        </w:trPr>
        <w:tc>
          <w:tcPr>
            <w:tcW w:w="2714" w:type="dxa"/>
            <w:tcBorders>
              <w:bottom w:val="single" w:sz="4" w:space="0" w:color="auto"/>
            </w:tcBorders>
            <w:shd w:val="clear" w:color="auto" w:fill="auto"/>
            <w:vAlign w:val="center"/>
          </w:tcPr>
          <w:p w:rsidR="00A5643F" w:rsidRPr="00C02B5C" w:rsidRDefault="00A5643F" w:rsidP="00C02B5C">
            <w:pPr>
              <w:pStyle w:val="Heading2"/>
              <w:spacing w:beforeLines="20" w:before="48" w:afterLines="20" w:after="48"/>
              <w:ind w:left="0"/>
              <w:rPr>
                <w:rFonts w:ascii="Tahoma" w:hAnsi="Tahoma" w:cs="Tahoma"/>
                <w:b w:val="0"/>
                <w:sz w:val="14"/>
                <w:szCs w:val="14"/>
              </w:rPr>
            </w:pPr>
            <w:bookmarkStart w:id="564" w:name="_Toc336338162"/>
            <w:bookmarkStart w:id="565" w:name="_Toc363998900"/>
            <w:r w:rsidRPr="00C02B5C">
              <w:rPr>
                <w:rFonts w:ascii="Tahoma" w:hAnsi="Tahoma" w:cs="Tahoma"/>
                <w:b w:val="0"/>
                <w:sz w:val="14"/>
                <w:szCs w:val="14"/>
              </w:rPr>
              <w:t>Add-On CAL Suite für Windows Small Business Server 2011 Premium</w:t>
            </w:r>
            <w:bookmarkEnd w:id="564"/>
            <w:bookmarkEnd w:id="565"/>
            <w:r w:rsidRPr="00C02B5C">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C02B5C" w:rsidRDefault="005B744B" w:rsidP="00C02B5C">
            <w:pPr>
              <w:pStyle w:val="TableText"/>
              <w:widowControl w:val="0"/>
              <w:rPr>
                <w:rFonts w:cs="Tahoma"/>
                <w:b/>
                <w:sz w:val="13"/>
                <w:szCs w:val="13"/>
                <w:u w:val="single"/>
              </w:rPr>
            </w:pPr>
            <w:hyperlink w:anchor="_124_Windows_Small" w:history="1">
              <w:r w:rsidR="00316801" w:rsidRPr="00C02B5C">
                <w:rPr>
                  <w:rStyle w:val="Hyperlink"/>
                  <w:rFonts w:cs="Tahoma"/>
                  <w:b/>
                  <w:sz w:val="13"/>
                  <w:szCs w:val="13"/>
                </w:rPr>
                <w:t>117</w:t>
              </w:r>
            </w:hyperlink>
          </w:p>
        </w:tc>
        <w:tc>
          <w:tcPr>
            <w:tcW w:w="45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E, P</w:t>
            </w:r>
          </w:p>
        </w:tc>
        <w:tc>
          <w:tcPr>
            <w:tcW w:w="54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A, ST</w:t>
            </w:r>
          </w:p>
        </w:tc>
        <w:tc>
          <w:tcPr>
            <w:tcW w:w="54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r>
      <w:tr w:rsidR="00A5643F" w:rsidRPr="004D10F1" w:rsidTr="000C5B59">
        <w:trPr>
          <w:gridBefore w:val="1"/>
          <w:wBefore w:w="20" w:type="dxa"/>
          <w:trHeight w:val="145"/>
        </w:trPr>
        <w:tc>
          <w:tcPr>
            <w:tcW w:w="2714" w:type="dxa"/>
            <w:tcBorders>
              <w:bottom w:val="single" w:sz="4" w:space="0" w:color="auto"/>
            </w:tcBorders>
            <w:shd w:val="clear" w:color="auto" w:fill="FABF8F"/>
            <w:vAlign w:val="center"/>
          </w:tcPr>
          <w:p w:rsidR="00A5643F" w:rsidRPr="00C02B5C" w:rsidRDefault="00A5643F" w:rsidP="00C02B5C">
            <w:pPr>
              <w:pStyle w:val="Heading2"/>
              <w:spacing w:beforeLines="20" w:before="48" w:afterLines="20" w:after="48"/>
              <w:ind w:left="0"/>
              <w:rPr>
                <w:rFonts w:ascii="Tahoma" w:hAnsi="Tahoma" w:cs="Tahoma"/>
                <w:b w:val="0"/>
                <w:sz w:val="14"/>
                <w:szCs w:val="14"/>
              </w:rPr>
            </w:pPr>
            <w:bookmarkStart w:id="566" w:name="_Toc336338163"/>
            <w:bookmarkStart w:id="567" w:name="_Toc363998901"/>
            <w:r w:rsidRPr="00C02B5C">
              <w:rPr>
                <w:rFonts w:ascii="Tahoma" w:hAnsi="Tahoma" w:cs="Tahoma"/>
                <w:b w:val="0"/>
                <w:sz w:val="14"/>
                <w:szCs w:val="14"/>
              </w:rPr>
              <w:t>Add-On CAL Suite für Windows Small Business Server 2011 Premium (5 Clients)</w:t>
            </w:r>
            <w:bookmarkEnd w:id="566"/>
            <w:bookmarkEnd w:id="567"/>
          </w:p>
        </w:tc>
        <w:tc>
          <w:tcPr>
            <w:tcW w:w="450" w:type="dxa"/>
            <w:tcBorders>
              <w:bottom w:val="single" w:sz="4" w:space="0" w:color="auto"/>
            </w:tcBorders>
            <w:shd w:val="clear" w:color="auto" w:fill="FABF8F"/>
            <w:vAlign w:val="center"/>
          </w:tcPr>
          <w:p w:rsidR="00A5643F" w:rsidRPr="00C02B5C" w:rsidRDefault="005B744B" w:rsidP="00C02B5C">
            <w:pPr>
              <w:pStyle w:val="TableText"/>
              <w:widowControl w:val="0"/>
              <w:rPr>
                <w:rFonts w:cs="Tahoma"/>
                <w:b/>
                <w:sz w:val="13"/>
                <w:szCs w:val="13"/>
                <w:u w:val="single"/>
              </w:rPr>
            </w:pPr>
            <w:hyperlink w:anchor="_124_Windows_Small" w:history="1">
              <w:r w:rsidR="00316801" w:rsidRPr="00C02B5C">
                <w:rPr>
                  <w:rStyle w:val="Hyperlink"/>
                  <w:rFonts w:cs="Tahoma"/>
                  <w:b/>
                  <w:sz w:val="13"/>
                  <w:szCs w:val="13"/>
                </w:rPr>
                <w:t>117</w:t>
              </w:r>
            </w:hyperlink>
          </w:p>
        </w:tc>
        <w:tc>
          <w:tcPr>
            <w:tcW w:w="450" w:type="dxa"/>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5</w:t>
            </w:r>
          </w:p>
        </w:tc>
        <w:tc>
          <w:tcPr>
            <w:tcW w:w="450" w:type="dxa"/>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OL/OV</w:t>
            </w:r>
          </w:p>
        </w:tc>
      </w:tr>
      <w:tr w:rsidR="00A5643F" w:rsidRPr="004D10F1" w:rsidTr="000C5B59">
        <w:trPr>
          <w:gridBefore w:val="1"/>
          <w:wBefore w:w="20" w:type="dxa"/>
          <w:trHeight w:val="440"/>
        </w:trPr>
        <w:tc>
          <w:tcPr>
            <w:tcW w:w="2714" w:type="dxa"/>
            <w:tcBorders>
              <w:bottom w:val="single" w:sz="4" w:space="0" w:color="auto"/>
            </w:tcBorders>
            <w:shd w:val="clear" w:color="auto" w:fill="auto"/>
            <w:vAlign w:val="center"/>
          </w:tcPr>
          <w:p w:rsidR="00A5643F" w:rsidRPr="00C02B5C" w:rsidRDefault="00A5643F" w:rsidP="00C02B5C">
            <w:pPr>
              <w:pStyle w:val="Heading2"/>
              <w:spacing w:beforeLines="20" w:before="48" w:afterLines="20" w:after="48"/>
              <w:ind w:left="0"/>
              <w:rPr>
                <w:rFonts w:ascii="Tahoma" w:hAnsi="Tahoma" w:cs="Tahoma"/>
                <w:b w:val="0"/>
                <w:sz w:val="14"/>
                <w:szCs w:val="14"/>
              </w:rPr>
            </w:pPr>
            <w:bookmarkStart w:id="568" w:name="_Toc336338164"/>
            <w:bookmarkStart w:id="569" w:name="_Toc363998902"/>
            <w:r w:rsidRPr="00C02B5C">
              <w:rPr>
                <w:rFonts w:ascii="Tahoma" w:hAnsi="Tahoma" w:cs="Tahoma"/>
                <w:b w:val="0"/>
                <w:sz w:val="14"/>
                <w:szCs w:val="14"/>
              </w:rPr>
              <w:t>Add-On CAL Suite für Windows Small Business Server 2011 Premium (20Clients)</w:t>
            </w:r>
            <w:bookmarkEnd w:id="568"/>
            <w:bookmarkEnd w:id="569"/>
          </w:p>
        </w:tc>
        <w:tc>
          <w:tcPr>
            <w:tcW w:w="450" w:type="dxa"/>
            <w:tcBorders>
              <w:bottom w:val="single" w:sz="4" w:space="0" w:color="auto"/>
            </w:tcBorders>
            <w:shd w:val="clear" w:color="auto" w:fill="auto"/>
            <w:vAlign w:val="center"/>
          </w:tcPr>
          <w:p w:rsidR="00A5643F" w:rsidRPr="00C02B5C" w:rsidRDefault="005B744B" w:rsidP="00C02B5C">
            <w:pPr>
              <w:pStyle w:val="TableText"/>
              <w:widowControl w:val="0"/>
              <w:rPr>
                <w:rFonts w:cs="Tahoma"/>
                <w:b/>
                <w:sz w:val="13"/>
                <w:szCs w:val="13"/>
                <w:u w:val="single"/>
              </w:rPr>
            </w:pPr>
            <w:hyperlink w:anchor="_124_Windows_Small" w:history="1">
              <w:r w:rsidR="00316801" w:rsidRPr="00C02B5C">
                <w:rPr>
                  <w:rStyle w:val="Hyperlink"/>
                  <w:rFonts w:cs="Tahoma"/>
                  <w:b/>
                  <w:sz w:val="13"/>
                  <w:szCs w:val="13"/>
                </w:rPr>
                <w:t>117</w:t>
              </w:r>
            </w:hyperlink>
          </w:p>
        </w:tc>
        <w:tc>
          <w:tcPr>
            <w:tcW w:w="45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color w:val="000000"/>
                <w:sz w:val="13"/>
              </w:rPr>
              <w:t>OL/OV</w:t>
            </w:r>
          </w:p>
        </w:tc>
      </w:tr>
      <w:tr w:rsidR="00A5643F" w:rsidRPr="004D10F1" w:rsidTr="000C5B59">
        <w:trPr>
          <w:gridBefore w:val="1"/>
          <w:wBefore w:w="20" w:type="dxa"/>
          <w:trHeight w:val="233"/>
        </w:trPr>
        <w:tc>
          <w:tcPr>
            <w:tcW w:w="2714" w:type="dxa"/>
            <w:tcBorders>
              <w:bottom w:val="single" w:sz="4" w:space="0" w:color="auto"/>
            </w:tcBorders>
            <w:shd w:val="clear" w:color="auto" w:fill="FABF8F"/>
            <w:vAlign w:val="center"/>
          </w:tcPr>
          <w:p w:rsidR="00A5643F" w:rsidRPr="00C02B5C" w:rsidRDefault="00A5643F" w:rsidP="00C02B5C">
            <w:pPr>
              <w:pStyle w:val="Heading2"/>
              <w:spacing w:beforeLines="20" w:before="48" w:afterLines="20" w:after="48"/>
              <w:ind w:left="0"/>
              <w:rPr>
                <w:rFonts w:ascii="Tahoma" w:hAnsi="Tahoma" w:cs="Tahoma"/>
                <w:b w:val="0"/>
                <w:sz w:val="14"/>
                <w:szCs w:val="14"/>
              </w:rPr>
            </w:pPr>
            <w:bookmarkStart w:id="570" w:name="_Toc336338165"/>
            <w:bookmarkStart w:id="571" w:name="_Toc363998903"/>
            <w:r w:rsidRPr="00C02B5C">
              <w:rPr>
                <w:rFonts w:ascii="Tahoma" w:hAnsi="Tahoma" w:cs="Tahoma"/>
                <w:b w:val="0"/>
                <w:sz w:val="14"/>
                <w:szCs w:val="14"/>
              </w:rPr>
              <w:t>Windows Server Essentials 2012</w:t>
            </w:r>
            <w:bookmarkEnd w:id="570"/>
            <w:bookmarkEnd w:id="571"/>
          </w:p>
        </w:tc>
        <w:tc>
          <w:tcPr>
            <w:tcW w:w="450" w:type="dxa"/>
            <w:tcBorders>
              <w:bottom w:val="single" w:sz="4" w:space="0" w:color="auto"/>
            </w:tcBorders>
            <w:shd w:val="clear" w:color="auto" w:fill="FABF8F"/>
            <w:vAlign w:val="center"/>
          </w:tcPr>
          <w:p w:rsidR="00A5643F" w:rsidRPr="00C02B5C" w:rsidRDefault="00A5643F" w:rsidP="00C02B5C">
            <w:pPr>
              <w:pStyle w:val="TableText"/>
              <w:widowControl w:val="0"/>
              <w:rPr>
                <w:rFonts w:cs="Tahoma"/>
                <w:b/>
                <w:sz w:val="13"/>
                <w:szCs w:val="13"/>
                <w:u w:val="single"/>
              </w:rPr>
            </w:pPr>
          </w:p>
        </w:tc>
        <w:tc>
          <w:tcPr>
            <w:tcW w:w="450" w:type="dxa"/>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5</w:t>
            </w:r>
          </w:p>
        </w:tc>
        <w:tc>
          <w:tcPr>
            <w:tcW w:w="450" w:type="dxa"/>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P</w:t>
            </w:r>
          </w:p>
        </w:tc>
        <w:tc>
          <w:tcPr>
            <w:tcW w:w="540" w:type="dxa"/>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FABF8F"/>
            <w:vAlign w:val="center"/>
          </w:tcPr>
          <w:p w:rsidR="00A5643F" w:rsidRPr="004D10F1" w:rsidRDefault="00A5643F" w:rsidP="000C5B59">
            <w:pPr>
              <w:pStyle w:val="TableText"/>
              <w:widowControl w:val="0"/>
              <w:rPr>
                <w:rFonts w:ascii="Tahoma" w:hAnsi="Tahoma" w:cs="Tahoma"/>
                <w:color w:val="000000"/>
                <w:sz w:val="13"/>
              </w:rPr>
            </w:pPr>
          </w:p>
        </w:tc>
      </w:tr>
      <w:tr w:rsidR="00A5643F" w:rsidRPr="004D10F1" w:rsidTr="000C5B59">
        <w:trPr>
          <w:gridBefore w:val="1"/>
          <w:wBefore w:w="20" w:type="dxa"/>
          <w:trHeight w:val="145"/>
        </w:trPr>
        <w:tc>
          <w:tcPr>
            <w:tcW w:w="2714" w:type="dxa"/>
            <w:shd w:val="clear" w:color="auto" w:fill="auto"/>
            <w:vAlign w:val="center"/>
          </w:tcPr>
          <w:p w:rsidR="00A5643F" w:rsidRPr="00C02B5C" w:rsidRDefault="00A5643F" w:rsidP="00C02B5C">
            <w:pPr>
              <w:pStyle w:val="Heading2"/>
              <w:spacing w:beforeLines="20" w:before="48" w:afterLines="20" w:after="48"/>
              <w:ind w:left="0"/>
              <w:rPr>
                <w:rFonts w:ascii="Tahoma" w:hAnsi="Tahoma" w:cs="Tahoma"/>
                <w:b w:val="0"/>
                <w:sz w:val="14"/>
                <w:szCs w:val="14"/>
              </w:rPr>
            </w:pPr>
            <w:bookmarkStart w:id="572" w:name="_Toc336338166"/>
            <w:bookmarkStart w:id="573" w:name="_Toc363998904"/>
            <w:r w:rsidRPr="00C02B5C">
              <w:rPr>
                <w:rFonts w:ascii="Tahoma" w:hAnsi="Tahoma" w:cs="Tahoma"/>
                <w:b w:val="0"/>
                <w:sz w:val="14"/>
                <w:szCs w:val="14"/>
              </w:rPr>
              <w:t>Windows Small Business Server 2011 Essentials</w:t>
            </w:r>
            <w:bookmarkEnd w:id="572"/>
            <w:bookmarkEnd w:id="573"/>
          </w:p>
        </w:tc>
        <w:tc>
          <w:tcPr>
            <w:tcW w:w="450" w:type="dxa"/>
            <w:shd w:val="clear" w:color="auto" w:fill="auto"/>
            <w:vAlign w:val="center"/>
          </w:tcPr>
          <w:p w:rsidR="00A5643F" w:rsidRPr="00C02B5C" w:rsidRDefault="005B744B" w:rsidP="00C02B5C">
            <w:pPr>
              <w:pStyle w:val="TableText"/>
              <w:widowControl w:val="0"/>
              <w:rPr>
                <w:rFonts w:cs="Tahoma"/>
                <w:b/>
                <w:sz w:val="13"/>
                <w:szCs w:val="13"/>
                <w:u w:val="single"/>
              </w:rPr>
            </w:pPr>
            <w:hyperlink w:anchor="_124_Windows_Small_1" w:history="1">
              <w:r w:rsidR="00316801" w:rsidRPr="00C02B5C">
                <w:rPr>
                  <w:rStyle w:val="Hyperlink"/>
                  <w:rFonts w:cs="Tahoma"/>
                  <w:b/>
                  <w:sz w:val="13"/>
                  <w:szCs w:val="13"/>
                </w:rPr>
                <w:t>118</w:t>
              </w:r>
            </w:hyperlink>
          </w:p>
        </w:tc>
        <w:tc>
          <w:tcPr>
            <w:tcW w:w="450" w:type="dxa"/>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05/11</w:t>
            </w:r>
          </w:p>
        </w:tc>
        <w:tc>
          <w:tcPr>
            <w:tcW w:w="360" w:type="dxa"/>
            <w:tcBorders>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tcBorders>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450" w:type="dxa"/>
            <w:gridSpan w:val="2"/>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450" w:type="dxa"/>
            <w:gridSpan w:val="2"/>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450" w:type="dxa"/>
            <w:gridSpan w:val="3"/>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450" w:type="dxa"/>
            <w:gridSpan w:val="2"/>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450" w:type="dxa"/>
            <w:gridSpan w:val="2"/>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450" w:type="dxa"/>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540" w:type="dxa"/>
            <w:shd w:val="clear" w:color="auto" w:fill="auto"/>
            <w:vAlign w:val="center"/>
          </w:tcPr>
          <w:p w:rsidR="00A5643F" w:rsidRPr="004D10F1" w:rsidRDefault="00A5643F" w:rsidP="000C5B59">
            <w:pPr>
              <w:pStyle w:val="TableText"/>
              <w:widowControl w:val="0"/>
              <w:rPr>
                <w:rFonts w:ascii="Tahoma" w:hAnsi="Tahoma" w:cs="Tahoma"/>
                <w:sz w:val="13"/>
              </w:rPr>
            </w:pPr>
          </w:p>
        </w:tc>
        <w:tc>
          <w:tcPr>
            <w:tcW w:w="540" w:type="dxa"/>
            <w:shd w:val="clear" w:color="auto" w:fill="auto"/>
            <w:vAlign w:val="center"/>
          </w:tcPr>
          <w:p w:rsidR="00A5643F" w:rsidRPr="004D10F1" w:rsidRDefault="00A5643F" w:rsidP="000C5B59">
            <w:pPr>
              <w:pStyle w:val="TableText"/>
              <w:widowControl w:val="0"/>
              <w:rPr>
                <w:rFonts w:ascii="Tahoma" w:hAnsi="Tahoma" w:cs="Tahoma"/>
                <w:color w:val="000000"/>
                <w:sz w:val="13"/>
              </w:rPr>
            </w:pPr>
          </w:p>
        </w:tc>
      </w:tr>
      <w:tr w:rsidR="00CE1716" w:rsidRPr="004D10F1" w:rsidTr="000C5B59">
        <w:trPr>
          <w:gridBefore w:val="1"/>
          <w:wBefore w:w="20" w:type="dxa"/>
          <w:trHeight w:val="278"/>
        </w:trPr>
        <w:tc>
          <w:tcPr>
            <w:tcW w:w="2714" w:type="dxa"/>
            <w:tcBorders>
              <w:bottom w:val="single" w:sz="4" w:space="0" w:color="auto"/>
            </w:tcBorders>
            <w:shd w:val="clear" w:color="auto" w:fill="FABF8F"/>
            <w:vAlign w:val="center"/>
          </w:tcPr>
          <w:p w:rsidR="00CE1716" w:rsidRPr="00C02B5C" w:rsidRDefault="00CE1716" w:rsidP="00C02B5C">
            <w:pPr>
              <w:pStyle w:val="Heading2"/>
              <w:keepNext/>
              <w:spacing w:beforeLines="20" w:before="48" w:afterLines="20" w:after="48"/>
              <w:ind w:left="0"/>
              <w:rPr>
                <w:rFonts w:ascii="Tahoma" w:hAnsi="Tahoma" w:cs="Tahoma"/>
                <w:b w:val="0"/>
                <w:sz w:val="14"/>
                <w:szCs w:val="14"/>
              </w:rPr>
            </w:pPr>
            <w:bookmarkStart w:id="574" w:name="_Toc363998905"/>
            <w:r w:rsidRPr="00C02B5C">
              <w:rPr>
                <w:rFonts w:ascii="Tahoma" w:hAnsi="Tahoma" w:cs="Tahoma"/>
                <w:b w:val="0"/>
                <w:sz w:val="14"/>
                <w:szCs w:val="14"/>
              </w:rPr>
              <w:t>Windows Web Server 2008 R2</w:t>
            </w:r>
            <w:bookmarkEnd w:id="574"/>
          </w:p>
        </w:tc>
        <w:tc>
          <w:tcPr>
            <w:tcW w:w="450" w:type="dxa"/>
            <w:tcBorders>
              <w:bottom w:val="single" w:sz="4" w:space="0" w:color="auto"/>
            </w:tcBorders>
            <w:shd w:val="clear" w:color="auto" w:fill="FABF8F"/>
            <w:vAlign w:val="center"/>
          </w:tcPr>
          <w:p w:rsidR="00CE1716" w:rsidRPr="00C02B5C" w:rsidRDefault="005B744B" w:rsidP="00C02B5C">
            <w:pPr>
              <w:pStyle w:val="TableText"/>
              <w:keepNext/>
              <w:widowControl w:val="0"/>
              <w:rPr>
                <w:rStyle w:val="EndnoteReference"/>
                <w:rFonts w:cs="Tahoma"/>
                <w:b w:val="0"/>
                <w:sz w:val="13"/>
                <w:szCs w:val="13"/>
                <w:u w:val="single"/>
              </w:rPr>
            </w:pPr>
            <w:hyperlink w:anchor="_119_Windows_Web_1" w:history="1">
              <w:hyperlink w:anchor="_114_Windows_Small" w:history="1">
                <w:r w:rsidR="00316801" w:rsidRPr="005E70E4">
                  <w:rPr>
                    <w:rStyle w:val="Hyperlink"/>
                    <w:rFonts w:cs="Tahoma"/>
                    <w:b/>
                    <w:sz w:val="13"/>
                    <w:szCs w:val="13"/>
                  </w:rPr>
                  <w:t>11</w:t>
                </w:r>
              </w:hyperlink>
              <w:r w:rsidR="00316801" w:rsidRPr="005E70E4">
                <w:rPr>
                  <w:rStyle w:val="Hyperlink"/>
                  <w:rFonts w:cs="Tahoma"/>
                  <w:b/>
                  <w:sz w:val="13"/>
                  <w:szCs w:val="13"/>
                </w:rPr>
                <w:t>9</w:t>
              </w:r>
            </w:hyperlink>
          </w:p>
        </w:tc>
        <w:tc>
          <w:tcPr>
            <w:tcW w:w="450" w:type="dxa"/>
            <w:tcBorders>
              <w:bottom w:val="single" w:sz="4" w:space="0" w:color="auto"/>
            </w:tcBorders>
            <w:shd w:val="clear" w:color="auto" w:fill="FABF8F"/>
            <w:vAlign w:val="center"/>
          </w:tcPr>
          <w:p w:rsidR="00CE1716" w:rsidRPr="004D10F1" w:rsidRDefault="00CE1716" w:rsidP="000C5B59">
            <w:pPr>
              <w:pStyle w:val="TableText"/>
              <w:keepNext/>
              <w:widowControl w:val="0"/>
              <w:rPr>
                <w:rFonts w:ascii="Tahoma" w:hAnsi="Tahoma" w:cs="Tahoma"/>
                <w:color w:val="000000"/>
                <w:sz w:val="13"/>
              </w:rPr>
            </w:pPr>
            <w:r w:rsidRPr="004D10F1">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4D10F1" w:rsidRDefault="00CE1716" w:rsidP="000C5B59">
            <w:pPr>
              <w:pStyle w:val="TableText"/>
              <w:keepNext/>
              <w:widowControl w:val="0"/>
              <w:rPr>
                <w:rFonts w:ascii="Tahoma" w:hAnsi="Tahoma" w:cs="Tahoma"/>
                <w:color w:val="000000"/>
                <w:sz w:val="13"/>
              </w:rPr>
            </w:pPr>
            <w:r w:rsidRPr="004D10F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4D10F1" w:rsidRDefault="00CE1716" w:rsidP="000C5B5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4D10F1" w:rsidRDefault="00CE1716" w:rsidP="000C5B5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4D10F1" w:rsidRDefault="00CE1716" w:rsidP="000C5B5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CE1716" w:rsidRPr="004D10F1" w:rsidRDefault="00CE1716" w:rsidP="000C5B5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4D10F1" w:rsidRDefault="00CE1716" w:rsidP="000C5B5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4D10F1" w:rsidRDefault="00CE1716" w:rsidP="000C5B5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4D10F1" w:rsidRDefault="00CE1716" w:rsidP="000C5B5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4D10F1" w:rsidRDefault="00CE1716" w:rsidP="000C5B5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4D10F1" w:rsidRDefault="00CE1716" w:rsidP="000C5B5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4D10F1" w:rsidRDefault="00CE1716" w:rsidP="000C5B5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4D10F1" w:rsidRDefault="00CE1716" w:rsidP="000C5B5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4D10F1" w:rsidRDefault="00CE1716" w:rsidP="000C5B59">
            <w:pPr>
              <w:pStyle w:val="TableText"/>
              <w:keepN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E1716" w:rsidRPr="004D10F1" w:rsidRDefault="00CE1716" w:rsidP="000C5B59">
            <w:pPr>
              <w:pStyle w:val="TableText"/>
              <w:keepNext/>
              <w:widowControl w:val="0"/>
              <w:rPr>
                <w:rFonts w:ascii="Tahoma" w:hAnsi="Tahoma" w:cs="Tahoma"/>
                <w:sz w:val="13"/>
              </w:rPr>
            </w:pPr>
          </w:p>
        </w:tc>
        <w:tc>
          <w:tcPr>
            <w:tcW w:w="540" w:type="dxa"/>
            <w:tcBorders>
              <w:bottom w:val="single" w:sz="4" w:space="0" w:color="auto"/>
            </w:tcBorders>
            <w:shd w:val="clear" w:color="auto" w:fill="FABF8F"/>
            <w:vAlign w:val="center"/>
          </w:tcPr>
          <w:p w:rsidR="00CE1716" w:rsidRPr="004D10F1" w:rsidRDefault="00CE1716" w:rsidP="000C5B5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4D10F1" w:rsidRDefault="00CE1716" w:rsidP="000C5B59">
            <w:pPr>
              <w:pStyle w:val="TableText"/>
              <w:keepNext/>
              <w:widowControl w:val="0"/>
              <w:rPr>
                <w:rFonts w:ascii="Tahoma" w:hAnsi="Tahoma" w:cs="Tahoma"/>
                <w:color w:val="000000"/>
                <w:sz w:val="13"/>
              </w:rPr>
            </w:pPr>
          </w:p>
        </w:tc>
      </w:tr>
      <w:tr w:rsidR="00A5643F" w:rsidRPr="004D10F1" w:rsidTr="000C5B59">
        <w:trPr>
          <w:gridBefore w:val="1"/>
          <w:wBefore w:w="20" w:type="dxa"/>
          <w:trHeight w:val="145"/>
        </w:trPr>
        <w:tc>
          <w:tcPr>
            <w:tcW w:w="2714" w:type="dxa"/>
            <w:tcBorders>
              <w:bottom w:val="single" w:sz="4" w:space="0" w:color="auto"/>
            </w:tcBorders>
            <w:shd w:val="clear" w:color="auto" w:fill="auto"/>
            <w:vAlign w:val="center"/>
          </w:tcPr>
          <w:p w:rsidR="00A5643F" w:rsidRPr="00C02B5C" w:rsidRDefault="00A5643F" w:rsidP="00C02B5C">
            <w:pPr>
              <w:pStyle w:val="Heading2"/>
              <w:spacing w:beforeLines="20" w:before="48" w:afterLines="20" w:after="48"/>
              <w:ind w:left="0"/>
              <w:rPr>
                <w:rFonts w:ascii="Tahoma" w:hAnsi="Tahoma" w:cs="Tahoma"/>
                <w:b w:val="0"/>
                <w:sz w:val="14"/>
                <w:szCs w:val="14"/>
              </w:rPr>
            </w:pPr>
            <w:bookmarkStart w:id="575" w:name="_Toc363998906"/>
            <w:r w:rsidRPr="00C02B5C">
              <w:rPr>
                <w:rFonts w:ascii="Tahoma" w:hAnsi="Tahoma" w:cs="Tahoma"/>
                <w:b w:val="0"/>
                <w:sz w:val="14"/>
                <w:szCs w:val="14"/>
              </w:rPr>
              <w:t>Yammer Enterprise</w:t>
            </w:r>
            <w:bookmarkEnd w:id="575"/>
          </w:p>
        </w:tc>
        <w:tc>
          <w:tcPr>
            <w:tcW w:w="450" w:type="dxa"/>
            <w:tcBorders>
              <w:bottom w:val="single" w:sz="4" w:space="0" w:color="auto"/>
            </w:tcBorders>
            <w:shd w:val="clear" w:color="auto" w:fill="auto"/>
            <w:vAlign w:val="center"/>
          </w:tcPr>
          <w:p w:rsidR="00A5643F" w:rsidRPr="00C02B5C" w:rsidRDefault="00A5643F" w:rsidP="00C02B5C">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sz w:val="13"/>
              </w:rPr>
            </w:pPr>
            <w:r w:rsidRPr="004D10F1">
              <w:rPr>
                <w:rFonts w:ascii="Tahoma" w:hAnsi="Tahoma" w:cs="Tahoma"/>
                <w:sz w:val="13"/>
              </w:rPr>
              <w:t>A</w:t>
            </w:r>
          </w:p>
        </w:tc>
        <w:tc>
          <w:tcPr>
            <w:tcW w:w="540" w:type="dxa"/>
            <w:tcBorders>
              <w:bottom w:val="single" w:sz="4" w:space="0" w:color="auto"/>
            </w:tcBorders>
            <w:shd w:val="clear" w:color="auto" w:fill="auto"/>
            <w:vAlign w:val="center"/>
          </w:tcPr>
          <w:p w:rsidR="00A5643F" w:rsidRPr="004D10F1" w:rsidRDefault="00A5643F" w:rsidP="000C5B59">
            <w:pPr>
              <w:pStyle w:val="TableText"/>
              <w:widowControl w:val="0"/>
              <w:rPr>
                <w:rFonts w:ascii="Tahoma" w:hAnsi="Tahoma" w:cs="Tahoma"/>
                <w:color w:val="000000"/>
                <w:sz w:val="13"/>
              </w:rPr>
            </w:pPr>
          </w:p>
        </w:tc>
      </w:tr>
    </w:tbl>
    <w:p w:rsidR="00612FCC" w:rsidRPr="004D10F1" w:rsidRDefault="00AB4ADA" w:rsidP="00652B91">
      <w:pPr>
        <w:rPr>
          <w:rFonts w:cs="Tahoma"/>
        </w:rPr>
      </w:pPr>
      <w:bookmarkStart w:id="576" w:name="_Toc349586123"/>
      <w:bookmarkStart w:id="577" w:name="_Toc349586654"/>
      <w:bookmarkStart w:id="578" w:name="_Toc354459730"/>
      <w:bookmarkStart w:id="579" w:name="_Toc336338167"/>
      <w:r>
        <w:rPr>
          <w:rFonts w:cs="Tahoma"/>
          <w:noProof/>
          <w:sz w:val="14"/>
        </w:rPr>
        <mc:AlternateContent>
          <mc:Choice Requires="wps">
            <w:drawing>
              <wp:anchor distT="0" distB="0" distL="114300" distR="114300" simplePos="0" relativeHeight="251656704" behindDoc="0" locked="0" layoutInCell="1" allowOverlap="1">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69D6" w:rsidRPr="00C02B5C" w:rsidRDefault="00E869D6" w:rsidP="00C8780F">
                            <w:pPr>
                              <w:rPr>
                                <w:rFonts w:cs="Tahoma"/>
                                <w:i/>
                                <w:color w:val="000000"/>
                                <w:sz w:val="14"/>
                                <w:szCs w:val="14"/>
                                <w:lang w:val="de-DE"/>
                              </w:rPr>
                            </w:pPr>
                            <w:r w:rsidRPr="00C02B5C">
                              <w:rPr>
                                <w:rFonts w:cs="Tahoma"/>
                                <w:i/>
                                <w:color w:val="000000"/>
                                <w:sz w:val="14"/>
                                <w:szCs w:val="14"/>
                                <w:lang w:val="de-DE"/>
                              </w:rPr>
                              <w:t>Anmerkung: Wenn die Zelle für das Produkt leer ist, wird das Produkt derzeit nicht im Rahmen des Programms angeboten</w:t>
                            </w:r>
                            <w:r>
                              <w:rPr>
                                <w:rFonts w:cs="Tahoma"/>
                                <w:i/>
                                <w:color w:val="000000"/>
                                <w:sz w:val="14"/>
                                <w:szCs w:val="14"/>
                                <w:lang w:val="de-DE"/>
                              </w:rPr>
                              <w:t xml:space="preserve">. </w:t>
                            </w:r>
                          </w:p>
                          <w:p w:rsidR="00E869D6" w:rsidRPr="00C02B5C" w:rsidRDefault="00E869D6" w:rsidP="00FC5B2F">
                            <w:pPr>
                              <w:ind w:left="-45"/>
                              <w:rPr>
                                <w:rFonts w:cs="Tahoma"/>
                                <w:i/>
                                <w:color w:val="000000"/>
                                <w:sz w:val="14"/>
                                <w:szCs w:val="14"/>
                                <w:lang w:val="de-DE"/>
                              </w:rPr>
                            </w:pPr>
                            <w:r w:rsidRPr="00C02B5C">
                              <w:rPr>
                                <w:rFonts w:cs="Tahoma"/>
                                <w:i/>
                                <w:color w:val="000000"/>
                                <w:sz w:val="14"/>
                                <w:szCs w:val="14"/>
                                <w:lang w:val="de-DE"/>
                              </w:rPr>
                              <w:t>*Bei Select Plus werden nur die Werte „L“ und die Dreijahreswerte für „L&amp;SA“/„SA“ verwendet</w:t>
                            </w:r>
                            <w:r>
                              <w:rPr>
                                <w:rFonts w:cs="Tahoma"/>
                                <w:i/>
                                <w:color w:val="000000"/>
                                <w:sz w:val="14"/>
                                <w:szCs w:val="14"/>
                                <w:lang w:val="de-DE"/>
                              </w:rPr>
                              <w:t xml:space="preserve">. </w:t>
                            </w:r>
                          </w:p>
                          <w:p w:rsidR="00E869D6" w:rsidRPr="00C02B5C" w:rsidRDefault="00E869D6" w:rsidP="00C8780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E869D6" w:rsidRPr="00C02B5C" w:rsidRDefault="00E869D6" w:rsidP="00C8780F">
                      <w:pPr>
                        <w:rPr>
                          <w:rFonts w:cs="Tahoma"/>
                          <w:i/>
                          <w:color w:val="000000"/>
                          <w:sz w:val="14"/>
                          <w:szCs w:val="14"/>
                          <w:lang w:val="de-DE"/>
                        </w:rPr>
                      </w:pPr>
                      <w:r w:rsidRPr="00C02B5C">
                        <w:rPr>
                          <w:rFonts w:cs="Tahoma"/>
                          <w:i/>
                          <w:color w:val="000000"/>
                          <w:sz w:val="14"/>
                          <w:szCs w:val="14"/>
                          <w:lang w:val="de-DE"/>
                        </w:rPr>
                        <w:t>Anmerkung: Wenn die Zelle für das Produkt leer ist, wird das Produkt derzeit nicht im Rahmen des Programms angeboten</w:t>
                      </w:r>
                      <w:r>
                        <w:rPr>
                          <w:rFonts w:cs="Tahoma"/>
                          <w:i/>
                          <w:color w:val="000000"/>
                          <w:sz w:val="14"/>
                          <w:szCs w:val="14"/>
                          <w:lang w:val="de-DE"/>
                        </w:rPr>
                        <w:t xml:space="preserve">. </w:t>
                      </w:r>
                    </w:p>
                    <w:p w:rsidR="00E869D6" w:rsidRPr="00C02B5C" w:rsidRDefault="00E869D6" w:rsidP="00FC5B2F">
                      <w:pPr>
                        <w:ind w:left="-45"/>
                        <w:rPr>
                          <w:rFonts w:cs="Tahoma"/>
                          <w:i/>
                          <w:color w:val="000000"/>
                          <w:sz w:val="14"/>
                          <w:szCs w:val="14"/>
                          <w:lang w:val="de-DE"/>
                        </w:rPr>
                      </w:pPr>
                      <w:r w:rsidRPr="00C02B5C">
                        <w:rPr>
                          <w:rFonts w:cs="Tahoma"/>
                          <w:i/>
                          <w:color w:val="000000"/>
                          <w:sz w:val="14"/>
                          <w:szCs w:val="14"/>
                          <w:lang w:val="de-DE"/>
                        </w:rPr>
                        <w:t>*Bei Select Plus werden nur die Werte „L“ und die Dreijahreswerte für „L&amp;SA“/„SA“ verwendet</w:t>
                      </w:r>
                      <w:r>
                        <w:rPr>
                          <w:rFonts w:cs="Tahoma"/>
                          <w:i/>
                          <w:color w:val="000000"/>
                          <w:sz w:val="14"/>
                          <w:szCs w:val="14"/>
                          <w:lang w:val="de-DE"/>
                        </w:rPr>
                        <w:t xml:space="preserve">. </w:t>
                      </w:r>
                    </w:p>
                    <w:p w:rsidR="00E869D6" w:rsidRPr="00C02B5C" w:rsidRDefault="00E869D6" w:rsidP="00C8780F">
                      <w:pPr>
                        <w:rPr>
                          <w:lang w:val="de-DE"/>
                        </w:rPr>
                      </w:pPr>
                    </w:p>
                  </w:txbxContent>
                </v:textbox>
                <w10:wrap type="topAndBottom"/>
              </v:shape>
            </w:pict>
          </mc:Fallback>
        </mc:AlternateContent>
      </w:r>
      <w:bookmarkEnd w:id="576"/>
      <w:bookmarkEnd w:id="577"/>
      <w:bookmarkEnd w:id="578"/>
      <w:r w:rsidR="00316801" w:rsidRPr="004D10F1">
        <w:rPr>
          <w:rFonts w:cs="Tahoma"/>
        </w:rPr>
        <w:br w:type="page"/>
      </w:r>
    </w:p>
    <w:p w:rsidR="008D4EE5" w:rsidRPr="008657B1" w:rsidRDefault="008D4EE5" w:rsidP="008D4EE5">
      <w:pPr>
        <w:pStyle w:val="Heading1"/>
        <w:rPr>
          <w:lang w:val="de-DE"/>
        </w:rPr>
      </w:pPr>
      <w:bookmarkStart w:id="580" w:name="_Toc349586124"/>
      <w:bookmarkStart w:id="581" w:name="_Toc363998907"/>
      <w:bookmarkStart w:id="582" w:name="_Toc336338249"/>
      <w:bookmarkEnd w:id="579"/>
      <w:r w:rsidRPr="008657B1">
        <w:rPr>
          <w:lang w:val="de-DE"/>
        </w:rPr>
        <w:t>ABSCHNITT 1 – ÄNDERUNGEN AN DER PRODUKTLISTE während der</w:t>
      </w:r>
      <w:bookmarkEnd w:id="580"/>
      <w:r w:rsidRPr="008657B1">
        <w:rPr>
          <w:lang w:val="de-DE"/>
        </w:rPr>
        <w:t xml:space="preserve"> letzten 12 Monate</w:t>
      </w:r>
      <w:bookmarkEnd w:id="581"/>
    </w:p>
    <w:p w:rsidR="008D4EE5" w:rsidRPr="008657B1" w:rsidRDefault="008D4EE5" w:rsidP="008D4EE5">
      <w:pPr>
        <w:pStyle w:val="Heading2"/>
        <w:ind w:left="0"/>
        <w:jc w:val="both"/>
        <w:rPr>
          <w:lang w:val="de-DE"/>
        </w:rPr>
      </w:pPr>
      <w:bookmarkStart w:id="583" w:name="_Toc336338168"/>
    </w:p>
    <w:p w:rsidR="008D4EE5" w:rsidRPr="008657B1" w:rsidRDefault="008D4EE5" w:rsidP="008D4EE5">
      <w:pPr>
        <w:pStyle w:val="Heading2"/>
        <w:ind w:left="0"/>
        <w:jc w:val="both"/>
        <w:rPr>
          <w:lang w:val="de-DE"/>
        </w:rPr>
      </w:pPr>
      <w:bookmarkStart w:id="584" w:name="_Toc363998908"/>
      <w:r w:rsidRPr="008657B1">
        <w:rPr>
          <w:rFonts w:ascii="Tahoma" w:hAnsi="Tahoma" w:cs="Tahoma"/>
          <w:color w:val="FF6600"/>
          <w:lang w:val="de-DE"/>
        </w:rPr>
        <w:t>ÄNDERUNGEN IM SEPTEMBER 2013</w:t>
      </w:r>
      <w:bookmarkEnd w:id="584"/>
    </w:p>
    <w:p w:rsidR="008D4EE5" w:rsidRPr="008657B1" w:rsidRDefault="008D4EE5" w:rsidP="008D4EE5">
      <w:pPr>
        <w:spacing w:after="60"/>
        <w:rPr>
          <w:lang w:val="de-DE"/>
        </w:rPr>
      </w:pPr>
    </w:p>
    <w:p w:rsidR="008D4EE5" w:rsidRPr="008657B1" w:rsidRDefault="008D4EE5" w:rsidP="008D4EE5">
      <w:pPr>
        <w:rPr>
          <w:lang w:val="de-DE"/>
        </w:rPr>
      </w:pPr>
      <w:r w:rsidRPr="008657B1">
        <w:rPr>
          <w:lang w:val="de-DE"/>
        </w:rPr>
        <w:t>Hinzufügungen</w:t>
      </w:r>
    </w:p>
    <w:p w:rsidR="008D4EE5" w:rsidRPr="008657B1" w:rsidRDefault="008D4EE5" w:rsidP="008D4EE5">
      <w:pPr>
        <w:rPr>
          <w:lang w:val="de-DE"/>
        </w:rPr>
      </w:pPr>
      <w:r w:rsidRPr="008657B1">
        <w:rPr>
          <w:lang w:val="de-DE"/>
        </w:rPr>
        <w:t>Windows Azure Active Directory-Rechteverwaltung</w:t>
      </w:r>
    </w:p>
    <w:p w:rsidR="008D4EE5" w:rsidRPr="008657B1" w:rsidRDefault="008D4EE5" w:rsidP="008D4EE5">
      <w:pPr>
        <w:rPr>
          <w:lang w:val="de-DE"/>
        </w:rPr>
      </w:pPr>
    </w:p>
    <w:p w:rsidR="008D4EE5" w:rsidRPr="008657B1" w:rsidRDefault="008D4EE5" w:rsidP="008D4EE5">
      <w:pPr>
        <w:rPr>
          <w:lang w:val="de-DE"/>
        </w:rPr>
      </w:pPr>
      <w:r w:rsidRPr="008657B1">
        <w:rPr>
          <w:lang w:val="de-DE"/>
        </w:rPr>
        <w:t>Promotions</w:t>
      </w:r>
    </w:p>
    <w:p w:rsidR="008D4EE5" w:rsidRPr="008657B1" w:rsidRDefault="008D4EE5" w:rsidP="008D4EE5">
      <w:pPr>
        <w:rPr>
          <w:lang w:val="de-DE"/>
        </w:rPr>
      </w:pPr>
      <w:r w:rsidRPr="008657B1">
        <w:rPr>
          <w:lang w:val="de-DE"/>
        </w:rPr>
        <w:t>Die folgenden Promotions wurden hinzugefügt:</w:t>
      </w:r>
    </w:p>
    <w:p w:rsidR="008D4EE5" w:rsidRPr="0062435A" w:rsidRDefault="008D4EE5" w:rsidP="008D4EE5">
      <w:r>
        <w:rPr>
          <w:rStyle w:val="Strong"/>
          <w:rFonts w:cs="Tahoma"/>
          <w:b w:val="0"/>
          <w:color w:val="000000" w:themeColor="text1"/>
          <w:szCs w:val="18"/>
          <w:bdr w:val="none" w:sz="0" w:space="0" w:color="auto" w:frame="1"/>
          <w:shd w:val="clear" w:color="auto" w:fill="FFFFFF"/>
        </w:rPr>
        <w:t>Windows Companion Kickstart Promotion</w:t>
      </w:r>
    </w:p>
    <w:p w:rsidR="008D4EE5" w:rsidRPr="0062435A" w:rsidRDefault="008D4EE5" w:rsidP="008D4EE5">
      <w:r>
        <w:rPr>
          <w:rStyle w:val="Strong"/>
          <w:rFonts w:cs="Tahoma"/>
          <w:b w:val="0"/>
          <w:color w:val="000000" w:themeColor="text1"/>
          <w:szCs w:val="18"/>
          <w:bdr w:val="none" w:sz="0" w:space="0" w:color="auto" w:frame="1"/>
          <w:shd w:val="clear" w:color="auto" w:fill="FFFFFF"/>
        </w:rPr>
        <w:t>Windows Legalization Drive</w:t>
      </w:r>
    </w:p>
    <w:p w:rsidR="008D4EE5" w:rsidRPr="00C7319A" w:rsidRDefault="008D4EE5" w:rsidP="008D4EE5">
      <w:pPr>
        <w:rPr>
          <w:lang w:val="de-DE"/>
        </w:rPr>
      </w:pPr>
      <w:r w:rsidRPr="00C7319A">
        <w:rPr>
          <w:rStyle w:val="Strong"/>
          <w:rFonts w:cs="Tahoma"/>
          <w:b w:val="0"/>
          <w:color w:val="000000" w:themeColor="text1"/>
          <w:szCs w:val="18"/>
          <w:bdr w:val="none" w:sz="0" w:space="0" w:color="auto" w:frame="1"/>
          <w:shd w:val="clear" w:color="auto" w:fill="FFFFFF"/>
          <w:lang w:val="de-DE"/>
        </w:rPr>
        <w:t>Windows Intune</w:t>
      </w:r>
      <w:r w:rsidRPr="00C7319A">
        <w:rPr>
          <w:rFonts w:cs="Tahoma"/>
          <w:b/>
          <w:color w:val="000000" w:themeColor="text1"/>
          <w:szCs w:val="18"/>
          <w:bdr w:val="none" w:sz="0" w:space="0" w:color="auto" w:frame="1"/>
          <w:shd w:val="clear" w:color="auto" w:fill="FFFFFF"/>
          <w:lang w:val="de-DE"/>
        </w:rPr>
        <w:t xml:space="preserve"> </w:t>
      </w:r>
      <w:r w:rsidRPr="00C7319A">
        <w:rPr>
          <w:rStyle w:val="Strong"/>
          <w:rFonts w:cs="Tahoma"/>
          <w:b w:val="0"/>
          <w:color w:val="000000" w:themeColor="text1"/>
          <w:szCs w:val="18"/>
          <w:bdr w:val="none" w:sz="0" w:space="0" w:color="auto" w:frame="1"/>
          <w:shd w:val="clear" w:color="auto" w:fill="FFFFFF"/>
          <w:lang w:val="de-DE"/>
        </w:rPr>
        <w:t>Promotion</w:t>
      </w:r>
      <w:r w:rsidRPr="00C7319A">
        <w:rPr>
          <w:rFonts w:cs="Tahoma"/>
          <w:b/>
          <w:color w:val="000000" w:themeColor="text1"/>
          <w:szCs w:val="18"/>
          <w:bdr w:val="none" w:sz="0" w:space="0" w:color="auto" w:frame="1"/>
          <w:shd w:val="clear" w:color="auto" w:fill="FFFFFF"/>
          <w:lang w:val="de-DE"/>
        </w:rPr>
        <w:t xml:space="preserve"> </w:t>
      </w:r>
    </w:p>
    <w:p w:rsidR="008D4EE5" w:rsidRPr="00C7319A" w:rsidRDefault="008D4EE5" w:rsidP="008D4EE5">
      <w:pPr>
        <w:rPr>
          <w:lang w:val="de-DE"/>
        </w:rPr>
      </w:pPr>
    </w:p>
    <w:p w:rsidR="008D4EE5" w:rsidRPr="00C7319A" w:rsidRDefault="008D4EE5" w:rsidP="008D4EE5">
      <w:pPr>
        <w:rPr>
          <w:lang w:val="de-DE"/>
        </w:rPr>
      </w:pPr>
      <w:r w:rsidRPr="00C7319A">
        <w:rPr>
          <w:lang w:val="de-DE"/>
        </w:rPr>
        <w:t>Streichungen</w:t>
      </w:r>
    </w:p>
    <w:p w:rsidR="008D4EE5" w:rsidRPr="00C7319A" w:rsidRDefault="008D4EE5" w:rsidP="008D4EE5">
      <w:pPr>
        <w:rPr>
          <w:lang w:val="de-DE"/>
        </w:rPr>
      </w:pPr>
      <w:r w:rsidRPr="00C7319A">
        <w:rPr>
          <w:lang w:val="de-DE"/>
        </w:rPr>
        <w:t>Office 365 Enterprise E2 (Nutzer-AL)</w:t>
      </w:r>
    </w:p>
    <w:p w:rsidR="008D4EE5" w:rsidRPr="00C7319A" w:rsidRDefault="008D4EE5" w:rsidP="008D4EE5">
      <w:pPr>
        <w:rPr>
          <w:lang w:val="de-DE"/>
        </w:rPr>
      </w:pPr>
      <w:r w:rsidRPr="00C7319A">
        <w:rPr>
          <w:lang w:val="de-DE"/>
        </w:rPr>
        <w:t>Office 365 Enterprise K2 (Nutzer-AL)</w:t>
      </w:r>
    </w:p>
    <w:p w:rsidR="008D4EE5" w:rsidRPr="00C7319A" w:rsidRDefault="008D4EE5" w:rsidP="008D4EE5">
      <w:pPr>
        <w:rPr>
          <w:lang w:val="de-DE"/>
        </w:rPr>
      </w:pPr>
      <w:r w:rsidRPr="00C7319A">
        <w:rPr>
          <w:lang w:val="de-DE"/>
        </w:rPr>
        <w:t>System Center Essentials 2010</w:t>
      </w:r>
    </w:p>
    <w:p w:rsidR="008D4EE5" w:rsidRPr="008657B1" w:rsidRDefault="008D4EE5" w:rsidP="008D4EE5">
      <w:pPr>
        <w:rPr>
          <w:lang w:val="de-DE"/>
        </w:rPr>
      </w:pPr>
      <w:r w:rsidRPr="008657B1">
        <w:rPr>
          <w:lang w:val="de-DE"/>
        </w:rPr>
        <w:t>Server-ML für System Center Essentials 2010</w:t>
      </w:r>
    </w:p>
    <w:p w:rsidR="008D4EE5" w:rsidRPr="008657B1" w:rsidRDefault="008D4EE5" w:rsidP="008D4EE5">
      <w:pPr>
        <w:rPr>
          <w:lang w:val="de-DE"/>
        </w:rPr>
      </w:pPr>
      <w:r w:rsidRPr="008657B1">
        <w:rPr>
          <w:lang w:val="de-DE"/>
        </w:rPr>
        <w:t>Client-ML für System Center Essentials 2010</w:t>
      </w:r>
    </w:p>
    <w:p w:rsidR="008D4EE5" w:rsidRPr="008657B1" w:rsidRDefault="008D4EE5" w:rsidP="008D4EE5">
      <w:pPr>
        <w:rPr>
          <w:lang w:val="de-DE"/>
        </w:rPr>
      </w:pPr>
      <w:r w:rsidRPr="008657B1">
        <w:rPr>
          <w:lang w:val="de-DE"/>
        </w:rPr>
        <w:t>Lizenz-Suite für System Center Essentials 2010 Client-Management</w:t>
      </w:r>
    </w:p>
    <w:p w:rsidR="008D4EE5" w:rsidRPr="008657B1" w:rsidRDefault="008D4EE5" w:rsidP="008D4EE5">
      <w:pPr>
        <w:rPr>
          <w:lang w:val="de-DE"/>
        </w:rPr>
      </w:pPr>
      <w:r w:rsidRPr="008657B1">
        <w:rPr>
          <w:lang w:val="de-DE"/>
        </w:rPr>
        <w:t>TechNet Plus Direct</w:t>
      </w:r>
    </w:p>
    <w:p w:rsidR="008D4EE5" w:rsidRPr="008657B1" w:rsidRDefault="008D4EE5" w:rsidP="008D4EE5">
      <w:pPr>
        <w:rPr>
          <w:lang w:val="de-DE"/>
        </w:rPr>
      </w:pPr>
      <w:r w:rsidRPr="008657B1">
        <w:rPr>
          <w:lang w:val="de-DE"/>
        </w:rPr>
        <w:t>TechNet Plus Einzelnutzer</w:t>
      </w:r>
    </w:p>
    <w:p w:rsidR="008D4EE5" w:rsidRPr="008657B1" w:rsidRDefault="008D4EE5" w:rsidP="008D4EE5">
      <w:pPr>
        <w:rPr>
          <w:lang w:val="de-DE"/>
        </w:rPr>
      </w:pPr>
      <w:r w:rsidRPr="008657B1">
        <w:rPr>
          <w:lang w:val="de-DE"/>
        </w:rPr>
        <w:t>TechNet-Abonnements</w:t>
      </w:r>
    </w:p>
    <w:p w:rsidR="008D4EE5" w:rsidRPr="008657B1" w:rsidRDefault="008D4EE5" w:rsidP="008D4EE5">
      <w:pPr>
        <w:rPr>
          <w:lang w:val="de-DE"/>
        </w:rPr>
      </w:pPr>
    </w:p>
    <w:p w:rsidR="008D4EE5" w:rsidRPr="008657B1" w:rsidRDefault="008D4EE5" w:rsidP="008D4EE5">
      <w:pPr>
        <w:rPr>
          <w:lang w:val="de-DE"/>
        </w:rPr>
      </w:pPr>
      <w:r w:rsidRPr="008657B1">
        <w:rPr>
          <w:lang w:val="de-DE"/>
        </w:rPr>
        <w:t>Änderungen</w:t>
      </w:r>
    </w:p>
    <w:p w:rsidR="008D4EE5" w:rsidRPr="008657B1" w:rsidRDefault="008D4EE5" w:rsidP="008D4EE5">
      <w:pPr>
        <w:rPr>
          <w:lang w:val="de-DE"/>
        </w:rPr>
      </w:pPr>
      <w:r w:rsidRPr="008657B1">
        <w:rPr>
          <w:rFonts w:cs="Tahoma"/>
          <w:color w:val="000000" w:themeColor="text1"/>
          <w:lang w:val="de-DE"/>
        </w:rPr>
        <w:t>Learning Solutions E-Reference Library (Nutzer-AL) wurde geändert in Microsoft Learning E-Reference Library (Nutzer-AL)</w:t>
      </w:r>
    </w:p>
    <w:p w:rsidR="008D4EE5" w:rsidRPr="001614A1" w:rsidRDefault="008D4EE5" w:rsidP="008D4EE5">
      <w:r w:rsidRPr="001614A1">
        <w:rPr>
          <w:rFonts w:cs="Tahoma"/>
          <w:color w:val="000000" w:themeColor="text1"/>
        </w:rPr>
        <w:t>Learning Solutions IT Academy (Nutzer-AL) wurde geändert in Microsoft Learning IT Academy (Nutzer-AL)</w:t>
      </w:r>
    </w:p>
    <w:p w:rsidR="008D4EE5" w:rsidRPr="008657B1" w:rsidRDefault="008D4EE5" w:rsidP="008D4EE5">
      <w:pPr>
        <w:rPr>
          <w:lang w:val="de-DE"/>
        </w:rPr>
      </w:pPr>
      <w:r w:rsidRPr="008657B1">
        <w:rPr>
          <w:rFonts w:cs="Tahoma"/>
          <w:color w:val="000000" w:themeColor="text1"/>
          <w:lang w:val="de-DE"/>
        </w:rPr>
        <w:t>Learning Solutions MCP 1 Prüfungsgutschein (Nutzer-AL) wurde geändert in Microsoft Learning MCP 1 Prüfungsgutscheine (Nutzer-AL)</w:t>
      </w:r>
    </w:p>
    <w:p w:rsidR="008D4EE5" w:rsidRPr="008657B1" w:rsidRDefault="008D4EE5" w:rsidP="008D4EE5">
      <w:pPr>
        <w:rPr>
          <w:lang w:val="de-DE"/>
        </w:rPr>
      </w:pPr>
      <w:r w:rsidRPr="008657B1">
        <w:rPr>
          <w:rFonts w:cs="Tahoma"/>
          <w:color w:val="000000" w:themeColor="text1"/>
          <w:lang w:val="de-DE"/>
        </w:rPr>
        <w:t>Learning Solutions MCP 30 Prüfungsgutschein (Nutzer-AL) wurde geändert in Microsoft Learning MCP 30 Prüfungsgutscheine (Nutzer-AL)</w:t>
      </w:r>
    </w:p>
    <w:p w:rsidR="008D4EE5" w:rsidRPr="008657B1" w:rsidRDefault="008D4EE5" w:rsidP="008D4EE5">
      <w:pPr>
        <w:rPr>
          <w:lang w:val="de-DE"/>
        </w:rPr>
      </w:pPr>
      <w:r w:rsidRPr="008657B1">
        <w:rPr>
          <w:rFonts w:cs="Tahoma"/>
          <w:color w:val="000000" w:themeColor="text1"/>
          <w:lang w:val="de-DE"/>
        </w:rPr>
        <w:t xml:space="preserve">Learning Solutions MOS 500 Zertifizierungsprüfungs-Website (Nutzer-AL) wurde geändert in Microsoft Learning MOS 500 Zertifizierungsprüfungs-Website (Nutzer-AL) </w:t>
      </w:r>
    </w:p>
    <w:p w:rsidR="008D4EE5" w:rsidRPr="008657B1" w:rsidRDefault="008D4EE5" w:rsidP="008D4EE5">
      <w:pPr>
        <w:rPr>
          <w:lang w:val="de-DE"/>
        </w:rPr>
      </w:pPr>
      <w:r w:rsidRPr="008657B1">
        <w:rPr>
          <w:rFonts w:cs="Tahoma"/>
          <w:color w:val="000000" w:themeColor="text1"/>
          <w:lang w:val="de-DE"/>
        </w:rPr>
        <w:t xml:space="preserve">Learning Solutions MTA 250 Zertifizierungsprüfungs-Website (Nutzer-AL) wurde geändert in Microsoft Learning MTA 250 Zertifizierungsprüfungs-Website (Nutzer-AL) </w:t>
      </w:r>
    </w:p>
    <w:p w:rsidR="008D4EE5" w:rsidRPr="008657B1" w:rsidRDefault="008D4EE5" w:rsidP="008D4EE5">
      <w:pPr>
        <w:rPr>
          <w:lang w:val="de-DE"/>
        </w:rPr>
      </w:pPr>
    </w:p>
    <w:p w:rsidR="008D4EE5" w:rsidRPr="008657B1" w:rsidRDefault="008D4EE5" w:rsidP="008D4EE5">
      <w:pPr>
        <w:pStyle w:val="Heading2"/>
        <w:ind w:left="0"/>
        <w:jc w:val="both"/>
        <w:rPr>
          <w:lang w:val="de-DE"/>
        </w:rPr>
      </w:pPr>
      <w:bookmarkStart w:id="585" w:name="_Toc363998909"/>
      <w:r w:rsidRPr="008657B1">
        <w:rPr>
          <w:rFonts w:ascii="Tahoma" w:hAnsi="Tahoma" w:cs="Tahoma"/>
          <w:color w:val="FF6600"/>
          <w:lang w:val="de-DE"/>
        </w:rPr>
        <w:t>ÄNDERUNGEN IM AUGUST 2013</w:t>
      </w:r>
      <w:bookmarkEnd w:id="585"/>
    </w:p>
    <w:p w:rsidR="008D4EE5" w:rsidRPr="008657B1" w:rsidRDefault="008D4EE5" w:rsidP="008D4EE5">
      <w:pPr>
        <w:spacing w:after="60"/>
        <w:rPr>
          <w:lang w:val="de-DE"/>
        </w:rPr>
      </w:pPr>
    </w:p>
    <w:p w:rsidR="008D4EE5" w:rsidRPr="008657B1" w:rsidRDefault="008D4EE5" w:rsidP="008D4EE5">
      <w:pPr>
        <w:spacing w:after="60"/>
        <w:rPr>
          <w:lang w:val="de-DE"/>
        </w:rPr>
      </w:pPr>
      <w:r w:rsidRPr="008657B1">
        <w:rPr>
          <w:b/>
          <w:lang w:val="de-DE"/>
        </w:rPr>
        <w:t>Hinzufügungen</w:t>
      </w:r>
    </w:p>
    <w:p w:rsidR="008D4EE5" w:rsidRPr="008657B1" w:rsidRDefault="008D4EE5" w:rsidP="008D4EE5">
      <w:pPr>
        <w:rPr>
          <w:lang w:val="de-DE"/>
        </w:rPr>
      </w:pPr>
      <w:r w:rsidRPr="008657B1">
        <w:rPr>
          <w:rFonts w:cs="Tahoma"/>
          <w:szCs w:val="18"/>
          <w:lang w:val="de-DE"/>
        </w:rPr>
        <w:t>Add-On für Exchange Online Plan 1 (Nutzer-AL)</w:t>
      </w:r>
    </w:p>
    <w:p w:rsidR="008D4EE5" w:rsidRPr="008657B1" w:rsidRDefault="008D4EE5" w:rsidP="008D4EE5">
      <w:pPr>
        <w:rPr>
          <w:lang w:val="de-DE"/>
        </w:rPr>
      </w:pPr>
      <w:r w:rsidRPr="008657B1">
        <w:rPr>
          <w:rFonts w:cs="Tahoma"/>
          <w:szCs w:val="18"/>
          <w:lang w:val="de-DE"/>
        </w:rPr>
        <w:t>Add-On für Lync Online Plan 1 (Nutzer-AL)</w:t>
      </w:r>
    </w:p>
    <w:p w:rsidR="008D4EE5" w:rsidRPr="008657B1" w:rsidRDefault="008D4EE5" w:rsidP="008D4EE5">
      <w:pPr>
        <w:rPr>
          <w:lang w:val="de-DE"/>
        </w:rPr>
      </w:pPr>
      <w:r w:rsidRPr="008657B1">
        <w:rPr>
          <w:rFonts w:cs="Tahoma"/>
          <w:szCs w:val="18"/>
          <w:lang w:val="de-DE"/>
        </w:rPr>
        <w:t>Add-On für SharePoint™ Online Plan 1 (Nutzer-AL)</w:t>
      </w:r>
    </w:p>
    <w:p w:rsidR="008D4EE5" w:rsidRPr="008657B1" w:rsidRDefault="008D4EE5" w:rsidP="008D4EE5">
      <w:pPr>
        <w:rPr>
          <w:lang w:val="de-DE"/>
        </w:rPr>
      </w:pPr>
      <w:r w:rsidRPr="008657B1">
        <w:rPr>
          <w:rFonts w:cs="Tahoma"/>
          <w:szCs w:val="18"/>
          <w:lang w:val="de-DE"/>
        </w:rPr>
        <w:t>Add-On für SharePoint™ Online Plan 1 mit Yammer (Nutzer-AL)</w:t>
      </w:r>
    </w:p>
    <w:p w:rsidR="008D4EE5" w:rsidRPr="008657B1" w:rsidRDefault="008D4EE5" w:rsidP="008D4EE5">
      <w:pPr>
        <w:rPr>
          <w:lang w:val="de-DE"/>
        </w:rPr>
      </w:pPr>
      <w:r w:rsidRPr="008657B1">
        <w:rPr>
          <w:rFonts w:cs="Tahoma"/>
          <w:szCs w:val="18"/>
          <w:lang w:val="de-DE"/>
        </w:rPr>
        <w:t>Add-On für Office 365 Enterprise E1, E3, E4 (Nutzer-AL)</w:t>
      </w:r>
    </w:p>
    <w:p w:rsidR="008D4EE5" w:rsidRPr="000D6765" w:rsidRDefault="008D4EE5" w:rsidP="008D4EE5">
      <w:pPr>
        <w:rPr>
          <w:lang w:val="de-DE"/>
        </w:rPr>
      </w:pPr>
      <w:r w:rsidRPr="000D6765">
        <w:rPr>
          <w:rFonts w:cs="Tahoma"/>
          <w:szCs w:val="18"/>
          <w:lang w:val="de-DE"/>
        </w:rPr>
        <w:t>Add-On für Office 365 Government G1, G3, G4 (Nutzer-AL)</w:t>
      </w:r>
    </w:p>
    <w:p w:rsidR="008D4EE5" w:rsidRPr="000D6765" w:rsidRDefault="008D4EE5" w:rsidP="008D4EE5">
      <w:pPr>
        <w:rPr>
          <w:lang w:val="de-DE"/>
        </w:rPr>
      </w:pPr>
      <w:r w:rsidRPr="000D6765">
        <w:rPr>
          <w:rFonts w:cs="Tahoma"/>
          <w:szCs w:val="18"/>
          <w:lang w:val="de-DE"/>
        </w:rPr>
        <w:t>Add-On für Office 365 Enterprise E3, E4 ohne Office Pro Plus (Nutzer-AL)</w:t>
      </w:r>
    </w:p>
    <w:p w:rsidR="008D4EE5" w:rsidRPr="000D6765" w:rsidRDefault="008D4EE5" w:rsidP="008D4EE5">
      <w:pPr>
        <w:rPr>
          <w:lang w:val="de-DE"/>
        </w:rPr>
      </w:pPr>
      <w:r w:rsidRPr="000D6765">
        <w:rPr>
          <w:rFonts w:cs="Tahoma"/>
          <w:szCs w:val="18"/>
          <w:lang w:val="de-DE"/>
        </w:rPr>
        <w:t>Add-On für Office 365 Government G3, G4 ohne Office Pro Plus (Nutzer-AL)</w:t>
      </w:r>
    </w:p>
    <w:p w:rsidR="008D4EE5" w:rsidRPr="000D6765" w:rsidRDefault="008D4EE5" w:rsidP="008D4EE5">
      <w:pPr>
        <w:spacing w:after="60"/>
        <w:rPr>
          <w:lang w:val="de-DE"/>
        </w:rPr>
      </w:pPr>
    </w:p>
    <w:p w:rsidR="00E728A0" w:rsidRPr="000D6765" w:rsidRDefault="00E728A0" w:rsidP="008D4EE5">
      <w:pPr>
        <w:spacing w:after="60"/>
        <w:rPr>
          <w:lang w:val="de-DE"/>
        </w:rPr>
      </w:pPr>
    </w:p>
    <w:p w:rsidR="00E728A0" w:rsidRPr="000D6765" w:rsidRDefault="00E728A0" w:rsidP="008D4EE5">
      <w:pPr>
        <w:spacing w:after="60"/>
        <w:rPr>
          <w:lang w:val="de-DE"/>
        </w:rPr>
      </w:pPr>
    </w:p>
    <w:p w:rsidR="008D4EE5" w:rsidRPr="008657B1" w:rsidRDefault="008D4EE5" w:rsidP="008D4EE5">
      <w:pPr>
        <w:spacing w:after="60"/>
        <w:rPr>
          <w:lang w:val="de-DE"/>
        </w:rPr>
      </w:pPr>
      <w:r w:rsidRPr="008657B1">
        <w:rPr>
          <w:b/>
          <w:lang w:val="de-DE"/>
        </w:rPr>
        <w:t>Promotions</w:t>
      </w:r>
    </w:p>
    <w:p w:rsidR="008D4EE5" w:rsidRPr="008657B1" w:rsidRDefault="008D4EE5" w:rsidP="008D4EE5">
      <w:pPr>
        <w:rPr>
          <w:lang w:val="de-DE"/>
        </w:rPr>
      </w:pPr>
      <w:r w:rsidRPr="008657B1">
        <w:rPr>
          <w:rFonts w:cs="Tahoma"/>
          <w:szCs w:val="18"/>
          <w:lang w:val="de-DE"/>
        </w:rPr>
        <w:t>Die folgenden Promotions wurden gelöscht:</w:t>
      </w:r>
    </w:p>
    <w:p w:rsidR="008D4EE5" w:rsidRPr="008657B1" w:rsidRDefault="008D4EE5" w:rsidP="008D4EE5">
      <w:pPr>
        <w:rPr>
          <w:lang w:val="de-DE"/>
        </w:rPr>
      </w:pPr>
      <w:r w:rsidRPr="008657B1">
        <w:rPr>
          <w:rFonts w:cs="Tahoma"/>
          <w:szCs w:val="18"/>
          <w:lang w:val="de-DE"/>
        </w:rPr>
        <w:t>Microsoft Dynamics AX 2012 R2 Eine Enterprise CAL kaufen, eine Funktions-CAL dazu</w:t>
      </w:r>
    </w:p>
    <w:p w:rsidR="008D4EE5" w:rsidRPr="0062435A" w:rsidRDefault="008D4EE5" w:rsidP="008D4EE5">
      <w:r>
        <w:rPr>
          <w:rFonts w:cs="Tahoma"/>
          <w:szCs w:val="18"/>
        </w:rPr>
        <w:t>15 % Preisnachlass auf Project/Visio-Step Ups</w:t>
      </w:r>
    </w:p>
    <w:p w:rsidR="008D4EE5" w:rsidRPr="008657B1" w:rsidRDefault="008D4EE5" w:rsidP="008D4EE5">
      <w:pPr>
        <w:rPr>
          <w:lang w:val="de-DE"/>
        </w:rPr>
      </w:pPr>
      <w:r w:rsidRPr="008657B1">
        <w:rPr>
          <w:rFonts w:cs="Tahoma"/>
          <w:szCs w:val="18"/>
          <w:lang w:val="de-DE"/>
        </w:rPr>
        <w:t>55 % Preisnachlass auf CAL für Project Server bei Unternehmensweitem Kauf</w:t>
      </w:r>
    </w:p>
    <w:p w:rsidR="008D4EE5" w:rsidRPr="008657B1" w:rsidRDefault="008D4EE5" w:rsidP="008D4EE5">
      <w:pPr>
        <w:rPr>
          <w:lang w:val="de-DE"/>
        </w:rPr>
      </w:pPr>
    </w:p>
    <w:p w:rsidR="008D4EE5" w:rsidRPr="008657B1" w:rsidRDefault="008D4EE5" w:rsidP="008D4EE5">
      <w:pPr>
        <w:spacing w:after="60"/>
        <w:rPr>
          <w:lang w:val="de-DE"/>
        </w:rPr>
      </w:pPr>
      <w:r w:rsidRPr="008657B1">
        <w:rPr>
          <w:b/>
          <w:lang w:val="de-DE"/>
        </w:rPr>
        <w:t>Streichungen</w:t>
      </w:r>
    </w:p>
    <w:p w:rsidR="008D4EE5" w:rsidRPr="008657B1" w:rsidRDefault="008D4EE5" w:rsidP="008D4EE5">
      <w:pPr>
        <w:spacing w:after="60"/>
        <w:rPr>
          <w:lang w:val="de-DE"/>
        </w:rPr>
      </w:pPr>
    </w:p>
    <w:p w:rsidR="008D4EE5" w:rsidRPr="008657B1" w:rsidRDefault="008D4EE5" w:rsidP="008D4EE5">
      <w:pPr>
        <w:spacing w:after="60"/>
        <w:rPr>
          <w:lang w:val="de-DE"/>
        </w:rPr>
      </w:pPr>
      <w:r w:rsidRPr="008657B1">
        <w:rPr>
          <w:b/>
          <w:lang w:val="de-DE"/>
        </w:rPr>
        <w:t>Änderungen</w:t>
      </w:r>
    </w:p>
    <w:p w:rsidR="008D4EE5" w:rsidRPr="008657B1" w:rsidRDefault="008D4EE5" w:rsidP="008D4EE5">
      <w:pPr>
        <w:rPr>
          <w:lang w:val="de-DE"/>
        </w:rPr>
      </w:pPr>
      <w:r w:rsidRPr="008657B1">
        <w:rPr>
          <w:rFonts w:cs="Tahoma"/>
          <w:szCs w:val="18"/>
          <w:lang w:val="de-DE"/>
        </w:rPr>
        <w:t>Office 365 A3, A4 (Nutzer-AL)</w:t>
      </w:r>
    </w:p>
    <w:p w:rsidR="008D4EE5" w:rsidRPr="008657B1" w:rsidRDefault="008D4EE5" w:rsidP="008D4EE5">
      <w:pPr>
        <w:rPr>
          <w:lang w:val="it-IT"/>
        </w:rPr>
      </w:pPr>
      <w:r w:rsidRPr="008657B1">
        <w:rPr>
          <w:rFonts w:cs="Tahoma"/>
          <w:szCs w:val="18"/>
          <w:lang w:val="it-IT"/>
        </w:rPr>
        <w:t>Office 365 Enterprise E2-E4 (Nutzer-AL)</w:t>
      </w:r>
    </w:p>
    <w:p w:rsidR="008D4EE5" w:rsidRPr="008657B1" w:rsidRDefault="008D4EE5" w:rsidP="008D4EE5">
      <w:pPr>
        <w:rPr>
          <w:lang w:val="it-IT"/>
        </w:rPr>
      </w:pPr>
    </w:p>
    <w:p w:rsidR="008D4EE5" w:rsidRPr="008657B1" w:rsidRDefault="008D4EE5" w:rsidP="008D4EE5">
      <w:pPr>
        <w:rPr>
          <w:lang w:val="it-IT"/>
        </w:rPr>
      </w:pPr>
    </w:p>
    <w:p w:rsidR="008D4EE5" w:rsidRPr="008657B1" w:rsidRDefault="008D4EE5" w:rsidP="008D4EE5">
      <w:pPr>
        <w:pStyle w:val="Heading2"/>
        <w:ind w:left="0"/>
        <w:jc w:val="both"/>
        <w:rPr>
          <w:lang w:val="de-DE"/>
        </w:rPr>
      </w:pPr>
      <w:bookmarkStart w:id="586" w:name="_Toc363998910"/>
      <w:r w:rsidRPr="008657B1">
        <w:rPr>
          <w:rFonts w:ascii="Tahoma" w:hAnsi="Tahoma" w:cs="Tahoma"/>
          <w:color w:val="FF6600"/>
          <w:lang w:val="de-DE"/>
        </w:rPr>
        <w:t>ÄNDERUNGEN IM JULI 2013</w:t>
      </w:r>
      <w:bookmarkEnd w:id="586"/>
    </w:p>
    <w:p w:rsidR="008D4EE5" w:rsidRPr="008657B1" w:rsidRDefault="008D4EE5" w:rsidP="008D4EE5">
      <w:pPr>
        <w:rPr>
          <w:lang w:val="de-DE"/>
        </w:rPr>
      </w:pPr>
    </w:p>
    <w:p w:rsidR="008D4EE5" w:rsidRPr="008657B1" w:rsidRDefault="008D4EE5" w:rsidP="008D4EE5">
      <w:pPr>
        <w:spacing w:after="60"/>
        <w:rPr>
          <w:lang w:val="de-DE"/>
        </w:rPr>
      </w:pPr>
      <w:r w:rsidRPr="008657B1">
        <w:rPr>
          <w:b/>
          <w:lang w:val="de-DE"/>
        </w:rPr>
        <w:t>Hinzufügungen</w:t>
      </w:r>
    </w:p>
    <w:p w:rsidR="008D4EE5" w:rsidRPr="00174833" w:rsidRDefault="008D4EE5" w:rsidP="008D4EE5">
      <w:pPr>
        <w:rPr>
          <w:lang w:val="de-DE"/>
        </w:rPr>
      </w:pPr>
      <w:r w:rsidRPr="00174833">
        <w:rPr>
          <w:rFonts w:cs="Tahoma"/>
          <w:szCs w:val="18"/>
          <w:lang w:val="de-DE"/>
        </w:rPr>
        <w:t>Windows</w:t>
      </w:r>
      <w:r w:rsidR="0069040B" w:rsidRPr="0069040B">
        <w:rPr>
          <w:rFonts w:cs="Tahoma"/>
          <w:szCs w:val="18"/>
          <w:vertAlign w:val="superscript"/>
          <w:lang w:val="de-DE"/>
        </w:rPr>
        <w:t>®</w:t>
      </w:r>
      <w:r w:rsidRPr="00174833">
        <w:rPr>
          <w:rFonts w:cs="Tahoma"/>
          <w:szCs w:val="18"/>
          <w:lang w:val="de-DE"/>
        </w:rPr>
        <w:t xml:space="preserve"> Embedded 8 Industry Pro</w:t>
      </w:r>
    </w:p>
    <w:p w:rsidR="008D4EE5" w:rsidRPr="0062435A" w:rsidRDefault="008D4EE5" w:rsidP="008D4EE5">
      <w:r>
        <w:rPr>
          <w:rFonts w:cs="Tahoma"/>
          <w:szCs w:val="18"/>
        </w:rPr>
        <w:t>Windows</w:t>
      </w:r>
      <w:r w:rsidR="0069040B" w:rsidRPr="0069040B">
        <w:rPr>
          <w:rFonts w:cs="Tahoma"/>
          <w:szCs w:val="18"/>
          <w:vertAlign w:val="superscript"/>
        </w:rPr>
        <w:t>®</w:t>
      </w:r>
      <w:r>
        <w:rPr>
          <w:rFonts w:cs="Tahoma"/>
          <w:szCs w:val="18"/>
        </w:rPr>
        <w:t xml:space="preserve"> Embedded 8 Standard Enterprise Kit</w:t>
      </w:r>
    </w:p>
    <w:p w:rsidR="008D4EE5" w:rsidRPr="0062435A" w:rsidRDefault="008D4EE5" w:rsidP="008D4EE5">
      <w:r>
        <w:rPr>
          <w:rFonts w:cs="Tahoma"/>
          <w:szCs w:val="18"/>
        </w:rPr>
        <w:t>Windows</w:t>
      </w:r>
      <w:r w:rsidR="0069040B" w:rsidRPr="0069040B">
        <w:rPr>
          <w:rFonts w:cs="Tahoma"/>
          <w:szCs w:val="18"/>
          <w:vertAlign w:val="superscript"/>
        </w:rPr>
        <w:t>®</w:t>
      </w:r>
      <w:r>
        <w:rPr>
          <w:rFonts w:cs="Tahoma"/>
          <w:szCs w:val="18"/>
        </w:rPr>
        <w:t xml:space="preserve"> Embedded 8 Industry Pro Sideloading</w:t>
      </w:r>
    </w:p>
    <w:p w:rsidR="008D4EE5" w:rsidRPr="00174833" w:rsidRDefault="008D4EE5" w:rsidP="008D4EE5">
      <w:pPr>
        <w:rPr>
          <w:lang w:val="de-DE"/>
        </w:rPr>
      </w:pPr>
      <w:r w:rsidRPr="00174833">
        <w:rPr>
          <w:rFonts w:cs="Tahoma"/>
          <w:szCs w:val="18"/>
          <w:lang w:val="de-DE"/>
        </w:rPr>
        <w:t>Windows</w:t>
      </w:r>
      <w:r w:rsidR="0069040B" w:rsidRPr="0069040B">
        <w:rPr>
          <w:rFonts w:cs="Tahoma"/>
          <w:szCs w:val="18"/>
          <w:vertAlign w:val="superscript"/>
          <w:lang w:val="de-DE"/>
        </w:rPr>
        <w:t>®</w:t>
      </w:r>
      <w:r w:rsidRPr="00174833">
        <w:rPr>
          <w:rFonts w:cs="Tahoma"/>
          <w:szCs w:val="18"/>
          <w:lang w:val="de-DE"/>
        </w:rPr>
        <w:t xml:space="preserve"> 8 Pro Sideloading</w:t>
      </w:r>
    </w:p>
    <w:p w:rsidR="008D4EE5" w:rsidRPr="00174833" w:rsidRDefault="008D4EE5" w:rsidP="008D4EE5">
      <w:pPr>
        <w:rPr>
          <w:lang w:val="de-DE"/>
        </w:rPr>
      </w:pPr>
    </w:p>
    <w:p w:rsidR="008D4EE5" w:rsidRPr="008657B1" w:rsidRDefault="008D4EE5" w:rsidP="008D4EE5">
      <w:pPr>
        <w:spacing w:after="60"/>
        <w:rPr>
          <w:lang w:val="de-DE"/>
        </w:rPr>
      </w:pPr>
      <w:r w:rsidRPr="008657B1">
        <w:rPr>
          <w:b/>
          <w:lang w:val="de-DE"/>
        </w:rPr>
        <w:t>Promotions</w:t>
      </w:r>
    </w:p>
    <w:p w:rsidR="008D4EE5" w:rsidRPr="008657B1" w:rsidRDefault="008D4EE5" w:rsidP="008D4EE5">
      <w:pPr>
        <w:rPr>
          <w:lang w:val="de-DE"/>
        </w:rPr>
      </w:pPr>
      <w:r w:rsidRPr="008657B1">
        <w:rPr>
          <w:rFonts w:cs="Tahoma"/>
          <w:color w:val="000000"/>
          <w:szCs w:val="18"/>
          <w:lang w:val="de-DE"/>
        </w:rPr>
        <w:t>Keine Änderungen an den Promotions</w:t>
      </w:r>
    </w:p>
    <w:p w:rsidR="008D4EE5" w:rsidRPr="008657B1" w:rsidRDefault="008D4EE5" w:rsidP="008D4EE5">
      <w:pPr>
        <w:rPr>
          <w:lang w:val="de-DE"/>
        </w:rPr>
      </w:pPr>
    </w:p>
    <w:p w:rsidR="008D4EE5" w:rsidRPr="008657B1" w:rsidRDefault="008D4EE5" w:rsidP="008D4EE5">
      <w:pPr>
        <w:spacing w:after="60"/>
        <w:rPr>
          <w:lang w:val="de-DE"/>
        </w:rPr>
      </w:pPr>
      <w:r w:rsidRPr="008657B1">
        <w:rPr>
          <w:b/>
          <w:lang w:val="de-DE"/>
        </w:rPr>
        <w:t>Streichungen</w:t>
      </w:r>
    </w:p>
    <w:p w:rsidR="008D4EE5" w:rsidRPr="008657B1" w:rsidRDefault="008D4EE5" w:rsidP="008D4EE5">
      <w:pPr>
        <w:rPr>
          <w:lang w:val="de-DE"/>
        </w:rPr>
      </w:pPr>
      <w:r w:rsidRPr="008657B1">
        <w:rPr>
          <w:rFonts w:cs="Tahoma"/>
          <w:color w:val="000000"/>
          <w:szCs w:val="20"/>
          <w:lang w:val="de-DE"/>
        </w:rPr>
        <w:t>Vexcel Server</w:t>
      </w:r>
    </w:p>
    <w:p w:rsidR="008D4EE5" w:rsidRPr="008657B1" w:rsidRDefault="008D4EE5" w:rsidP="008D4EE5">
      <w:pPr>
        <w:rPr>
          <w:lang w:val="de-DE"/>
        </w:rPr>
      </w:pPr>
      <w:r w:rsidRPr="008657B1">
        <w:rPr>
          <w:rFonts w:cs="Tahoma"/>
          <w:color w:val="000000"/>
          <w:szCs w:val="20"/>
          <w:lang w:val="de-DE"/>
        </w:rPr>
        <w:t>Vexcel Server mit Erweitertem Inhaltspaket</w:t>
      </w:r>
    </w:p>
    <w:p w:rsidR="008D4EE5" w:rsidRPr="008657B1" w:rsidRDefault="008D4EE5" w:rsidP="008D4EE5">
      <w:pPr>
        <w:rPr>
          <w:lang w:val="de-DE"/>
        </w:rPr>
      </w:pPr>
      <w:r w:rsidRPr="008657B1">
        <w:rPr>
          <w:rFonts w:cs="Tahoma"/>
          <w:color w:val="000000"/>
          <w:szCs w:val="20"/>
          <w:lang w:val="de-DE"/>
        </w:rPr>
        <w:t>Vexcel Desktop mit Erweitertem Inhaltspaket</w:t>
      </w:r>
    </w:p>
    <w:p w:rsidR="008D4EE5" w:rsidRPr="00F04B7B" w:rsidRDefault="008D4EE5" w:rsidP="008D4EE5">
      <w:r w:rsidRPr="008657B1">
        <w:rPr>
          <w:rFonts w:cs="Tahoma"/>
          <w:color w:val="000000"/>
          <w:szCs w:val="20"/>
          <w:lang w:val="de-DE"/>
        </w:rPr>
        <w:t>GeoSynther 3</w:t>
      </w:r>
      <w:r w:rsidR="00844B7C">
        <w:rPr>
          <w:rFonts w:cs="Tahoma"/>
          <w:color w:val="000000"/>
          <w:szCs w:val="20"/>
          <w:lang w:val="de-DE"/>
        </w:rPr>
        <w:t>.</w:t>
      </w:r>
      <w:r w:rsidRPr="00F04B7B">
        <w:rPr>
          <w:rFonts w:cs="Tahoma"/>
          <w:color w:val="000000"/>
          <w:szCs w:val="20"/>
        </w:rPr>
        <w:t>0</w:t>
      </w:r>
    </w:p>
    <w:p w:rsidR="008D4EE5" w:rsidRPr="0062435A" w:rsidRDefault="008D4EE5" w:rsidP="008D4EE5">
      <w:r>
        <w:rPr>
          <w:rFonts w:cs="Tahoma"/>
          <w:color w:val="000000"/>
          <w:szCs w:val="20"/>
        </w:rPr>
        <w:t>GeoSynth Viewer 3</w:t>
      </w:r>
      <w:r w:rsidR="00844B7C">
        <w:rPr>
          <w:rFonts w:cs="Tahoma"/>
          <w:color w:val="000000"/>
          <w:szCs w:val="20"/>
        </w:rPr>
        <w:t>.</w:t>
      </w:r>
      <w:r>
        <w:rPr>
          <w:rFonts w:cs="Tahoma"/>
          <w:color w:val="000000"/>
          <w:szCs w:val="20"/>
        </w:rPr>
        <w:t>0</w:t>
      </w:r>
    </w:p>
    <w:p w:rsidR="008D4EE5" w:rsidRPr="0062435A" w:rsidRDefault="008D4EE5" w:rsidP="008D4EE5">
      <w:r>
        <w:rPr>
          <w:rFonts w:cs="Tahoma"/>
          <w:color w:val="000000"/>
          <w:szCs w:val="20"/>
        </w:rPr>
        <w:t>GeoSynth Server</w:t>
      </w:r>
    </w:p>
    <w:p w:rsidR="008D4EE5" w:rsidRPr="0062435A" w:rsidRDefault="008D4EE5" w:rsidP="008D4EE5">
      <w:r>
        <w:rPr>
          <w:rFonts w:eastAsia="Times New Roman" w:cs="Tahoma"/>
          <w:szCs w:val="18"/>
        </w:rPr>
        <w:t>Add-On für Windows Small Business Server 2011 Premium (5 Clients)</w:t>
      </w:r>
    </w:p>
    <w:p w:rsidR="008D4EE5" w:rsidRPr="0062435A" w:rsidRDefault="008D4EE5" w:rsidP="008D4EE5">
      <w:r>
        <w:rPr>
          <w:rFonts w:eastAsia="Times New Roman" w:cs="Tahoma"/>
          <w:szCs w:val="18"/>
        </w:rPr>
        <w:t>Windows Small Business Server 2011 Standard (5 Clients)</w:t>
      </w:r>
    </w:p>
    <w:p w:rsidR="008D4EE5" w:rsidRPr="008657B1" w:rsidRDefault="008D4EE5" w:rsidP="008D4EE5">
      <w:pPr>
        <w:rPr>
          <w:lang w:val="de-DE"/>
        </w:rPr>
      </w:pPr>
      <w:r w:rsidRPr="008657B1">
        <w:rPr>
          <w:rFonts w:eastAsia="Times New Roman" w:cs="Tahoma"/>
          <w:szCs w:val="18"/>
          <w:lang w:val="de-DE"/>
        </w:rPr>
        <w:t>CAL-Suite für Windows Small Business Server 2008 für Premium-Nutzer oder -Geräte</w:t>
      </w:r>
    </w:p>
    <w:p w:rsidR="008D4EE5" w:rsidRPr="008657B1" w:rsidRDefault="008D4EE5" w:rsidP="008D4EE5">
      <w:pPr>
        <w:rPr>
          <w:lang w:val="de-DE"/>
        </w:rPr>
      </w:pPr>
      <w:r w:rsidRPr="008657B1">
        <w:rPr>
          <w:rFonts w:eastAsia="Times New Roman" w:cs="Tahoma"/>
          <w:szCs w:val="18"/>
          <w:lang w:val="de-DE"/>
        </w:rPr>
        <w:t>CAL-Suite für Windows Small Business Server 2008 für Premium-Nutzer oder -Geräte (5 Clients)</w:t>
      </w:r>
    </w:p>
    <w:p w:rsidR="008D4EE5" w:rsidRPr="008657B1" w:rsidRDefault="008D4EE5" w:rsidP="008D4EE5">
      <w:pPr>
        <w:rPr>
          <w:lang w:val="de-DE"/>
        </w:rPr>
      </w:pPr>
      <w:r w:rsidRPr="008657B1">
        <w:rPr>
          <w:rFonts w:eastAsia="Times New Roman" w:cs="Tahoma"/>
          <w:szCs w:val="18"/>
          <w:lang w:val="de-DE"/>
        </w:rPr>
        <w:t>CAL-Suite für Windows Small Business Server 2008 für Premium-Nutzer oder -Geräte (20 Clients)</w:t>
      </w:r>
    </w:p>
    <w:p w:rsidR="008D4EE5" w:rsidRPr="008657B1" w:rsidRDefault="008D4EE5" w:rsidP="008D4EE5">
      <w:pPr>
        <w:rPr>
          <w:lang w:val="de-DE"/>
        </w:rPr>
      </w:pPr>
    </w:p>
    <w:p w:rsidR="008D4EE5" w:rsidRPr="008657B1" w:rsidRDefault="008D4EE5" w:rsidP="008D4EE5">
      <w:pPr>
        <w:spacing w:after="60"/>
        <w:rPr>
          <w:lang w:val="de-DE"/>
        </w:rPr>
      </w:pPr>
      <w:r w:rsidRPr="008657B1">
        <w:rPr>
          <w:b/>
          <w:lang w:val="de-DE"/>
        </w:rPr>
        <w:t>Änderungen</w:t>
      </w:r>
    </w:p>
    <w:p w:rsidR="008D4EE5" w:rsidRPr="00E728A0" w:rsidRDefault="008D4EE5" w:rsidP="008D4EE5">
      <w:pPr>
        <w:rPr>
          <w:rFonts w:eastAsia="Times New Roman" w:cs="Tahoma"/>
          <w:szCs w:val="18"/>
          <w:lang w:val="de-DE"/>
        </w:rPr>
      </w:pPr>
      <w:r w:rsidRPr="00E728A0">
        <w:rPr>
          <w:rFonts w:eastAsia="Times New Roman" w:cs="Tahoma"/>
          <w:szCs w:val="18"/>
          <w:lang w:val="de-DE"/>
        </w:rPr>
        <w:t>Visual Studio</w:t>
      </w:r>
      <w:r w:rsidR="0069040B" w:rsidRPr="0069040B">
        <w:rPr>
          <w:rFonts w:eastAsia="Times New Roman" w:cs="Tahoma"/>
          <w:szCs w:val="18"/>
          <w:vertAlign w:val="superscript"/>
          <w:lang w:val="de-DE"/>
        </w:rPr>
        <w:t>®</w:t>
      </w:r>
      <w:r w:rsidRPr="00E728A0">
        <w:rPr>
          <w:rFonts w:eastAsia="Times New Roman" w:cs="Tahoma"/>
          <w:szCs w:val="18"/>
          <w:lang w:val="de-DE"/>
        </w:rPr>
        <w:t xml:space="preserve"> Premium 2012 mit MSDN</w:t>
      </w:r>
    </w:p>
    <w:p w:rsidR="008D4EE5" w:rsidRPr="00E728A0" w:rsidRDefault="008D4EE5" w:rsidP="008D4EE5">
      <w:pPr>
        <w:rPr>
          <w:rFonts w:eastAsia="Times New Roman" w:cs="Tahoma"/>
          <w:szCs w:val="18"/>
          <w:lang w:val="de-DE"/>
        </w:rPr>
      </w:pPr>
      <w:r w:rsidRPr="00E728A0">
        <w:rPr>
          <w:rFonts w:eastAsia="Times New Roman" w:cs="Tahoma"/>
          <w:szCs w:val="18"/>
          <w:lang w:val="de-DE"/>
        </w:rPr>
        <w:t>Visual Studio</w:t>
      </w:r>
      <w:r w:rsidR="0069040B" w:rsidRPr="0069040B">
        <w:rPr>
          <w:rFonts w:eastAsia="Times New Roman" w:cs="Tahoma"/>
          <w:szCs w:val="18"/>
          <w:vertAlign w:val="superscript"/>
          <w:lang w:val="de-DE"/>
        </w:rPr>
        <w:t>®</w:t>
      </w:r>
      <w:r w:rsidRPr="00E728A0">
        <w:rPr>
          <w:rFonts w:eastAsia="Times New Roman" w:cs="Tahoma"/>
          <w:szCs w:val="18"/>
          <w:lang w:val="de-DE"/>
        </w:rPr>
        <w:t xml:space="preserve"> Ultimate 2012 mit MSDN</w:t>
      </w:r>
    </w:p>
    <w:p w:rsidR="008D4EE5" w:rsidRPr="00E728A0" w:rsidRDefault="008D4EE5" w:rsidP="008D4EE5">
      <w:pPr>
        <w:rPr>
          <w:rFonts w:eastAsia="Times New Roman" w:cs="Tahoma"/>
          <w:szCs w:val="18"/>
          <w:lang w:val="de-DE"/>
        </w:rPr>
      </w:pPr>
      <w:r w:rsidRPr="00E728A0">
        <w:rPr>
          <w:rFonts w:eastAsia="Times New Roman" w:cs="Tahoma"/>
          <w:szCs w:val="18"/>
          <w:lang w:val="de-DE"/>
        </w:rPr>
        <w:t>Windows Vista DVD Playback Pack</w:t>
      </w:r>
    </w:p>
    <w:p w:rsidR="008D4EE5" w:rsidRPr="00E728A0" w:rsidRDefault="008D4EE5" w:rsidP="008D4EE5">
      <w:pPr>
        <w:rPr>
          <w:rFonts w:eastAsia="Times New Roman" w:cs="Tahoma"/>
          <w:szCs w:val="18"/>
          <w:lang w:val="de-DE"/>
        </w:rPr>
      </w:pPr>
      <w:r w:rsidRPr="00E728A0">
        <w:rPr>
          <w:rFonts w:eastAsia="Times New Roman" w:cs="Tahoma"/>
          <w:szCs w:val="18"/>
          <w:lang w:val="de-DE"/>
        </w:rPr>
        <w:t>Windows 8 Enterprise Sideloading (100 Pack)</w:t>
      </w:r>
    </w:p>
    <w:p w:rsidR="008D4EE5" w:rsidRPr="00C7319A" w:rsidRDefault="008D4EE5" w:rsidP="008D4EE5">
      <w:pPr>
        <w:rPr>
          <w:lang w:val="de-DE"/>
        </w:rPr>
      </w:pPr>
    </w:p>
    <w:p w:rsidR="008D4EE5" w:rsidRPr="00C7319A" w:rsidRDefault="008D4EE5" w:rsidP="008D4EE5">
      <w:pPr>
        <w:rPr>
          <w:lang w:val="de-DE"/>
        </w:rPr>
      </w:pPr>
    </w:p>
    <w:p w:rsidR="008D4EE5" w:rsidRPr="008657B1" w:rsidRDefault="008D4EE5" w:rsidP="008D4EE5">
      <w:pPr>
        <w:pStyle w:val="Heading2"/>
        <w:ind w:left="0"/>
        <w:jc w:val="both"/>
        <w:rPr>
          <w:lang w:val="de-DE"/>
        </w:rPr>
      </w:pPr>
      <w:bookmarkStart w:id="587" w:name="_Toc363998911"/>
      <w:r w:rsidRPr="008657B1">
        <w:rPr>
          <w:rFonts w:ascii="Tahoma" w:hAnsi="Tahoma" w:cs="Tahoma"/>
          <w:color w:val="FF6600"/>
          <w:lang w:val="de-DE"/>
        </w:rPr>
        <w:t>ÄNDERUNGEN IM JUNI 2013</w:t>
      </w:r>
      <w:bookmarkEnd w:id="587"/>
    </w:p>
    <w:p w:rsidR="008D4EE5" w:rsidRPr="008657B1" w:rsidRDefault="008D4EE5" w:rsidP="008D4EE5">
      <w:pPr>
        <w:rPr>
          <w:lang w:val="de-DE"/>
        </w:rPr>
      </w:pPr>
    </w:p>
    <w:p w:rsidR="008D4EE5" w:rsidRPr="00C7319A" w:rsidRDefault="008D4EE5" w:rsidP="008D4EE5">
      <w:pPr>
        <w:spacing w:after="60"/>
      </w:pPr>
      <w:r w:rsidRPr="00C7319A">
        <w:rPr>
          <w:b/>
        </w:rPr>
        <w:t>Hinzufügungen</w:t>
      </w:r>
    </w:p>
    <w:p w:rsidR="008D4EE5" w:rsidRPr="00C7319A" w:rsidRDefault="008D4EE5" w:rsidP="008D4EE5">
      <w:r w:rsidRPr="00C7319A">
        <w:rPr>
          <w:rFonts w:cs="Tahoma"/>
          <w:szCs w:val="18"/>
        </w:rPr>
        <w:t>Microsoft Office Audit and Control Management</w:t>
      </w:r>
    </w:p>
    <w:p w:rsidR="008D4EE5" w:rsidRPr="008657B1" w:rsidRDefault="008D4EE5" w:rsidP="008D4EE5">
      <w:pPr>
        <w:rPr>
          <w:lang w:val="de-DE"/>
        </w:rPr>
      </w:pPr>
      <w:r w:rsidRPr="008657B1">
        <w:rPr>
          <w:rFonts w:cs="Tahoma"/>
          <w:szCs w:val="18"/>
          <w:lang w:val="de-DE"/>
        </w:rPr>
        <w:t>MSDN-Plattformen</w:t>
      </w:r>
    </w:p>
    <w:p w:rsidR="008D4EE5" w:rsidRPr="008657B1" w:rsidRDefault="008D4EE5" w:rsidP="008D4EE5">
      <w:pPr>
        <w:rPr>
          <w:lang w:val="de-DE"/>
        </w:rPr>
      </w:pPr>
    </w:p>
    <w:p w:rsidR="008D4EE5" w:rsidRPr="008657B1" w:rsidRDefault="008D4EE5" w:rsidP="008D4EE5">
      <w:pPr>
        <w:spacing w:after="60"/>
        <w:rPr>
          <w:lang w:val="de-DE"/>
        </w:rPr>
      </w:pPr>
      <w:r w:rsidRPr="008657B1">
        <w:rPr>
          <w:b/>
          <w:lang w:val="de-DE"/>
        </w:rPr>
        <w:t>Promotions</w:t>
      </w:r>
    </w:p>
    <w:p w:rsidR="008D4EE5" w:rsidRPr="008657B1" w:rsidRDefault="008D4EE5" w:rsidP="008D4EE5">
      <w:pPr>
        <w:rPr>
          <w:lang w:val="de-DE"/>
        </w:rPr>
      </w:pPr>
      <w:r w:rsidRPr="008657B1">
        <w:rPr>
          <w:rFonts w:cs="Tahoma"/>
          <w:color w:val="000000"/>
          <w:szCs w:val="18"/>
          <w:lang w:val="de-DE"/>
        </w:rPr>
        <w:t>Keine Änderungen an den Promotions</w:t>
      </w:r>
    </w:p>
    <w:p w:rsidR="008D4EE5" w:rsidRPr="008657B1" w:rsidRDefault="008D4EE5" w:rsidP="008D4EE5">
      <w:pPr>
        <w:spacing w:after="60"/>
        <w:rPr>
          <w:lang w:val="de-DE"/>
        </w:rPr>
      </w:pPr>
      <w:r w:rsidRPr="008657B1">
        <w:rPr>
          <w:rFonts w:cs="Tahoma"/>
          <w:szCs w:val="18"/>
          <w:lang w:val="de-DE"/>
        </w:rPr>
        <w:br/>
      </w:r>
      <w:r w:rsidRPr="008657B1">
        <w:rPr>
          <w:b/>
          <w:lang w:val="de-DE"/>
        </w:rPr>
        <w:t>Streichungen</w:t>
      </w:r>
    </w:p>
    <w:p w:rsidR="008D4EE5" w:rsidRPr="008657B1" w:rsidRDefault="008D4EE5" w:rsidP="008D4EE5">
      <w:pPr>
        <w:rPr>
          <w:lang w:val="de-DE"/>
        </w:rPr>
      </w:pPr>
      <w:r w:rsidRPr="008657B1">
        <w:rPr>
          <w:rFonts w:cs="Tahoma"/>
          <w:color w:val="000000"/>
          <w:szCs w:val="20"/>
          <w:lang w:val="de-DE"/>
        </w:rPr>
        <w:t>Web-Antimalware-Abonnement für Forefront TMG</w:t>
      </w:r>
    </w:p>
    <w:p w:rsidR="008D4EE5" w:rsidRPr="008657B1" w:rsidRDefault="008D4EE5" w:rsidP="008D4EE5">
      <w:pPr>
        <w:pStyle w:val="Heading2"/>
        <w:ind w:left="0"/>
        <w:jc w:val="both"/>
        <w:rPr>
          <w:lang w:val="de-DE"/>
        </w:rPr>
      </w:pPr>
      <w:bookmarkStart w:id="588" w:name="_Toc363998912"/>
      <w:r w:rsidRPr="008657B1">
        <w:rPr>
          <w:rFonts w:ascii="Tahoma" w:hAnsi="Tahoma" w:cs="Tahoma"/>
          <w:color w:val="FF6600"/>
          <w:lang w:val="de-DE"/>
        </w:rPr>
        <w:t>MAI 2013 – ÄNDERUNGEN</w:t>
      </w:r>
      <w:bookmarkEnd w:id="588"/>
    </w:p>
    <w:p w:rsidR="008D4EE5" w:rsidRPr="008657B1" w:rsidRDefault="008D4EE5" w:rsidP="008D4EE5">
      <w:pPr>
        <w:pStyle w:val="Heading2"/>
        <w:ind w:left="0"/>
        <w:jc w:val="both"/>
        <w:rPr>
          <w:lang w:val="de-DE"/>
        </w:rPr>
      </w:pPr>
    </w:p>
    <w:p w:rsidR="008D4EE5" w:rsidRPr="008657B1" w:rsidRDefault="008D4EE5" w:rsidP="008D4EE5">
      <w:pPr>
        <w:spacing w:after="60"/>
        <w:rPr>
          <w:lang w:val="de-DE"/>
        </w:rPr>
      </w:pPr>
      <w:r w:rsidRPr="008657B1">
        <w:rPr>
          <w:b/>
          <w:lang w:val="de-DE"/>
        </w:rPr>
        <w:t>Hinzufügungen</w:t>
      </w:r>
    </w:p>
    <w:p w:rsidR="008D4EE5" w:rsidRPr="008657B1" w:rsidRDefault="008D4EE5" w:rsidP="008D4EE5">
      <w:pPr>
        <w:rPr>
          <w:lang w:val="de-DE"/>
        </w:rPr>
      </w:pPr>
      <w:r w:rsidRPr="008657B1">
        <w:rPr>
          <w:lang w:val="de-DE"/>
        </w:rPr>
        <w:t>Learning Solutions MCP 30 Prüfungsgutscheine (Nutzer-AL)</w:t>
      </w:r>
    </w:p>
    <w:p w:rsidR="008D4EE5" w:rsidRPr="008657B1" w:rsidRDefault="008D4EE5" w:rsidP="008D4EE5">
      <w:pPr>
        <w:rPr>
          <w:lang w:val="de-DE"/>
        </w:rPr>
      </w:pPr>
      <w:r w:rsidRPr="008657B1">
        <w:rPr>
          <w:lang w:val="de-DE"/>
        </w:rPr>
        <w:t>Learning Solutions MOS 500 Zertifizierungsprüfungs-Website (Dienste-AL)</w:t>
      </w:r>
    </w:p>
    <w:p w:rsidR="008D4EE5" w:rsidRPr="008657B1" w:rsidRDefault="008D4EE5" w:rsidP="008D4EE5">
      <w:pPr>
        <w:rPr>
          <w:lang w:val="de-DE"/>
        </w:rPr>
      </w:pPr>
      <w:r w:rsidRPr="008657B1">
        <w:rPr>
          <w:lang w:val="de-DE"/>
        </w:rPr>
        <w:t>Learning Solutions MTA 250 Zertifizierungsprüfungs-Website (Dienste-AL)</w:t>
      </w:r>
    </w:p>
    <w:p w:rsidR="008D4EE5" w:rsidRPr="008657B1" w:rsidRDefault="008D4EE5" w:rsidP="008D4EE5">
      <w:pPr>
        <w:rPr>
          <w:lang w:val="de-DE"/>
        </w:rPr>
      </w:pPr>
    </w:p>
    <w:p w:rsidR="008D4EE5" w:rsidRPr="008657B1" w:rsidRDefault="008D4EE5" w:rsidP="008D4EE5">
      <w:pPr>
        <w:spacing w:after="60"/>
        <w:rPr>
          <w:lang w:val="de-DE"/>
        </w:rPr>
      </w:pPr>
      <w:r w:rsidRPr="008657B1">
        <w:rPr>
          <w:b/>
          <w:lang w:val="de-DE"/>
        </w:rPr>
        <w:t>Änderungen</w:t>
      </w:r>
    </w:p>
    <w:p w:rsidR="008D4EE5" w:rsidRPr="008657B1" w:rsidRDefault="008D4EE5" w:rsidP="008D4EE5">
      <w:pPr>
        <w:rPr>
          <w:lang w:val="de-DE"/>
        </w:rPr>
      </w:pPr>
      <w:r w:rsidRPr="008657B1">
        <w:rPr>
          <w:lang w:val="de-DE"/>
        </w:rPr>
        <w:t>Learning Solutions MCP 1 Prüfungsgutschein (Dienste-AL)</w:t>
      </w:r>
    </w:p>
    <w:p w:rsidR="008D4EE5" w:rsidRPr="008657B1" w:rsidRDefault="008D4EE5" w:rsidP="008D4EE5">
      <w:pPr>
        <w:rPr>
          <w:lang w:val="de-DE"/>
        </w:rPr>
      </w:pPr>
      <w:r w:rsidRPr="008657B1">
        <w:rPr>
          <w:lang w:val="de-DE"/>
        </w:rPr>
        <w:t>Windows Companion-Abonnementlizenz</w:t>
      </w:r>
    </w:p>
    <w:p w:rsidR="008D4EE5" w:rsidRPr="008657B1" w:rsidRDefault="008D4EE5" w:rsidP="008D4EE5">
      <w:pPr>
        <w:rPr>
          <w:lang w:val="de-DE"/>
        </w:rPr>
      </w:pPr>
      <w:r w:rsidRPr="008657B1">
        <w:rPr>
          <w:lang w:val="de-DE"/>
        </w:rPr>
        <w:t>Windows Desktop Optimization Pack für Software Assurance</w:t>
      </w:r>
    </w:p>
    <w:p w:rsidR="008D4EE5" w:rsidRPr="0062435A" w:rsidRDefault="008D4EE5" w:rsidP="008D4EE5">
      <w:r>
        <w:t>Windows 8 Enterprise Sideloading (100 Pack)</w:t>
      </w:r>
    </w:p>
    <w:p w:rsidR="008D4EE5" w:rsidRPr="0062435A" w:rsidRDefault="008D4EE5" w:rsidP="008D4EE5">
      <w:r>
        <w:t>Windows</w:t>
      </w:r>
      <w:r w:rsidR="0069040B" w:rsidRPr="0069040B">
        <w:rPr>
          <w:vertAlign w:val="superscript"/>
        </w:rPr>
        <w:t>®</w:t>
      </w:r>
      <w:r>
        <w:t xml:space="preserve"> 8 Pro mit MDOP</w:t>
      </w:r>
    </w:p>
    <w:p w:rsidR="008D4EE5" w:rsidRPr="0062435A" w:rsidRDefault="008D4EE5" w:rsidP="008D4EE5"/>
    <w:p w:rsidR="008D4EE5" w:rsidRPr="0062435A" w:rsidRDefault="008D4EE5" w:rsidP="008D4EE5"/>
    <w:p w:rsidR="008D4EE5" w:rsidRPr="0062435A" w:rsidRDefault="008D4EE5" w:rsidP="008D4EE5">
      <w:pPr>
        <w:pStyle w:val="Heading2"/>
        <w:ind w:left="0"/>
        <w:jc w:val="both"/>
      </w:pPr>
      <w:bookmarkStart w:id="589" w:name="_Toc363998913"/>
      <w:r>
        <w:rPr>
          <w:rFonts w:ascii="Tahoma" w:hAnsi="Tahoma" w:cs="Tahoma"/>
          <w:color w:val="FF6600"/>
        </w:rPr>
        <w:t>ÄNDERUNGEN IM APRIL 2013</w:t>
      </w:r>
      <w:bookmarkEnd w:id="589"/>
    </w:p>
    <w:p w:rsidR="008D4EE5" w:rsidRPr="0062435A" w:rsidRDefault="008D4EE5" w:rsidP="008D4EE5">
      <w:pPr>
        <w:pStyle w:val="Heading2"/>
        <w:ind w:left="0"/>
        <w:jc w:val="both"/>
      </w:pPr>
    </w:p>
    <w:p w:rsidR="008D4EE5" w:rsidRPr="0062435A" w:rsidRDefault="008D4EE5" w:rsidP="008D4EE5">
      <w:pPr>
        <w:spacing w:after="60"/>
      </w:pPr>
      <w:r>
        <w:rPr>
          <w:b/>
        </w:rPr>
        <w:t>Hinzufügungen</w:t>
      </w:r>
    </w:p>
    <w:p w:rsidR="008D4EE5" w:rsidRPr="0062435A" w:rsidRDefault="008D4EE5" w:rsidP="008D4EE5">
      <w:r>
        <w:t>Bing Maps Consumer Tracked Per Asset Monthly Sub</w:t>
      </w:r>
    </w:p>
    <w:p w:rsidR="008D4EE5" w:rsidRPr="008657B1" w:rsidRDefault="008D4EE5" w:rsidP="008D4EE5">
      <w:pPr>
        <w:rPr>
          <w:lang w:val="de-DE"/>
        </w:rPr>
      </w:pPr>
      <w:r w:rsidRPr="008657B1">
        <w:rPr>
          <w:lang w:val="de-DE"/>
        </w:rPr>
        <w:t>Bing Maps Desktop mit erweitertem Inhaltspaket</w:t>
      </w:r>
    </w:p>
    <w:p w:rsidR="008D4EE5" w:rsidRPr="0062435A" w:rsidRDefault="008D4EE5" w:rsidP="008D4EE5">
      <w:r>
        <w:t>Bing Maps for Enterprise Platform Fee Monthly Sub</w:t>
      </w:r>
    </w:p>
    <w:p w:rsidR="008D4EE5" w:rsidRPr="0062435A" w:rsidRDefault="008D4EE5" w:rsidP="008D4EE5">
      <w:r>
        <w:t>Bing Maps Public Website Usage 100K Transactions Monthly Sub</w:t>
      </w:r>
    </w:p>
    <w:p w:rsidR="008D4EE5" w:rsidRPr="0062435A" w:rsidRDefault="008D4EE5" w:rsidP="008D4EE5">
      <w:r>
        <w:t>Bing Maps Public Website Usage 250K Transactions Monthly Sub</w:t>
      </w:r>
    </w:p>
    <w:p w:rsidR="008D4EE5" w:rsidRPr="0062435A" w:rsidRDefault="008D4EE5" w:rsidP="008D4EE5">
      <w:r>
        <w:t>Bing Maps Public Website Usage 420K Transactions Monthly Sub</w:t>
      </w:r>
    </w:p>
    <w:p w:rsidR="008D4EE5" w:rsidRPr="0062435A" w:rsidRDefault="008D4EE5" w:rsidP="008D4EE5">
      <w:r>
        <w:t>Bing Maps Public Website Usage 840K Transactions Monthly Sub</w:t>
      </w:r>
    </w:p>
    <w:p w:rsidR="008D4EE5" w:rsidRPr="0062435A" w:rsidRDefault="008D4EE5" w:rsidP="008D4EE5">
      <w:r>
        <w:t>Bing Maps Public Website Usage 2</w:t>
      </w:r>
      <w:r w:rsidR="00844B7C">
        <w:t>.</w:t>
      </w:r>
      <w:r>
        <w:t>5m Transactions Monthly Sub</w:t>
      </w:r>
    </w:p>
    <w:p w:rsidR="008D4EE5" w:rsidRPr="0062435A" w:rsidRDefault="008D4EE5" w:rsidP="008D4EE5">
      <w:r>
        <w:t>Bing Maps Public Website Usage 4</w:t>
      </w:r>
      <w:r w:rsidR="00844B7C">
        <w:t>.</w:t>
      </w:r>
      <w:r>
        <w:t>2m Transactions Monthly Sub</w:t>
      </w:r>
    </w:p>
    <w:p w:rsidR="008D4EE5" w:rsidRPr="0062435A" w:rsidRDefault="008D4EE5" w:rsidP="008D4EE5">
      <w:r>
        <w:t>Bing Maps Public Website Usage 8</w:t>
      </w:r>
      <w:r w:rsidR="00844B7C">
        <w:t>.</w:t>
      </w:r>
      <w:r>
        <w:t>4m Transactions Monthly Sub</w:t>
      </w:r>
    </w:p>
    <w:p w:rsidR="008D4EE5" w:rsidRPr="0062435A" w:rsidRDefault="008D4EE5" w:rsidP="008D4EE5">
      <w:r>
        <w:t>Bing Maps Public Website Usage Unlimited Transactions Monthly Sub</w:t>
      </w:r>
    </w:p>
    <w:p w:rsidR="008D4EE5" w:rsidRPr="0062435A" w:rsidRDefault="008D4EE5" w:rsidP="008D4EE5">
      <w:r>
        <w:t>Bing Maps Internal Website Usage 100K Transactions Monthly Sub</w:t>
      </w:r>
    </w:p>
    <w:p w:rsidR="008D4EE5" w:rsidRPr="0062435A" w:rsidRDefault="008D4EE5" w:rsidP="008D4EE5">
      <w:r>
        <w:t>Bing Maps Internal Website Usage 250K Transactions Monthly Sub</w:t>
      </w:r>
    </w:p>
    <w:p w:rsidR="008D4EE5" w:rsidRPr="0062435A" w:rsidRDefault="008D4EE5" w:rsidP="008D4EE5">
      <w:r>
        <w:t>Bing Maps Internal Website Usage 420K Transactions Monthly Sub</w:t>
      </w:r>
    </w:p>
    <w:p w:rsidR="008D4EE5" w:rsidRPr="0062435A" w:rsidRDefault="008D4EE5" w:rsidP="008D4EE5">
      <w:r>
        <w:t>Bing Maps Internal Website Usage 1</w:t>
      </w:r>
      <w:r w:rsidR="00844B7C">
        <w:t>.</w:t>
      </w:r>
      <w:r>
        <w:t>25m Transactions Monthly Sub</w:t>
      </w:r>
    </w:p>
    <w:p w:rsidR="008D4EE5" w:rsidRPr="0062435A" w:rsidRDefault="008D4EE5" w:rsidP="008D4EE5">
      <w:r>
        <w:t>Bing Maps Internal Website Usage 2</w:t>
      </w:r>
      <w:r w:rsidR="00844B7C">
        <w:t>.</w:t>
      </w:r>
      <w:r>
        <w:t>1m Transactions Monthly Sub</w:t>
      </w:r>
    </w:p>
    <w:p w:rsidR="008D4EE5" w:rsidRPr="0062435A" w:rsidRDefault="008D4EE5" w:rsidP="008D4EE5">
      <w:r>
        <w:t>Bing Maps Internal Website Usage Unlimited Transactions Monthly Sub</w:t>
      </w:r>
    </w:p>
    <w:p w:rsidR="008D4EE5" w:rsidRPr="0062435A" w:rsidRDefault="008D4EE5" w:rsidP="008D4EE5">
      <w:r>
        <w:t>Bing Maps Known Per User Monthly Sub</w:t>
      </w:r>
    </w:p>
    <w:p w:rsidR="008D4EE5" w:rsidRPr="0062435A" w:rsidRDefault="008D4EE5" w:rsidP="008D4EE5">
      <w:r>
        <w:t>Bing Maps Known 5K User Bundle Monthly Sub</w:t>
      </w:r>
    </w:p>
    <w:p w:rsidR="008D4EE5" w:rsidRPr="0062435A" w:rsidRDefault="008D4EE5" w:rsidP="008D4EE5">
      <w:r>
        <w:t>Bing Maps Light Known Per User Monthly Sub</w:t>
      </w:r>
    </w:p>
    <w:p w:rsidR="008D4EE5" w:rsidRPr="0062435A" w:rsidRDefault="008D4EE5" w:rsidP="008D4EE5">
      <w:r>
        <w:t>Bing Maps Light Known 5K User Bundle Monthly Sub</w:t>
      </w:r>
    </w:p>
    <w:p w:rsidR="008D4EE5" w:rsidRPr="0062435A" w:rsidRDefault="008D4EE5" w:rsidP="008D4EE5">
      <w:r>
        <w:t>Bing Maps Mobile Asset Management Platform Fee Monthly Sub</w:t>
      </w:r>
    </w:p>
    <w:p w:rsidR="008D4EE5" w:rsidRPr="0062435A" w:rsidRDefault="008D4EE5" w:rsidP="008D4EE5">
      <w:r>
        <w:t>Bing Maps Mobile Asset Management NA mit Routing Per Asset Monthly Sub</w:t>
      </w:r>
    </w:p>
    <w:p w:rsidR="008D4EE5" w:rsidRPr="0062435A" w:rsidRDefault="008D4EE5" w:rsidP="008D4EE5">
      <w:r>
        <w:t>Bing Maps Mobile Asset Management NA ohne Routing Per Asset Monthly Sub</w:t>
      </w:r>
    </w:p>
    <w:p w:rsidR="008D4EE5" w:rsidRPr="0062435A" w:rsidRDefault="008D4EE5" w:rsidP="008D4EE5">
      <w:r>
        <w:t>Bing Maps Mobile Asset Management Europe mit Routing Per Asset Monthly Sub</w:t>
      </w:r>
    </w:p>
    <w:p w:rsidR="008D4EE5" w:rsidRPr="0062435A" w:rsidRDefault="008D4EE5" w:rsidP="008D4EE5">
      <w:r>
        <w:t>Bing Maps Mobile Asset Management Europe ohne Routing Per Asset Monthly Sub</w:t>
      </w:r>
    </w:p>
    <w:p w:rsidR="008D4EE5" w:rsidRPr="0062435A" w:rsidRDefault="008D4EE5" w:rsidP="008D4EE5">
      <w:r>
        <w:t>Bing Maps Server</w:t>
      </w:r>
    </w:p>
    <w:p w:rsidR="008D4EE5" w:rsidRPr="0062435A" w:rsidRDefault="008D4EE5" w:rsidP="008D4EE5">
      <w:r>
        <w:t>BizTalk</w:t>
      </w:r>
      <w:r w:rsidR="0069040B" w:rsidRPr="0069040B">
        <w:rPr>
          <w:vertAlign w:val="superscript"/>
        </w:rPr>
        <w:t>®</w:t>
      </w:r>
      <w:r>
        <w:t xml:space="preserve"> Server 2013 Enterprise Edition </w:t>
      </w:r>
    </w:p>
    <w:p w:rsidR="008D4EE5" w:rsidRPr="0062435A" w:rsidRDefault="008D4EE5" w:rsidP="008D4EE5">
      <w:r>
        <w:t>BizTalk</w:t>
      </w:r>
      <w:r w:rsidR="0069040B" w:rsidRPr="0069040B">
        <w:rPr>
          <w:vertAlign w:val="superscript"/>
        </w:rPr>
        <w:t>®</w:t>
      </w:r>
      <w:r>
        <w:t xml:space="preserve"> Server 2013 Standard Edition </w:t>
      </w:r>
    </w:p>
    <w:p w:rsidR="008D4EE5" w:rsidRPr="0062435A" w:rsidRDefault="008D4EE5" w:rsidP="008D4EE5">
      <w:r>
        <w:t>BizTalk</w:t>
      </w:r>
      <w:r w:rsidR="0069040B" w:rsidRPr="0069040B">
        <w:rPr>
          <w:vertAlign w:val="superscript"/>
        </w:rPr>
        <w:t>®</w:t>
      </w:r>
      <w:r>
        <w:t xml:space="preserve"> Server 2013 Branch</w:t>
      </w:r>
    </w:p>
    <w:p w:rsidR="008D4EE5" w:rsidRPr="0062435A" w:rsidRDefault="008D4EE5" w:rsidP="008D4EE5">
      <w:r>
        <w:t>BizTalk</w:t>
      </w:r>
      <w:r w:rsidR="0069040B" w:rsidRPr="0069040B">
        <w:rPr>
          <w:vertAlign w:val="superscript"/>
        </w:rPr>
        <w:t>®</w:t>
      </w:r>
      <w:r>
        <w:t xml:space="preserve"> Server 2013 Branch IDC </w:t>
      </w:r>
    </w:p>
    <w:p w:rsidR="008D4EE5" w:rsidRPr="0062435A" w:rsidRDefault="008D4EE5" w:rsidP="008D4EE5">
      <w:r>
        <w:t>BizTalk</w:t>
      </w:r>
      <w:r w:rsidR="0069040B" w:rsidRPr="0069040B">
        <w:rPr>
          <w:vertAlign w:val="superscript"/>
        </w:rPr>
        <w:t>®</w:t>
      </w:r>
      <w:r>
        <w:t xml:space="preserve"> Server 2013 Standard Edition IDC </w:t>
      </w:r>
    </w:p>
    <w:p w:rsidR="008D4EE5" w:rsidRPr="0062435A" w:rsidRDefault="008D4EE5" w:rsidP="008D4EE5">
      <w:r>
        <w:t>Office 365 Enterprise E1 (Nutzer-AL) (Anwendungs-Pool)</w:t>
      </w:r>
    </w:p>
    <w:p w:rsidR="008D4EE5" w:rsidRPr="008657B1" w:rsidRDefault="008D4EE5" w:rsidP="008D4EE5">
      <w:pPr>
        <w:rPr>
          <w:lang w:val="de-DE"/>
        </w:rPr>
      </w:pPr>
      <w:r w:rsidRPr="008657B1">
        <w:rPr>
          <w:lang w:val="de-DE"/>
        </w:rPr>
        <w:t>Office 365 Enterprise E2 (Nutzer-AL) (Anwendungs-Pool)</w:t>
      </w:r>
    </w:p>
    <w:p w:rsidR="008D4EE5" w:rsidRPr="008657B1" w:rsidRDefault="008D4EE5" w:rsidP="008D4EE5">
      <w:pPr>
        <w:rPr>
          <w:lang w:val="de-DE"/>
        </w:rPr>
      </w:pPr>
      <w:r w:rsidRPr="008657B1">
        <w:rPr>
          <w:lang w:val="de-DE"/>
        </w:rPr>
        <w:t>Office 365 Enterprise E3 (Nutzer-AL) (Anwendungs-Pool)</w:t>
      </w:r>
    </w:p>
    <w:p w:rsidR="008D4EE5" w:rsidRPr="008657B1" w:rsidRDefault="008D4EE5" w:rsidP="008D4EE5">
      <w:pPr>
        <w:rPr>
          <w:lang w:val="de-DE"/>
        </w:rPr>
      </w:pPr>
      <w:r w:rsidRPr="008657B1">
        <w:rPr>
          <w:lang w:val="de-DE"/>
        </w:rPr>
        <w:t>Office 365 Enterprise E4 (Nutzer-AL) (Anwendungs-Pool)</w:t>
      </w:r>
    </w:p>
    <w:p w:rsidR="008D4EE5" w:rsidRPr="0062435A" w:rsidRDefault="008D4EE5" w:rsidP="008D4EE5">
      <w:r>
        <w:t>Office 365 Education A2 (Nutzer-AL) (Anwendungs-Pool)</w:t>
      </w:r>
    </w:p>
    <w:p w:rsidR="008D4EE5" w:rsidRPr="0062435A" w:rsidRDefault="008D4EE5" w:rsidP="008D4EE5">
      <w:r>
        <w:t>Office 365 Education A3 (Nutzer-AL) (Anwendungs-Pool)</w:t>
      </w:r>
    </w:p>
    <w:p w:rsidR="008D4EE5" w:rsidRPr="0062435A" w:rsidRDefault="008D4EE5" w:rsidP="008D4EE5">
      <w:r>
        <w:t>Office 365 Education A4 (Nutzer-AL) (Anwendungs-Pool)</w:t>
      </w:r>
    </w:p>
    <w:p w:rsidR="008D4EE5" w:rsidRPr="0062435A" w:rsidRDefault="008D4EE5" w:rsidP="008D4EE5">
      <w:r>
        <w:t>Office 365 Enterprise E1 (Nutzer-AL) (Server-Pool)</w:t>
      </w:r>
    </w:p>
    <w:p w:rsidR="008D4EE5" w:rsidRPr="0062435A" w:rsidRDefault="008D4EE5" w:rsidP="008D4EE5">
      <w:r>
        <w:t>Office 365 Enterprise E2 (Nutzer-AL) (Server-Pool)</w:t>
      </w:r>
    </w:p>
    <w:p w:rsidR="008D4EE5" w:rsidRPr="0062435A" w:rsidRDefault="008D4EE5" w:rsidP="008D4EE5">
      <w:r>
        <w:t>Office 365 Enterprise E3 (Nutzer-AL) (Server-Pool)</w:t>
      </w:r>
    </w:p>
    <w:p w:rsidR="008D4EE5" w:rsidRPr="0062435A" w:rsidRDefault="008D4EE5" w:rsidP="008D4EE5">
      <w:r>
        <w:t>Office 365 Enterprise E4 (Nutzer-AL) (Server-Pool)</w:t>
      </w:r>
    </w:p>
    <w:p w:rsidR="008D4EE5" w:rsidRPr="0062435A" w:rsidRDefault="008D4EE5" w:rsidP="008D4EE5">
      <w:r>
        <w:t>Office 365 Government G1 (Nutzer-AL) (Server-Pool)</w:t>
      </w:r>
    </w:p>
    <w:p w:rsidR="008D4EE5" w:rsidRPr="0062435A" w:rsidRDefault="008D4EE5" w:rsidP="008D4EE5">
      <w:r>
        <w:t>Office 365 Government G2 (Nutzer-AL) (Server-Pool)</w:t>
      </w:r>
    </w:p>
    <w:p w:rsidR="008D4EE5" w:rsidRPr="0062435A" w:rsidRDefault="008D4EE5" w:rsidP="008D4EE5">
      <w:r>
        <w:t>Office 365 Government G3 (Nutzer-AL) (Server-Pool)</w:t>
      </w:r>
    </w:p>
    <w:p w:rsidR="008D4EE5" w:rsidRPr="0062435A" w:rsidRDefault="008D4EE5" w:rsidP="008D4EE5">
      <w:r>
        <w:t>Office 365 Government G4 (Nutzer-AL) (Server-Pool)</w:t>
      </w:r>
    </w:p>
    <w:p w:rsidR="008D4EE5" w:rsidRPr="0062435A" w:rsidRDefault="008D4EE5" w:rsidP="008D4EE5">
      <w:r>
        <w:t>Office 365 Enterprise K1 (Nutzer-AL) (Server-Pool)</w:t>
      </w:r>
    </w:p>
    <w:p w:rsidR="008D4EE5" w:rsidRPr="0062435A" w:rsidRDefault="008D4EE5" w:rsidP="008D4EE5">
      <w:r>
        <w:t>Office 365 Enterprise K2 (Nutzer-AL) (Server-Pool)</w:t>
      </w:r>
    </w:p>
    <w:p w:rsidR="008D4EE5" w:rsidRPr="0062435A" w:rsidRDefault="008D4EE5" w:rsidP="008D4EE5">
      <w:r>
        <w:t>Office 365 ProPlus SA-Übergang (Nutzer-AL) (Anwendungs-Pool)</w:t>
      </w:r>
    </w:p>
    <w:p w:rsidR="008D4EE5" w:rsidRPr="0062435A" w:rsidRDefault="008D4EE5" w:rsidP="008D4EE5">
      <w:r>
        <w:t>Microsoft Desktop Optimization Pack für 2013 Software Assurance</w:t>
      </w:r>
    </w:p>
    <w:p w:rsidR="008D4EE5" w:rsidRPr="008657B1" w:rsidRDefault="008D4EE5" w:rsidP="008D4EE5">
      <w:pPr>
        <w:rPr>
          <w:lang w:val="de-DE"/>
        </w:rPr>
      </w:pPr>
      <w:r w:rsidRPr="008657B1">
        <w:rPr>
          <w:lang w:val="de-DE"/>
        </w:rPr>
        <w:t>Globaler System Center-Dienstmonitor</w:t>
      </w:r>
    </w:p>
    <w:p w:rsidR="008D4EE5" w:rsidRPr="008657B1" w:rsidRDefault="008D4EE5" w:rsidP="008D4EE5">
      <w:pPr>
        <w:rPr>
          <w:lang w:val="de-DE"/>
        </w:rPr>
      </w:pPr>
      <w:r w:rsidRPr="008657B1">
        <w:rPr>
          <w:lang w:val="de-DE"/>
        </w:rPr>
        <w:t>Vexcel Desktop mit Erweitertem Inhaltspaket</w:t>
      </w:r>
    </w:p>
    <w:p w:rsidR="008D4EE5" w:rsidRPr="008657B1" w:rsidRDefault="008D4EE5" w:rsidP="008D4EE5">
      <w:pPr>
        <w:rPr>
          <w:lang w:val="de-DE"/>
        </w:rPr>
      </w:pPr>
      <w:r w:rsidRPr="008657B1">
        <w:rPr>
          <w:lang w:val="de-DE"/>
        </w:rPr>
        <w:t>Vexcel Server</w:t>
      </w:r>
    </w:p>
    <w:p w:rsidR="008D4EE5" w:rsidRPr="008657B1" w:rsidRDefault="008D4EE5" w:rsidP="008D4EE5">
      <w:pPr>
        <w:rPr>
          <w:lang w:val="de-DE"/>
        </w:rPr>
      </w:pPr>
      <w:r w:rsidRPr="008657B1">
        <w:rPr>
          <w:lang w:val="de-DE"/>
        </w:rPr>
        <w:t>Vexcel Server mit Erweitertem Inhaltspaket</w:t>
      </w:r>
    </w:p>
    <w:p w:rsidR="008D4EE5" w:rsidRPr="008657B1" w:rsidRDefault="008D4EE5" w:rsidP="008D4EE5">
      <w:pPr>
        <w:spacing w:after="60"/>
        <w:rPr>
          <w:lang w:val="de-DE"/>
        </w:rPr>
      </w:pPr>
    </w:p>
    <w:p w:rsidR="008D4EE5" w:rsidRPr="008657B1" w:rsidRDefault="008D4EE5" w:rsidP="008D4EE5">
      <w:pPr>
        <w:spacing w:after="60"/>
        <w:rPr>
          <w:lang w:val="de-DE"/>
        </w:rPr>
      </w:pPr>
      <w:r w:rsidRPr="008657B1">
        <w:rPr>
          <w:b/>
          <w:lang w:val="de-DE"/>
        </w:rPr>
        <w:t>Änderungen</w:t>
      </w:r>
    </w:p>
    <w:p w:rsidR="008D4EE5" w:rsidRPr="008657B1" w:rsidRDefault="008D4EE5" w:rsidP="008D4EE5">
      <w:pPr>
        <w:rPr>
          <w:lang w:val="de-DE"/>
        </w:rPr>
      </w:pPr>
      <w:r w:rsidRPr="008657B1">
        <w:rPr>
          <w:lang w:val="de-DE"/>
        </w:rPr>
        <w:t>Bing Maps Standard (Nutzer-AL)</w:t>
      </w:r>
    </w:p>
    <w:p w:rsidR="008D4EE5" w:rsidRPr="008657B1" w:rsidRDefault="008D4EE5" w:rsidP="008D4EE5">
      <w:pPr>
        <w:rPr>
          <w:lang w:val="de-DE"/>
        </w:rPr>
      </w:pPr>
      <w:r w:rsidRPr="008657B1">
        <w:rPr>
          <w:lang w:val="de-DE"/>
        </w:rPr>
        <w:t>Office 365 Plan E1 (Nutzer-AL) (Anwendungs-Pool)</w:t>
      </w:r>
    </w:p>
    <w:p w:rsidR="008D4EE5" w:rsidRPr="008657B1" w:rsidRDefault="008D4EE5" w:rsidP="008D4EE5">
      <w:pPr>
        <w:rPr>
          <w:lang w:val="de-DE"/>
        </w:rPr>
      </w:pPr>
      <w:r w:rsidRPr="008657B1">
        <w:rPr>
          <w:lang w:val="de-DE"/>
        </w:rPr>
        <w:t>Office 365 Plan E2 (Nutzer-AL) (Anwendungs-Pool)</w:t>
      </w:r>
    </w:p>
    <w:p w:rsidR="008D4EE5" w:rsidRPr="008657B1" w:rsidRDefault="008D4EE5" w:rsidP="008D4EE5">
      <w:pPr>
        <w:rPr>
          <w:lang w:val="de-DE"/>
        </w:rPr>
      </w:pPr>
      <w:r w:rsidRPr="008657B1">
        <w:rPr>
          <w:lang w:val="de-DE"/>
        </w:rPr>
        <w:t>Office 365 Plan E3 (Nutzer-AL) (Anwendungs-Pool)</w:t>
      </w:r>
    </w:p>
    <w:p w:rsidR="008D4EE5" w:rsidRPr="008657B1" w:rsidRDefault="008D4EE5" w:rsidP="008D4EE5">
      <w:pPr>
        <w:rPr>
          <w:lang w:val="de-DE"/>
        </w:rPr>
      </w:pPr>
      <w:r w:rsidRPr="008657B1">
        <w:rPr>
          <w:lang w:val="de-DE"/>
        </w:rPr>
        <w:t>Office 365 Plan E4 (Nutzer-AL) (Anwendungs-Pool)</w:t>
      </w:r>
    </w:p>
    <w:p w:rsidR="008D4EE5" w:rsidRPr="008657B1" w:rsidRDefault="008D4EE5" w:rsidP="008D4EE5">
      <w:pPr>
        <w:rPr>
          <w:lang w:val="de-DE"/>
        </w:rPr>
      </w:pPr>
      <w:r w:rsidRPr="008657B1">
        <w:rPr>
          <w:lang w:val="de-DE"/>
        </w:rPr>
        <w:t>Office 365 Plan A2 (Nutzer-AL) (Anwendungs-Pool)</w:t>
      </w:r>
    </w:p>
    <w:p w:rsidR="008D4EE5" w:rsidRPr="008657B1" w:rsidRDefault="008D4EE5" w:rsidP="008D4EE5">
      <w:pPr>
        <w:rPr>
          <w:lang w:val="de-DE"/>
        </w:rPr>
      </w:pPr>
      <w:r w:rsidRPr="008657B1">
        <w:rPr>
          <w:lang w:val="de-DE"/>
        </w:rPr>
        <w:t>Office 365 Plan A3 (Nutzer-AL) (Anwendungs-Pool)</w:t>
      </w:r>
    </w:p>
    <w:p w:rsidR="008D4EE5" w:rsidRPr="008657B1" w:rsidRDefault="008D4EE5" w:rsidP="008D4EE5">
      <w:pPr>
        <w:rPr>
          <w:lang w:val="de-DE"/>
        </w:rPr>
      </w:pPr>
      <w:r w:rsidRPr="008657B1">
        <w:rPr>
          <w:lang w:val="de-DE"/>
        </w:rPr>
        <w:t>Office 365 Plan A4 (Nutzer-AL) (Anwendungs-Pool)</w:t>
      </w:r>
    </w:p>
    <w:p w:rsidR="008D4EE5" w:rsidRPr="008657B1" w:rsidRDefault="008D4EE5" w:rsidP="008D4EE5">
      <w:pPr>
        <w:rPr>
          <w:lang w:val="de-DE"/>
        </w:rPr>
      </w:pPr>
      <w:r w:rsidRPr="008657B1">
        <w:rPr>
          <w:lang w:val="de-DE"/>
        </w:rPr>
        <w:t>Office 365 Plan E1 (Nutzer-AL) (Server-Pool)</w:t>
      </w:r>
    </w:p>
    <w:p w:rsidR="008D4EE5" w:rsidRPr="008657B1" w:rsidRDefault="008D4EE5" w:rsidP="008D4EE5">
      <w:pPr>
        <w:rPr>
          <w:lang w:val="de-DE"/>
        </w:rPr>
      </w:pPr>
      <w:r w:rsidRPr="008657B1">
        <w:rPr>
          <w:lang w:val="de-DE"/>
        </w:rPr>
        <w:t>Office 365 Plan E2 – E4 (Nutzer-AL) (Server-Pool)</w:t>
      </w:r>
    </w:p>
    <w:p w:rsidR="008D4EE5" w:rsidRPr="008657B1" w:rsidRDefault="008D4EE5" w:rsidP="008D4EE5">
      <w:pPr>
        <w:rPr>
          <w:lang w:val="de-DE"/>
        </w:rPr>
      </w:pPr>
      <w:r w:rsidRPr="008657B1">
        <w:rPr>
          <w:lang w:val="de-DE"/>
        </w:rPr>
        <w:t>Office 365 Plan G1 – G4 (Nutzer-AL) (Server-Pool)</w:t>
      </w:r>
    </w:p>
    <w:p w:rsidR="008D4EE5" w:rsidRPr="008657B1" w:rsidRDefault="008D4EE5" w:rsidP="008D4EE5">
      <w:pPr>
        <w:rPr>
          <w:lang w:val="de-DE"/>
        </w:rPr>
      </w:pPr>
      <w:r w:rsidRPr="008657B1">
        <w:rPr>
          <w:lang w:val="de-DE"/>
        </w:rPr>
        <w:t>Office 365 Plan K1 (Nutzer-AL) (Server-Pool)</w:t>
      </w:r>
    </w:p>
    <w:p w:rsidR="008D4EE5" w:rsidRPr="008657B1" w:rsidRDefault="008D4EE5" w:rsidP="008D4EE5">
      <w:pPr>
        <w:rPr>
          <w:lang w:val="de-DE"/>
        </w:rPr>
      </w:pPr>
      <w:r w:rsidRPr="008657B1">
        <w:rPr>
          <w:lang w:val="de-DE"/>
        </w:rPr>
        <w:t>Office 365 Plan K2 (Nutzer-AL) (Server-Pool)</w:t>
      </w:r>
    </w:p>
    <w:p w:rsidR="008D4EE5" w:rsidRPr="008657B1" w:rsidRDefault="008D4EE5" w:rsidP="008D4EE5">
      <w:pPr>
        <w:rPr>
          <w:lang w:val="de-DE"/>
        </w:rPr>
      </w:pPr>
      <w:r w:rsidRPr="008657B1">
        <w:rPr>
          <w:lang w:val="de-DE"/>
        </w:rPr>
        <w:t>System Center 2012 Endpoint Protection</w:t>
      </w:r>
    </w:p>
    <w:p w:rsidR="008D4EE5" w:rsidRPr="008657B1" w:rsidRDefault="008D4EE5" w:rsidP="008D4EE5">
      <w:pPr>
        <w:rPr>
          <w:lang w:val="de-DE"/>
        </w:rPr>
      </w:pPr>
      <w:r w:rsidRPr="008657B1">
        <w:rPr>
          <w:lang w:val="de-DE"/>
        </w:rPr>
        <w:t>BizTalk Server wechselt für die Version 2013 vom „Proc“- zum „Core“-Lizenzmodell</w:t>
      </w:r>
    </w:p>
    <w:p w:rsidR="008D4EE5" w:rsidRPr="008657B1" w:rsidRDefault="008D4EE5" w:rsidP="008D4EE5">
      <w:pPr>
        <w:rPr>
          <w:lang w:val="de-DE"/>
        </w:rPr>
      </w:pPr>
      <w:r w:rsidRPr="008657B1">
        <w:rPr>
          <w:lang w:val="de-DE"/>
        </w:rPr>
        <w:t>Entferntes Zusätzliches Produkt („A“) von Sys Ctr Endpoint Protection</w:t>
      </w:r>
    </w:p>
    <w:p w:rsidR="008D4EE5" w:rsidRPr="008657B1" w:rsidRDefault="008D4EE5" w:rsidP="008D4EE5">
      <w:pPr>
        <w:rPr>
          <w:lang w:val="de-DE"/>
        </w:rPr>
      </w:pPr>
      <w:r w:rsidRPr="008657B1">
        <w:rPr>
          <w:lang w:val="de-DE"/>
        </w:rPr>
        <w:t>Entferntes Professional aus dem Bing Maps Standard (Nutzer-AL)-Eintrag</w:t>
      </w:r>
    </w:p>
    <w:p w:rsidR="008D4EE5" w:rsidRPr="008657B1" w:rsidRDefault="008D4EE5" w:rsidP="008D4EE5">
      <w:pPr>
        <w:rPr>
          <w:lang w:val="de-DE"/>
        </w:rPr>
      </w:pPr>
    </w:p>
    <w:p w:rsidR="008D4EE5" w:rsidRPr="008657B1" w:rsidRDefault="008D4EE5" w:rsidP="008D4EE5">
      <w:pPr>
        <w:spacing w:after="60"/>
        <w:rPr>
          <w:lang w:val="de-DE"/>
        </w:rPr>
      </w:pPr>
      <w:r w:rsidRPr="008657B1">
        <w:rPr>
          <w:b/>
          <w:lang w:val="de-DE"/>
        </w:rPr>
        <w:t>Streichungen</w:t>
      </w:r>
    </w:p>
    <w:p w:rsidR="008D4EE5" w:rsidRPr="008657B1" w:rsidRDefault="008D4EE5" w:rsidP="008D4EE5">
      <w:pPr>
        <w:rPr>
          <w:lang w:val="de-DE"/>
        </w:rPr>
      </w:pPr>
      <w:r w:rsidRPr="008657B1">
        <w:rPr>
          <w:lang w:val="de-DE"/>
        </w:rPr>
        <w:t>Bing Maps 25</w:t>
      </w:r>
      <w:r w:rsidR="00844B7C">
        <w:rPr>
          <w:lang w:val="de-DE"/>
        </w:rPr>
        <w:t>.</w:t>
      </w:r>
      <w:r w:rsidRPr="008657B1">
        <w:rPr>
          <w:lang w:val="de-DE"/>
        </w:rPr>
        <w:t>000 Transaktionen (Add-On-AL)</w:t>
      </w:r>
    </w:p>
    <w:p w:rsidR="008D4EE5" w:rsidRPr="001614A1" w:rsidRDefault="008D4EE5" w:rsidP="008D4EE5">
      <w:pPr>
        <w:rPr>
          <w:lang w:val="de-DE"/>
        </w:rPr>
      </w:pPr>
      <w:r w:rsidRPr="001614A1">
        <w:rPr>
          <w:lang w:val="de-DE"/>
        </w:rPr>
        <w:t>Bing Maps 250</w:t>
      </w:r>
      <w:r w:rsidR="00844B7C">
        <w:rPr>
          <w:lang w:val="de-DE"/>
        </w:rPr>
        <w:t>.</w:t>
      </w:r>
      <w:r w:rsidRPr="001614A1">
        <w:rPr>
          <w:lang w:val="de-DE"/>
        </w:rPr>
        <w:t>000 Transaktionen (Add-On-AL)</w:t>
      </w:r>
    </w:p>
    <w:p w:rsidR="008D4EE5" w:rsidRPr="008657B1" w:rsidRDefault="008D4EE5" w:rsidP="008D4EE5">
      <w:pPr>
        <w:rPr>
          <w:lang w:val="de-DE"/>
        </w:rPr>
      </w:pPr>
      <w:r w:rsidRPr="008657B1">
        <w:rPr>
          <w:lang w:val="de-DE"/>
        </w:rPr>
        <w:t>Bing Maps Professional (Dienste-AL)</w:t>
      </w:r>
    </w:p>
    <w:p w:rsidR="008D4EE5" w:rsidRPr="008657B1" w:rsidRDefault="008D4EE5" w:rsidP="008D4EE5">
      <w:pPr>
        <w:rPr>
          <w:lang w:val="de-DE"/>
        </w:rPr>
      </w:pPr>
      <w:r w:rsidRPr="008657B1">
        <w:rPr>
          <w:lang w:val="de-DE"/>
        </w:rPr>
        <w:t>Bing Maps Desktop mit erweitertem Inhaltspaket</w:t>
      </w:r>
    </w:p>
    <w:p w:rsidR="008D4EE5" w:rsidRPr="008657B1" w:rsidRDefault="008D4EE5" w:rsidP="008D4EE5">
      <w:pPr>
        <w:rPr>
          <w:lang w:val="de-DE"/>
        </w:rPr>
      </w:pPr>
      <w:r w:rsidRPr="008657B1">
        <w:rPr>
          <w:lang w:val="de-DE"/>
        </w:rPr>
        <w:t>Bing Maps Server</w:t>
      </w:r>
    </w:p>
    <w:p w:rsidR="008D4EE5" w:rsidRPr="008657B1" w:rsidRDefault="008D4EE5" w:rsidP="008D4EE5">
      <w:pPr>
        <w:rPr>
          <w:lang w:val="de-DE"/>
        </w:rPr>
      </w:pPr>
      <w:r w:rsidRPr="008657B1">
        <w:rPr>
          <w:lang w:val="de-DE"/>
        </w:rPr>
        <w:t>Bing Maps mit Erweitertem Inhaltspaket</w:t>
      </w:r>
    </w:p>
    <w:p w:rsidR="008D4EE5" w:rsidRPr="008657B1" w:rsidRDefault="008D4EE5" w:rsidP="008D4EE5">
      <w:pPr>
        <w:rPr>
          <w:lang w:val="de-DE"/>
        </w:rPr>
      </w:pPr>
      <w:r w:rsidRPr="008657B1">
        <w:rPr>
          <w:lang w:val="de-DE"/>
        </w:rPr>
        <w:t>Bing Maps Unbegrenzte Transaktionen (Add-On-AL)</w:t>
      </w:r>
    </w:p>
    <w:p w:rsidR="008D4EE5" w:rsidRPr="008657B1" w:rsidRDefault="008D4EE5" w:rsidP="008D4EE5">
      <w:pPr>
        <w:rPr>
          <w:lang w:val="de-DE"/>
        </w:rPr>
      </w:pPr>
      <w:r w:rsidRPr="008657B1">
        <w:rPr>
          <w:lang w:val="de-DE"/>
        </w:rPr>
        <w:t>Bing Server</w:t>
      </w:r>
    </w:p>
    <w:p w:rsidR="008D4EE5" w:rsidRPr="008657B1" w:rsidRDefault="008D4EE5" w:rsidP="008D4EE5">
      <w:pPr>
        <w:rPr>
          <w:lang w:val="de-DE"/>
        </w:rPr>
      </w:pPr>
      <w:r w:rsidRPr="008657B1">
        <w:rPr>
          <w:lang w:val="de-DE"/>
        </w:rPr>
        <w:t>Bing Maps mit Erweitertem Inhaltspaket</w:t>
      </w:r>
    </w:p>
    <w:p w:rsidR="008D4EE5" w:rsidRPr="0062435A" w:rsidRDefault="008D4EE5" w:rsidP="008D4EE5">
      <w:r>
        <w:t>BizTalk</w:t>
      </w:r>
      <w:r w:rsidR="0069040B" w:rsidRPr="0069040B">
        <w:rPr>
          <w:vertAlign w:val="superscript"/>
        </w:rPr>
        <w:t>®</w:t>
      </w:r>
      <w:r>
        <w:t xml:space="preserve"> Server 2010 Branch Edition </w:t>
      </w:r>
    </w:p>
    <w:p w:rsidR="008D4EE5" w:rsidRPr="0062435A" w:rsidRDefault="008D4EE5" w:rsidP="008D4EE5">
      <w:r>
        <w:t>BizTalk</w:t>
      </w:r>
      <w:r w:rsidR="0069040B" w:rsidRPr="0069040B">
        <w:rPr>
          <w:vertAlign w:val="superscript"/>
        </w:rPr>
        <w:t>®</w:t>
      </w:r>
      <w:r>
        <w:t xml:space="preserve"> Server 2010 Enterprise Edition</w:t>
      </w:r>
    </w:p>
    <w:p w:rsidR="008D4EE5" w:rsidRPr="0062435A" w:rsidRDefault="008D4EE5" w:rsidP="008D4EE5">
      <w:r>
        <w:t>BizTalk</w:t>
      </w:r>
      <w:r w:rsidR="0069040B" w:rsidRPr="0069040B">
        <w:rPr>
          <w:vertAlign w:val="superscript"/>
        </w:rPr>
        <w:t>®</w:t>
      </w:r>
      <w:r>
        <w:t xml:space="preserve"> Server 2010 Enterprise RFID</w:t>
      </w:r>
    </w:p>
    <w:p w:rsidR="008D4EE5" w:rsidRPr="0062435A" w:rsidRDefault="008D4EE5" w:rsidP="008D4EE5">
      <w:r>
        <w:t>BizTalk</w:t>
      </w:r>
      <w:r w:rsidR="0069040B" w:rsidRPr="0069040B">
        <w:rPr>
          <w:vertAlign w:val="superscript"/>
        </w:rPr>
        <w:t>®</w:t>
      </w:r>
      <w:r>
        <w:t xml:space="preserve"> Server 2010 Standard Edition </w:t>
      </w:r>
    </w:p>
    <w:p w:rsidR="008D4EE5" w:rsidRPr="0062435A" w:rsidRDefault="008D4EE5" w:rsidP="008D4EE5">
      <w:r>
        <w:t>BizTalk</w:t>
      </w:r>
      <w:r w:rsidR="0069040B" w:rsidRPr="0069040B">
        <w:rPr>
          <w:vertAlign w:val="superscript"/>
        </w:rPr>
        <w:t>®</w:t>
      </w:r>
      <w:r>
        <w:t xml:space="preserve"> Server 2010 Developer IDC </w:t>
      </w:r>
    </w:p>
    <w:p w:rsidR="008D4EE5" w:rsidRPr="0062435A" w:rsidRDefault="008D4EE5" w:rsidP="008D4EE5">
      <w:r>
        <w:t>BizTalk</w:t>
      </w:r>
      <w:r w:rsidR="0069040B" w:rsidRPr="0069040B">
        <w:rPr>
          <w:vertAlign w:val="superscript"/>
        </w:rPr>
        <w:t>®</w:t>
      </w:r>
      <w:r>
        <w:t xml:space="preserve"> Server 2010 Branch IDC </w:t>
      </w:r>
    </w:p>
    <w:p w:rsidR="008D4EE5" w:rsidRPr="0062435A" w:rsidRDefault="008D4EE5" w:rsidP="008D4EE5">
      <w:r>
        <w:t>Data Warehouse Appliance 2012</w:t>
      </w:r>
    </w:p>
    <w:p w:rsidR="008D4EE5" w:rsidRPr="008657B1" w:rsidRDefault="008D4EE5" w:rsidP="008D4EE5">
      <w:pPr>
        <w:rPr>
          <w:lang w:val="de-DE"/>
        </w:rPr>
      </w:pPr>
      <w:r w:rsidRPr="008657B1">
        <w:rPr>
          <w:lang w:val="de-DE"/>
        </w:rPr>
        <w:t>Office 365 Plan E1 (Nutzer-AL) (Anwendungs-Pool)</w:t>
      </w:r>
    </w:p>
    <w:p w:rsidR="008D4EE5" w:rsidRPr="008657B1" w:rsidRDefault="008D4EE5" w:rsidP="008D4EE5">
      <w:pPr>
        <w:rPr>
          <w:lang w:val="de-DE"/>
        </w:rPr>
      </w:pPr>
      <w:r w:rsidRPr="008657B1">
        <w:rPr>
          <w:lang w:val="de-DE"/>
        </w:rPr>
        <w:t>Office 365 Plan E2 (Nutzer-AL) (Anwendungs-Pool)</w:t>
      </w:r>
    </w:p>
    <w:p w:rsidR="008D4EE5" w:rsidRPr="008657B1" w:rsidRDefault="008D4EE5" w:rsidP="008D4EE5">
      <w:pPr>
        <w:rPr>
          <w:lang w:val="de-DE"/>
        </w:rPr>
      </w:pPr>
      <w:r w:rsidRPr="008657B1">
        <w:rPr>
          <w:lang w:val="de-DE"/>
        </w:rPr>
        <w:t>Office 365 Plan E3 (Nutzer-AL) (Anwendungs-Pool)</w:t>
      </w:r>
    </w:p>
    <w:p w:rsidR="008D4EE5" w:rsidRPr="008657B1" w:rsidRDefault="008D4EE5" w:rsidP="008D4EE5">
      <w:pPr>
        <w:rPr>
          <w:lang w:val="de-DE"/>
        </w:rPr>
      </w:pPr>
      <w:r w:rsidRPr="008657B1">
        <w:rPr>
          <w:lang w:val="de-DE"/>
        </w:rPr>
        <w:t>Office 365 Plan E4 (Nutzer-AL) (Anwendungs-Pool)</w:t>
      </w:r>
    </w:p>
    <w:p w:rsidR="008D4EE5" w:rsidRPr="008657B1" w:rsidRDefault="008D4EE5" w:rsidP="008D4EE5">
      <w:pPr>
        <w:rPr>
          <w:lang w:val="de-DE"/>
        </w:rPr>
      </w:pPr>
      <w:r w:rsidRPr="008657B1">
        <w:rPr>
          <w:lang w:val="de-DE"/>
        </w:rPr>
        <w:t>Office 365 Plan A2 (Nutzer-AL) (Anwendungs-Pool)</w:t>
      </w:r>
    </w:p>
    <w:p w:rsidR="008D4EE5" w:rsidRPr="008657B1" w:rsidRDefault="008D4EE5" w:rsidP="008D4EE5">
      <w:pPr>
        <w:rPr>
          <w:lang w:val="de-DE"/>
        </w:rPr>
      </w:pPr>
      <w:r w:rsidRPr="008657B1">
        <w:rPr>
          <w:lang w:val="de-DE"/>
        </w:rPr>
        <w:t>Office 365 Plan A3 (Nutzer-AL) (Anwendungs-Pool)</w:t>
      </w:r>
    </w:p>
    <w:p w:rsidR="008D4EE5" w:rsidRPr="008657B1" w:rsidRDefault="008D4EE5" w:rsidP="008D4EE5">
      <w:pPr>
        <w:rPr>
          <w:lang w:val="de-DE"/>
        </w:rPr>
      </w:pPr>
      <w:r w:rsidRPr="008657B1">
        <w:rPr>
          <w:lang w:val="de-DE"/>
        </w:rPr>
        <w:t>Office 365 Plan A4 (Nutzer-AL) (Anwendungs-Pool)</w:t>
      </w:r>
    </w:p>
    <w:p w:rsidR="008D4EE5" w:rsidRPr="008657B1" w:rsidRDefault="008D4EE5" w:rsidP="008D4EE5">
      <w:pPr>
        <w:rPr>
          <w:lang w:val="de-DE"/>
        </w:rPr>
      </w:pPr>
      <w:r w:rsidRPr="008657B1">
        <w:rPr>
          <w:lang w:val="de-DE"/>
        </w:rPr>
        <w:t>Office 365 Plan E1 (Nutzer-AL) (Server-Pool)</w:t>
      </w:r>
    </w:p>
    <w:p w:rsidR="008D4EE5" w:rsidRPr="008657B1" w:rsidRDefault="008D4EE5" w:rsidP="008D4EE5">
      <w:pPr>
        <w:rPr>
          <w:lang w:val="de-DE"/>
        </w:rPr>
      </w:pPr>
      <w:r w:rsidRPr="008657B1">
        <w:rPr>
          <w:lang w:val="de-DE"/>
        </w:rPr>
        <w:t>Office 365 Plan E2 (Nutzer-AL) (Server-Pool)</w:t>
      </w:r>
    </w:p>
    <w:p w:rsidR="008D4EE5" w:rsidRPr="008657B1" w:rsidRDefault="008D4EE5" w:rsidP="008D4EE5">
      <w:pPr>
        <w:rPr>
          <w:lang w:val="de-DE"/>
        </w:rPr>
      </w:pPr>
      <w:r w:rsidRPr="008657B1">
        <w:rPr>
          <w:lang w:val="de-DE"/>
        </w:rPr>
        <w:t>Office 365 Plan E3 (Nutzer-AL) (Server-Pool)</w:t>
      </w:r>
    </w:p>
    <w:p w:rsidR="008D4EE5" w:rsidRPr="008657B1" w:rsidRDefault="008D4EE5" w:rsidP="008D4EE5">
      <w:pPr>
        <w:rPr>
          <w:lang w:val="de-DE"/>
        </w:rPr>
      </w:pPr>
      <w:r w:rsidRPr="008657B1">
        <w:rPr>
          <w:lang w:val="de-DE"/>
        </w:rPr>
        <w:t>Office 365 Plan E4 (Nutzer-AL) (Server-Pool)</w:t>
      </w:r>
    </w:p>
    <w:p w:rsidR="008D4EE5" w:rsidRPr="008657B1" w:rsidRDefault="008D4EE5" w:rsidP="008D4EE5">
      <w:pPr>
        <w:rPr>
          <w:lang w:val="de-DE"/>
        </w:rPr>
      </w:pPr>
      <w:r w:rsidRPr="008657B1">
        <w:rPr>
          <w:lang w:val="de-DE"/>
        </w:rPr>
        <w:t>Office 365 Plan G1 (Nutzer-AL) (Server-Pool)</w:t>
      </w:r>
    </w:p>
    <w:p w:rsidR="008D4EE5" w:rsidRPr="008657B1" w:rsidRDefault="008D4EE5" w:rsidP="008D4EE5">
      <w:pPr>
        <w:rPr>
          <w:lang w:val="de-DE"/>
        </w:rPr>
      </w:pPr>
      <w:r w:rsidRPr="008657B1">
        <w:rPr>
          <w:lang w:val="de-DE"/>
        </w:rPr>
        <w:t>Office 365 Plan G2 (Nutzer-AL) (Server-Pool)</w:t>
      </w:r>
    </w:p>
    <w:p w:rsidR="008D4EE5" w:rsidRPr="008657B1" w:rsidRDefault="008D4EE5" w:rsidP="008D4EE5">
      <w:pPr>
        <w:rPr>
          <w:lang w:val="de-DE"/>
        </w:rPr>
      </w:pPr>
      <w:r w:rsidRPr="008657B1">
        <w:rPr>
          <w:lang w:val="de-DE"/>
        </w:rPr>
        <w:t>Office 365 Plan G3 (Nutzer-AL) (Server-Pool)</w:t>
      </w:r>
    </w:p>
    <w:p w:rsidR="008D4EE5" w:rsidRPr="008657B1" w:rsidRDefault="008D4EE5" w:rsidP="008D4EE5">
      <w:pPr>
        <w:rPr>
          <w:lang w:val="de-DE"/>
        </w:rPr>
      </w:pPr>
      <w:r w:rsidRPr="008657B1">
        <w:rPr>
          <w:lang w:val="de-DE"/>
        </w:rPr>
        <w:t>Office 365 Plan G4 (Nutzer-AL) (Server-Pool)</w:t>
      </w:r>
    </w:p>
    <w:p w:rsidR="008D4EE5" w:rsidRPr="008657B1" w:rsidRDefault="008D4EE5" w:rsidP="008D4EE5">
      <w:pPr>
        <w:rPr>
          <w:lang w:val="de-DE"/>
        </w:rPr>
      </w:pPr>
      <w:r w:rsidRPr="008657B1">
        <w:rPr>
          <w:lang w:val="de-DE"/>
        </w:rPr>
        <w:t>Office 365 Plan K1 (Nutzer-AL) (Server-Pool)</w:t>
      </w:r>
    </w:p>
    <w:p w:rsidR="008D4EE5" w:rsidRPr="008657B1" w:rsidRDefault="008D4EE5" w:rsidP="008D4EE5">
      <w:pPr>
        <w:rPr>
          <w:lang w:val="de-DE"/>
        </w:rPr>
      </w:pPr>
      <w:r w:rsidRPr="008657B1">
        <w:rPr>
          <w:lang w:val="de-DE"/>
        </w:rPr>
        <w:t>Office 365 Plan K2 (Nutzer-AL) (Server-Pool)</w:t>
      </w:r>
    </w:p>
    <w:p w:rsidR="008D4EE5" w:rsidRPr="008657B1" w:rsidRDefault="008D4EE5" w:rsidP="008D4EE5">
      <w:pPr>
        <w:rPr>
          <w:lang w:val="de-DE"/>
        </w:rPr>
      </w:pPr>
      <w:r w:rsidRPr="008657B1">
        <w:rPr>
          <w:lang w:val="de-DE"/>
        </w:rPr>
        <w:t>System Center 2012 Endpoint Protection</w:t>
      </w:r>
    </w:p>
    <w:p w:rsidR="008D4EE5" w:rsidRPr="008657B1" w:rsidRDefault="008D4EE5" w:rsidP="008D4EE5">
      <w:pPr>
        <w:rPr>
          <w:lang w:val="de-DE"/>
        </w:rPr>
      </w:pPr>
      <w:r w:rsidRPr="008657B1">
        <w:rPr>
          <w:lang w:val="de-DE"/>
        </w:rPr>
        <w:t>Forefront Online Protection für Exchange (Geräte- und Nutzer-AL)</w:t>
      </w:r>
    </w:p>
    <w:p w:rsidR="008D4EE5" w:rsidRPr="001614A1" w:rsidRDefault="008D4EE5" w:rsidP="008D4EE5">
      <w:pPr>
        <w:rPr>
          <w:lang w:val="de-DE"/>
        </w:rPr>
      </w:pPr>
      <w:r w:rsidRPr="001614A1">
        <w:rPr>
          <w:lang w:val="de-DE"/>
        </w:rPr>
        <w:t>Microsoft Desktop Optimization Pack für 2012 Software Assurance</w:t>
      </w:r>
    </w:p>
    <w:p w:rsidR="008D4EE5" w:rsidRPr="001614A1" w:rsidRDefault="008D4EE5" w:rsidP="008D4EE5">
      <w:pPr>
        <w:rPr>
          <w:lang w:val="de-DE"/>
        </w:rPr>
      </w:pPr>
    </w:p>
    <w:p w:rsidR="008D4EE5" w:rsidRPr="001614A1" w:rsidRDefault="008D4EE5" w:rsidP="008D4EE5">
      <w:pPr>
        <w:rPr>
          <w:lang w:val="de-DE"/>
        </w:rPr>
      </w:pPr>
    </w:p>
    <w:p w:rsidR="008D4EE5" w:rsidRPr="008657B1" w:rsidRDefault="008D4EE5" w:rsidP="008D4EE5">
      <w:pPr>
        <w:pStyle w:val="Heading2"/>
        <w:ind w:left="0"/>
        <w:jc w:val="both"/>
        <w:rPr>
          <w:lang w:val="de-DE"/>
        </w:rPr>
      </w:pPr>
      <w:bookmarkStart w:id="590" w:name="_Toc363998914"/>
      <w:r w:rsidRPr="008657B1">
        <w:rPr>
          <w:rFonts w:ascii="Tahoma" w:hAnsi="Tahoma" w:cs="Tahoma"/>
          <w:color w:val="FF6600"/>
          <w:lang w:val="de-DE"/>
        </w:rPr>
        <w:t>ÄNDERUNGEN IM MÄRZ 2013</w:t>
      </w:r>
      <w:bookmarkEnd w:id="590"/>
    </w:p>
    <w:p w:rsidR="008D4EE5" w:rsidRPr="008657B1" w:rsidRDefault="008D4EE5" w:rsidP="008D4EE5">
      <w:pPr>
        <w:pStyle w:val="Heading2"/>
        <w:ind w:left="0"/>
        <w:jc w:val="both"/>
        <w:rPr>
          <w:lang w:val="de-DE"/>
        </w:rPr>
      </w:pPr>
    </w:p>
    <w:p w:rsidR="008D4EE5" w:rsidRPr="008657B1" w:rsidRDefault="008D4EE5" w:rsidP="008D4EE5">
      <w:pPr>
        <w:spacing w:after="60"/>
        <w:rPr>
          <w:lang w:val="de-DE"/>
        </w:rPr>
      </w:pPr>
      <w:r w:rsidRPr="008657B1">
        <w:rPr>
          <w:b/>
          <w:lang w:val="de-DE"/>
        </w:rPr>
        <w:t>Hinzufügungen</w:t>
      </w:r>
    </w:p>
    <w:p w:rsidR="008D4EE5" w:rsidRPr="008657B1" w:rsidRDefault="008D4EE5" w:rsidP="008D4EE5">
      <w:pPr>
        <w:rPr>
          <w:lang w:val="de-DE"/>
        </w:rPr>
      </w:pPr>
      <w:r w:rsidRPr="008657B1">
        <w:rPr>
          <w:rFonts w:cs="Tahoma"/>
          <w:color w:val="000000"/>
          <w:szCs w:val="18"/>
          <w:lang w:val="de-DE"/>
        </w:rPr>
        <w:t>Exchange Online-Archivierung für Exchange Online</w:t>
      </w:r>
    </w:p>
    <w:p w:rsidR="008D4EE5" w:rsidRPr="008657B1" w:rsidRDefault="008D4EE5" w:rsidP="008D4EE5">
      <w:pPr>
        <w:rPr>
          <w:lang w:val="de-DE"/>
        </w:rPr>
      </w:pPr>
      <w:r w:rsidRPr="008657B1">
        <w:rPr>
          <w:rFonts w:cs="Tahoma"/>
          <w:color w:val="000000"/>
          <w:szCs w:val="18"/>
          <w:lang w:val="de-DE"/>
        </w:rPr>
        <w:t xml:space="preserve">Exchange Online-Archivierung für Exchange Online A </w:t>
      </w:r>
    </w:p>
    <w:p w:rsidR="008D4EE5" w:rsidRPr="008657B1" w:rsidRDefault="008D4EE5" w:rsidP="008D4EE5">
      <w:pPr>
        <w:rPr>
          <w:lang w:val="de-DE"/>
        </w:rPr>
      </w:pPr>
      <w:r w:rsidRPr="008657B1">
        <w:rPr>
          <w:rFonts w:cs="Tahoma"/>
          <w:color w:val="000000"/>
          <w:szCs w:val="18"/>
          <w:lang w:val="de-DE"/>
        </w:rPr>
        <w:t>Exchange Online Protection (Nutzer-AL)</w:t>
      </w:r>
    </w:p>
    <w:p w:rsidR="008D4EE5" w:rsidRPr="0062435A" w:rsidRDefault="008D4EE5" w:rsidP="008D4EE5">
      <w:r>
        <w:rPr>
          <w:rFonts w:cs="Tahoma"/>
          <w:color w:val="000000"/>
          <w:szCs w:val="18"/>
        </w:rPr>
        <w:t>Office 365 Midsize Business (Nutzer-AL)</w:t>
      </w:r>
    </w:p>
    <w:p w:rsidR="008D4EE5" w:rsidRPr="0062435A" w:rsidRDefault="008D4EE5" w:rsidP="008D4EE5">
      <w:r>
        <w:rPr>
          <w:rFonts w:cs="Tahoma"/>
          <w:color w:val="000000"/>
          <w:szCs w:val="18"/>
        </w:rPr>
        <w:t>Office 365 Plan E1 (Nutzer-AL) SQL Server</w:t>
      </w:r>
      <w:r w:rsidR="0069040B" w:rsidRPr="0069040B">
        <w:rPr>
          <w:rFonts w:cs="Tahoma"/>
          <w:color w:val="000000"/>
          <w:szCs w:val="18"/>
          <w:vertAlign w:val="superscript"/>
        </w:rPr>
        <w:t>®</w:t>
      </w:r>
      <w:r>
        <w:rPr>
          <w:rFonts w:cs="Tahoma"/>
          <w:color w:val="000000"/>
          <w:szCs w:val="18"/>
        </w:rPr>
        <w:t xml:space="preserve"> 2012 Parallel Data Warehouse</w:t>
      </w:r>
    </w:p>
    <w:p w:rsidR="008D4EE5" w:rsidRPr="0062435A" w:rsidRDefault="008D4EE5" w:rsidP="008D4EE5">
      <w:r>
        <w:rPr>
          <w:rFonts w:cs="Tahoma"/>
          <w:color w:val="000000"/>
          <w:szCs w:val="18"/>
        </w:rPr>
        <w:t xml:space="preserve">Project Online </w:t>
      </w:r>
    </w:p>
    <w:p w:rsidR="008D4EE5" w:rsidRPr="0062435A" w:rsidRDefault="008D4EE5" w:rsidP="008D4EE5">
      <w:r>
        <w:rPr>
          <w:rFonts w:cs="Tahoma"/>
          <w:color w:val="000000"/>
          <w:szCs w:val="18"/>
        </w:rPr>
        <w:t>Project Online A</w:t>
      </w:r>
    </w:p>
    <w:p w:rsidR="008D4EE5" w:rsidRPr="0062435A" w:rsidRDefault="008D4EE5" w:rsidP="008D4EE5">
      <w:r>
        <w:rPr>
          <w:rFonts w:cs="Tahoma"/>
          <w:color w:val="000000"/>
          <w:szCs w:val="18"/>
        </w:rPr>
        <w:t xml:space="preserve">Project Pro für Office 365 </w:t>
      </w:r>
    </w:p>
    <w:p w:rsidR="008D4EE5" w:rsidRPr="0062435A" w:rsidRDefault="008D4EE5" w:rsidP="008D4EE5">
      <w:r>
        <w:rPr>
          <w:rFonts w:cs="Tahoma"/>
          <w:color w:val="000000"/>
          <w:szCs w:val="18"/>
        </w:rPr>
        <w:t>Project Pro für Office 365 A</w:t>
      </w:r>
    </w:p>
    <w:p w:rsidR="008D4EE5" w:rsidRPr="0062435A" w:rsidRDefault="008D4EE5" w:rsidP="008D4EE5">
      <w:r>
        <w:rPr>
          <w:rFonts w:cs="Tahoma"/>
          <w:color w:val="000000"/>
          <w:szCs w:val="18"/>
        </w:rPr>
        <w:t>SQL Server</w:t>
      </w:r>
      <w:r w:rsidR="0069040B" w:rsidRPr="0069040B">
        <w:rPr>
          <w:rFonts w:cs="Tahoma"/>
          <w:color w:val="000000"/>
          <w:szCs w:val="18"/>
          <w:vertAlign w:val="superscript"/>
        </w:rPr>
        <w:t>®</w:t>
      </w:r>
      <w:r>
        <w:rPr>
          <w:rFonts w:cs="Tahoma"/>
          <w:color w:val="000000"/>
          <w:szCs w:val="18"/>
        </w:rPr>
        <w:t xml:space="preserve"> 2012 Parallel Data Warehouse Developer</w:t>
      </w:r>
    </w:p>
    <w:p w:rsidR="008D4EE5" w:rsidRPr="008657B1" w:rsidRDefault="008D4EE5" w:rsidP="008D4EE5">
      <w:pPr>
        <w:rPr>
          <w:lang w:val="it-IT"/>
        </w:rPr>
      </w:pPr>
      <w:r w:rsidRPr="008657B1">
        <w:rPr>
          <w:rFonts w:cs="Tahoma"/>
          <w:color w:val="000000"/>
          <w:szCs w:val="18"/>
          <w:lang w:val="it-IT"/>
        </w:rPr>
        <w:t>Visio Pro für Office 365 A</w:t>
      </w:r>
    </w:p>
    <w:p w:rsidR="008D4EE5" w:rsidRPr="008657B1" w:rsidRDefault="008D4EE5" w:rsidP="008D4EE5">
      <w:pPr>
        <w:rPr>
          <w:lang w:val="it-IT"/>
        </w:rPr>
      </w:pPr>
      <w:r w:rsidRPr="008657B1">
        <w:rPr>
          <w:rFonts w:cs="Tahoma"/>
          <w:color w:val="000000"/>
          <w:szCs w:val="18"/>
          <w:lang w:val="it-IT"/>
        </w:rPr>
        <w:t xml:space="preserve">Visio Pro für Office 365 </w:t>
      </w:r>
    </w:p>
    <w:p w:rsidR="008D4EE5" w:rsidRPr="001614A1" w:rsidRDefault="008D4EE5" w:rsidP="008D4EE5">
      <w:pPr>
        <w:rPr>
          <w:lang w:val="it-IT"/>
        </w:rPr>
      </w:pPr>
      <w:r w:rsidRPr="001614A1">
        <w:rPr>
          <w:rFonts w:cs="Tahoma"/>
          <w:color w:val="000000"/>
          <w:szCs w:val="18"/>
          <w:lang w:val="it-IT"/>
        </w:rPr>
        <w:t xml:space="preserve">Yammer Enterprise </w:t>
      </w:r>
    </w:p>
    <w:p w:rsidR="008D4EE5" w:rsidRPr="001614A1" w:rsidRDefault="008D4EE5" w:rsidP="008D4EE5">
      <w:pPr>
        <w:keepNext/>
        <w:tabs>
          <w:tab w:val="num" w:pos="720"/>
        </w:tabs>
        <w:outlineLvl w:val="3"/>
        <w:rPr>
          <w:lang w:val="it-IT"/>
        </w:rPr>
      </w:pPr>
    </w:p>
    <w:p w:rsidR="008D4EE5" w:rsidRPr="001614A1" w:rsidRDefault="008D4EE5" w:rsidP="008D4EE5">
      <w:pPr>
        <w:spacing w:after="60"/>
        <w:rPr>
          <w:lang w:val="it-IT"/>
        </w:rPr>
      </w:pPr>
      <w:r w:rsidRPr="001614A1">
        <w:rPr>
          <w:b/>
          <w:lang w:val="it-IT"/>
        </w:rPr>
        <w:t>Änderungen</w:t>
      </w:r>
    </w:p>
    <w:p w:rsidR="008D4EE5" w:rsidRPr="001614A1" w:rsidRDefault="008D4EE5" w:rsidP="008D4EE5">
      <w:pPr>
        <w:rPr>
          <w:lang w:val="it-IT"/>
        </w:rPr>
      </w:pPr>
      <w:r w:rsidRPr="001614A1">
        <w:rPr>
          <w:rFonts w:cs="Tahoma"/>
          <w:color w:val="000000"/>
          <w:szCs w:val="18"/>
          <w:lang w:val="it-IT"/>
        </w:rPr>
        <w:t>Microsoft Dynamics CRM Online</w:t>
      </w:r>
    </w:p>
    <w:p w:rsidR="008D4EE5" w:rsidRPr="008657B1" w:rsidRDefault="008D4EE5" w:rsidP="008D4EE5">
      <w:pPr>
        <w:rPr>
          <w:lang w:val="de-DE"/>
        </w:rPr>
      </w:pPr>
      <w:r w:rsidRPr="008657B1">
        <w:rPr>
          <w:rFonts w:cs="Tahoma"/>
          <w:color w:val="000000"/>
          <w:szCs w:val="18"/>
          <w:lang w:val="de-DE"/>
        </w:rPr>
        <w:t>Exchange Online-Archivierung für Exchange Server</w:t>
      </w:r>
    </w:p>
    <w:p w:rsidR="008D4EE5" w:rsidRPr="008657B1" w:rsidRDefault="008D4EE5" w:rsidP="008D4EE5">
      <w:pPr>
        <w:rPr>
          <w:lang w:val="de-DE"/>
        </w:rPr>
      </w:pPr>
      <w:r w:rsidRPr="008657B1">
        <w:rPr>
          <w:rFonts w:cs="Tahoma"/>
          <w:color w:val="000000"/>
          <w:szCs w:val="18"/>
          <w:lang w:val="de-DE"/>
        </w:rPr>
        <w:t>Exchange Online Plan 1 (Nutzer-AL)</w:t>
      </w:r>
    </w:p>
    <w:p w:rsidR="008D4EE5" w:rsidRPr="008657B1" w:rsidRDefault="008D4EE5" w:rsidP="008D4EE5">
      <w:pPr>
        <w:rPr>
          <w:lang w:val="de-DE"/>
        </w:rPr>
      </w:pPr>
      <w:r w:rsidRPr="008657B1">
        <w:rPr>
          <w:rFonts w:cs="Tahoma"/>
          <w:color w:val="000000"/>
          <w:szCs w:val="18"/>
          <w:lang w:val="de-DE"/>
        </w:rPr>
        <w:t>Exchange Online Plan 2 (Nutzer-AL)</w:t>
      </w:r>
    </w:p>
    <w:p w:rsidR="008D4EE5" w:rsidRPr="008657B1" w:rsidRDefault="008D4EE5" w:rsidP="008D4EE5">
      <w:pPr>
        <w:rPr>
          <w:lang w:val="de-DE"/>
        </w:rPr>
      </w:pPr>
      <w:r w:rsidRPr="008657B1">
        <w:rPr>
          <w:rFonts w:cs="Tahoma"/>
          <w:color w:val="000000"/>
          <w:szCs w:val="18"/>
          <w:lang w:val="de-DE"/>
        </w:rPr>
        <w:t>Exchange Online Plan 1A für Alumni (Nutzer-AL)</w:t>
      </w:r>
    </w:p>
    <w:p w:rsidR="008D4EE5" w:rsidRPr="008657B1" w:rsidRDefault="008D4EE5" w:rsidP="008D4EE5">
      <w:pPr>
        <w:rPr>
          <w:lang w:val="de-DE"/>
        </w:rPr>
      </w:pPr>
      <w:r w:rsidRPr="008657B1">
        <w:rPr>
          <w:rFonts w:cs="Tahoma"/>
          <w:color w:val="000000"/>
          <w:szCs w:val="18"/>
          <w:lang w:val="de-DE"/>
        </w:rPr>
        <w:t>Exchange Online Plan 2A (Nutzer-AL)</w:t>
      </w:r>
    </w:p>
    <w:p w:rsidR="008D4EE5" w:rsidRPr="008657B1" w:rsidRDefault="008D4EE5" w:rsidP="008D4EE5">
      <w:pPr>
        <w:rPr>
          <w:lang w:val="de-DE"/>
        </w:rPr>
      </w:pPr>
      <w:r w:rsidRPr="008657B1">
        <w:rPr>
          <w:rFonts w:cs="Tahoma"/>
          <w:color w:val="000000"/>
          <w:szCs w:val="18"/>
          <w:lang w:val="de-DE"/>
        </w:rPr>
        <w:t>Lync Online Plan 3A (Nutzer-AL)</w:t>
      </w:r>
    </w:p>
    <w:p w:rsidR="008D4EE5" w:rsidRPr="008657B1" w:rsidRDefault="008D4EE5" w:rsidP="008D4EE5">
      <w:pPr>
        <w:rPr>
          <w:lang w:val="de-DE"/>
        </w:rPr>
      </w:pPr>
      <w:r w:rsidRPr="008657B1">
        <w:rPr>
          <w:rFonts w:cs="Tahoma"/>
          <w:color w:val="000000"/>
          <w:szCs w:val="18"/>
          <w:lang w:val="de-DE"/>
        </w:rPr>
        <w:t>Microsoft Dynamics CRM 2011 Server</w:t>
      </w:r>
    </w:p>
    <w:p w:rsidR="008D4EE5" w:rsidRPr="008657B1" w:rsidRDefault="008D4EE5" w:rsidP="008D4EE5">
      <w:pPr>
        <w:rPr>
          <w:lang w:val="de-DE"/>
        </w:rPr>
      </w:pPr>
      <w:r w:rsidRPr="008657B1">
        <w:rPr>
          <w:rFonts w:cs="Tahoma"/>
          <w:color w:val="000000"/>
          <w:szCs w:val="18"/>
          <w:lang w:val="de-DE"/>
        </w:rPr>
        <w:t>Microsoft Windows Azure-Supportangebote</w:t>
      </w:r>
    </w:p>
    <w:p w:rsidR="008D4EE5" w:rsidRPr="001614A1" w:rsidRDefault="008D4EE5" w:rsidP="008D4EE5">
      <w:pPr>
        <w:rPr>
          <w:lang w:val="de-DE"/>
        </w:rPr>
      </w:pPr>
      <w:r w:rsidRPr="001614A1">
        <w:rPr>
          <w:rFonts w:cs="Tahoma"/>
          <w:color w:val="000000"/>
          <w:szCs w:val="18"/>
          <w:lang w:val="de-DE"/>
        </w:rPr>
        <w:t>Office 365 A2 (Nutzer-AL)</w:t>
      </w:r>
    </w:p>
    <w:p w:rsidR="008D4EE5" w:rsidRPr="001614A1" w:rsidRDefault="008D4EE5" w:rsidP="008D4EE5">
      <w:pPr>
        <w:rPr>
          <w:lang w:val="de-DE"/>
        </w:rPr>
      </w:pPr>
      <w:r w:rsidRPr="001614A1">
        <w:rPr>
          <w:rFonts w:cs="Tahoma"/>
          <w:color w:val="000000"/>
          <w:szCs w:val="18"/>
          <w:lang w:val="de-DE"/>
        </w:rPr>
        <w:t>Office 365 A3 (Nutzer-AL)</w:t>
      </w:r>
    </w:p>
    <w:p w:rsidR="008D4EE5" w:rsidRPr="001614A1" w:rsidRDefault="008D4EE5" w:rsidP="008D4EE5">
      <w:pPr>
        <w:rPr>
          <w:lang w:val="de-DE"/>
        </w:rPr>
      </w:pPr>
      <w:r w:rsidRPr="001614A1">
        <w:rPr>
          <w:rFonts w:cs="Tahoma"/>
          <w:color w:val="000000"/>
          <w:szCs w:val="18"/>
          <w:lang w:val="de-DE"/>
        </w:rPr>
        <w:t>Office 365 A4 (Nutzer-AL)</w:t>
      </w:r>
    </w:p>
    <w:p w:rsidR="008D4EE5" w:rsidRPr="001614A1" w:rsidRDefault="008D4EE5" w:rsidP="008D4EE5">
      <w:pPr>
        <w:rPr>
          <w:lang w:val="de-DE"/>
        </w:rPr>
      </w:pPr>
      <w:r w:rsidRPr="001614A1">
        <w:rPr>
          <w:rFonts w:cs="Tahoma"/>
          <w:color w:val="000000"/>
          <w:szCs w:val="18"/>
          <w:lang w:val="de-DE"/>
        </w:rPr>
        <w:t>Office Professional Plus-Abonnement A (Nutzer-AL)</w:t>
      </w:r>
    </w:p>
    <w:p w:rsidR="008D4EE5" w:rsidRPr="001614A1" w:rsidRDefault="008D4EE5" w:rsidP="008D4EE5">
      <w:pPr>
        <w:rPr>
          <w:lang w:val="de-DE"/>
        </w:rPr>
      </w:pPr>
      <w:r w:rsidRPr="001614A1">
        <w:rPr>
          <w:rFonts w:cs="Tahoma"/>
          <w:color w:val="000000"/>
          <w:szCs w:val="18"/>
          <w:lang w:val="de-DE"/>
        </w:rPr>
        <w:t>Office Web-Anwendungen mit SharePoint Plan 2A (Nutzer-AL)</w:t>
      </w:r>
    </w:p>
    <w:p w:rsidR="008D4EE5" w:rsidRPr="0062435A" w:rsidRDefault="008D4EE5" w:rsidP="008D4EE5">
      <w:r>
        <w:rPr>
          <w:rFonts w:cs="Tahoma"/>
          <w:color w:val="000000"/>
          <w:szCs w:val="18"/>
        </w:rPr>
        <w:t>SharePoint™ Online Extra Storage 1 GB A (Add-On-AL)</w:t>
      </w:r>
    </w:p>
    <w:p w:rsidR="008D4EE5" w:rsidRPr="0062435A" w:rsidRDefault="008D4EE5" w:rsidP="008D4EE5">
      <w:r>
        <w:rPr>
          <w:rFonts w:cs="Tahoma"/>
          <w:color w:val="000000"/>
          <w:szCs w:val="18"/>
        </w:rPr>
        <w:t>Enterprise-Server-Management-Lizenz für System Center Configuration Manager 2007 R3</w:t>
      </w:r>
    </w:p>
    <w:p w:rsidR="008D4EE5" w:rsidRPr="0062435A" w:rsidRDefault="008D4EE5" w:rsidP="008D4EE5">
      <w:r>
        <w:rPr>
          <w:rFonts w:cs="Tahoma"/>
          <w:color w:val="000000"/>
          <w:szCs w:val="18"/>
        </w:rPr>
        <w:t>Standard-Server-Management-Lizenz (Standard-Server-ML) für System Center Configuration Manager 2007 R3</w:t>
      </w:r>
    </w:p>
    <w:p w:rsidR="008D4EE5" w:rsidRPr="0062435A" w:rsidRDefault="008D4EE5" w:rsidP="008D4EE5">
      <w:r>
        <w:rPr>
          <w:rFonts w:cs="Tahoma"/>
          <w:color w:val="000000"/>
          <w:szCs w:val="18"/>
        </w:rPr>
        <w:t>Enterprise-Server-Management-Lizenz für System Center Data Protection Manager 2010</w:t>
      </w:r>
    </w:p>
    <w:p w:rsidR="008D4EE5" w:rsidRPr="0062435A" w:rsidRDefault="008D4EE5" w:rsidP="008D4EE5">
      <w:r>
        <w:rPr>
          <w:rFonts w:cs="Tahoma"/>
          <w:color w:val="000000"/>
          <w:szCs w:val="18"/>
        </w:rPr>
        <w:t>Standard-Server-Management-Lizenz für System Center Data Protection Manager 2010</w:t>
      </w:r>
    </w:p>
    <w:p w:rsidR="008D4EE5" w:rsidRPr="008657B1" w:rsidRDefault="008D4EE5" w:rsidP="008D4EE5">
      <w:pPr>
        <w:rPr>
          <w:lang w:val="de-DE"/>
        </w:rPr>
      </w:pPr>
      <w:r w:rsidRPr="008657B1">
        <w:rPr>
          <w:rFonts w:cs="Tahoma"/>
          <w:color w:val="000000"/>
          <w:szCs w:val="18"/>
          <w:lang w:val="de-DE"/>
        </w:rPr>
        <w:t>Client-Management-Lizenz pro Nutzer für System Center Operations Manager 2007 R2</w:t>
      </w:r>
    </w:p>
    <w:p w:rsidR="008D4EE5" w:rsidRPr="008657B1" w:rsidRDefault="008D4EE5" w:rsidP="008D4EE5">
      <w:pPr>
        <w:rPr>
          <w:lang w:val="de-DE"/>
        </w:rPr>
      </w:pPr>
      <w:r w:rsidRPr="008657B1">
        <w:rPr>
          <w:rFonts w:cs="Tahoma"/>
          <w:color w:val="000000"/>
          <w:szCs w:val="18"/>
          <w:lang w:val="de-DE"/>
        </w:rPr>
        <w:t>Client-Management-Lizenz pro OSE für System Center Operations Manager 2007 R2</w:t>
      </w:r>
    </w:p>
    <w:p w:rsidR="008D4EE5" w:rsidRPr="008657B1" w:rsidRDefault="008D4EE5" w:rsidP="008D4EE5">
      <w:pPr>
        <w:rPr>
          <w:lang w:val="de-DE"/>
        </w:rPr>
      </w:pPr>
      <w:r w:rsidRPr="008657B1">
        <w:rPr>
          <w:rFonts w:cs="Tahoma"/>
          <w:color w:val="000000"/>
          <w:szCs w:val="18"/>
          <w:lang w:val="de-DE"/>
        </w:rPr>
        <w:t>Enterprise-Server-Management-Lizenz für System Center Operations Manager 2007 R2</w:t>
      </w:r>
    </w:p>
    <w:p w:rsidR="008D4EE5" w:rsidRPr="008657B1" w:rsidRDefault="008D4EE5" w:rsidP="008D4EE5">
      <w:pPr>
        <w:rPr>
          <w:lang w:val="de-DE"/>
        </w:rPr>
      </w:pPr>
      <w:r w:rsidRPr="008657B1">
        <w:rPr>
          <w:rFonts w:cs="Tahoma"/>
          <w:color w:val="000000"/>
          <w:szCs w:val="18"/>
          <w:lang w:val="de-DE"/>
        </w:rPr>
        <w:t>Standard-Server-Management-Lizenz für System Center Operations Manager 2007 R2</w:t>
      </w:r>
    </w:p>
    <w:p w:rsidR="008D4EE5" w:rsidRPr="008657B1" w:rsidRDefault="008D4EE5" w:rsidP="008D4EE5">
      <w:pPr>
        <w:rPr>
          <w:lang w:val="de-DE"/>
        </w:rPr>
      </w:pPr>
      <w:r w:rsidRPr="008657B1">
        <w:rPr>
          <w:rFonts w:cs="Tahoma"/>
          <w:color w:val="000000"/>
          <w:szCs w:val="18"/>
          <w:lang w:val="de-DE"/>
        </w:rPr>
        <w:t>Client-Management-Lizenz (Client-ML) für System Center Service Manager 2010 pro Nutzer</w:t>
      </w:r>
    </w:p>
    <w:p w:rsidR="008D4EE5" w:rsidRPr="008657B1" w:rsidRDefault="008D4EE5" w:rsidP="008D4EE5">
      <w:pPr>
        <w:rPr>
          <w:lang w:val="de-DE"/>
        </w:rPr>
      </w:pPr>
      <w:r w:rsidRPr="008657B1">
        <w:rPr>
          <w:rFonts w:cs="Tahoma"/>
          <w:color w:val="000000"/>
          <w:szCs w:val="18"/>
          <w:lang w:val="de-DE"/>
        </w:rPr>
        <w:t>Client-Management-Lizenz (Client-ML) für System Center Service Manager 2010 pro Betriebssystemumgebung</w:t>
      </w:r>
    </w:p>
    <w:p w:rsidR="008D4EE5" w:rsidRPr="008657B1" w:rsidRDefault="008D4EE5" w:rsidP="008D4EE5">
      <w:pPr>
        <w:rPr>
          <w:lang w:val="de-DE"/>
        </w:rPr>
      </w:pPr>
      <w:r w:rsidRPr="008657B1">
        <w:rPr>
          <w:rFonts w:cs="Tahoma"/>
          <w:color w:val="000000"/>
          <w:szCs w:val="18"/>
          <w:lang w:val="de-DE"/>
        </w:rPr>
        <w:t>Server-Management-Lizenz (Server-ML) für System Center Service Manager 2010 pro Betriebssystemumgebung</w:t>
      </w:r>
    </w:p>
    <w:p w:rsidR="008D4EE5" w:rsidRPr="008657B1" w:rsidRDefault="008D4EE5" w:rsidP="008D4EE5">
      <w:pPr>
        <w:rPr>
          <w:lang w:val="de-DE"/>
        </w:rPr>
      </w:pPr>
      <w:r w:rsidRPr="008657B1">
        <w:rPr>
          <w:rFonts w:cs="Tahoma"/>
          <w:color w:val="000000"/>
          <w:szCs w:val="18"/>
          <w:lang w:val="de-DE"/>
        </w:rPr>
        <w:t>Client-Management-Lizenz für System Center Virtual Machine Manager 2008 R2 pro Nutzer</w:t>
      </w:r>
    </w:p>
    <w:p w:rsidR="008D4EE5" w:rsidRPr="008657B1" w:rsidRDefault="008D4EE5" w:rsidP="008D4EE5">
      <w:pPr>
        <w:rPr>
          <w:lang w:val="de-DE"/>
        </w:rPr>
      </w:pPr>
      <w:r w:rsidRPr="008657B1">
        <w:rPr>
          <w:rFonts w:cs="Tahoma"/>
          <w:color w:val="000000"/>
          <w:szCs w:val="18"/>
          <w:lang w:val="de-DE"/>
        </w:rPr>
        <w:t>Client-Management-Lizenz für System Center Virtual Machine Manager 2008 R2 pro Betriebssystemumgebung</w:t>
      </w:r>
    </w:p>
    <w:p w:rsidR="008D4EE5" w:rsidRPr="008657B1" w:rsidRDefault="008D4EE5" w:rsidP="008D4EE5">
      <w:pPr>
        <w:rPr>
          <w:lang w:val="de-DE"/>
        </w:rPr>
      </w:pPr>
      <w:r w:rsidRPr="008657B1">
        <w:rPr>
          <w:rFonts w:cs="Tahoma"/>
          <w:color w:val="000000"/>
          <w:szCs w:val="18"/>
          <w:lang w:val="de-DE"/>
        </w:rPr>
        <w:t>Enterprise-Server-Management-Lizenz für System Center Virtual Machine Manager 2008 R2</w:t>
      </w:r>
    </w:p>
    <w:p w:rsidR="008D4EE5" w:rsidRPr="008657B1" w:rsidRDefault="008D4EE5" w:rsidP="008D4EE5">
      <w:pPr>
        <w:rPr>
          <w:lang w:val="de-DE"/>
        </w:rPr>
      </w:pPr>
      <w:r w:rsidRPr="008657B1">
        <w:rPr>
          <w:rFonts w:cs="Tahoma"/>
          <w:color w:val="000000"/>
          <w:szCs w:val="18"/>
          <w:lang w:val="de-DE"/>
        </w:rPr>
        <w:t>Nutzer-AL für Windows Intune</w:t>
      </w:r>
    </w:p>
    <w:p w:rsidR="008D4EE5" w:rsidRPr="008657B1" w:rsidRDefault="008D4EE5" w:rsidP="008D4EE5">
      <w:pPr>
        <w:rPr>
          <w:lang w:val="de-DE"/>
        </w:rPr>
      </w:pPr>
    </w:p>
    <w:p w:rsidR="008D4EE5" w:rsidRPr="008657B1" w:rsidRDefault="008D4EE5" w:rsidP="008D4EE5">
      <w:pPr>
        <w:keepNext/>
        <w:tabs>
          <w:tab w:val="num" w:pos="720"/>
        </w:tabs>
        <w:spacing w:after="60"/>
        <w:outlineLvl w:val="3"/>
        <w:rPr>
          <w:lang w:val="de-DE"/>
        </w:rPr>
      </w:pPr>
      <w:r w:rsidRPr="008657B1">
        <w:rPr>
          <w:b/>
          <w:lang w:val="de-DE"/>
        </w:rPr>
        <w:t>Streichungen</w:t>
      </w:r>
    </w:p>
    <w:p w:rsidR="008D4EE5" w:rsidRPr="008657B1" w:rsidRDefault="008D4EE5" w:rsidP="008D4EE5">
      <w:pPr>
        <w:rPr>
          <w:lang w:val="it-IT"/>
        </w:rPr>
      </w:pPr>
      <w:r w:rsidRPr="008657B1">
        <w:rPr>
          <w:rFonts w:cs="Tahoma"/>
          <w:color w:val="000000"/>
          <w:szCs w:val="18"/>
          <w:lang w:val="it-IT"/>
        </w:rPr>
        <w:t>Expression Studio Professional 4</w:t>
      </w:r>
    </w:p>
    <w:p w:rsidR="008D4EE5" w:rsidRPr="008657B1" w:rsidRDefault="008D4EE5" w:rsidP="008D4EE5">
      <w:pPr>
        <w:rPr>
          <w:lang w:val="it-IT"/>
        </w:rPr>
      </w:pPr>
      <w:r w:rsidRPr="008657B1">
        <w:rPr>
          <w:rFonts w:cs="Tahoma"/>
          <w:color w:val="000000"/>
          <w:szCs w:val="18"/>
          <w:lang w:val="it-IT"/>
        </w:rPr>
        <w:t>Expression Studio Ultimate 4</w:t>
      </w:r>
    </w:p>
    <w:p w:rsidR="008D4EE5" w:rsidRPr="008657B1" w:rsidRDefault="008D4EE5" w:rsidP="008D4EE5">
      <w:pPr>
        <w:rPr>
          <w:lang w:val="de-DE"/>
        </w:rPr>
      </w:pPr>
      <w:r w:rsidRPr="008657B1">
        <w:rPr>
          <w:rFonts w:cs="Tahoma"/>
          <w:color w:val="000000"/>
          <w:szCs w:val="18"/>
          <w:lang w:val="de-DE"/>
        </w:rPr>
        <w:t>Office-Webanwendungen A (Nutzer-AL)</w:t>
      </w:r>
    </w:p>
    <w:p w:rsidR="008D4EE5" w:rsidRPr="0062435A" w:rsidRDefault="008D4EE5" w:rsidP="008D4EE5">
      <w:r>
        <w:rPr>
          <w:rFonts w:cs="Tahoma"/>
          <w:color w:val="000000"/>
          <w:szCs w:val="18"/>
        </w:rPr>
        <w:t>SQL Server</w:t>
      </w:r>
      <w:r w:rsidR="0069040B" w:rsidRPr="0069040B">
        <w:rPr>
          <w:rFonts w:cs="Tahoma"/>
          <w:color w:val="000000"/>
          <w:szCs w:val="18"/>
          <w:vertAlign w:val="superscript"/>
        </w:rPr>
        <w:t>®</w:t>
      </w:r>
      <w:r>
        <w:rPr>
          <w:rFonts w:cs="Tahoma"/>
          <w:color w:val="000000"/>
          <w:szCs w:val="18"/>
        </w:rPr>
        <w:t xml:space="preserve"> 2008 R2 Parallel Data Warehouse</w:t>
      </w:r>
    </w:p>
    <w:p w:rsidR="008D4EE5" w:rsidRPr="0062435A" w:rsidRDefault="008D4EE5" w:rsidP="008D4EE5">
      <w:r>
        <w:rPr>
          <w:rFonts w:cs="Tahoma"/>
          <w:color w:val="000000"/>
          <w:szCs w:val="18"/>
        </w:rPr>
        <w:t>SQL Server</w:t>
      </w:r>
      <w:r w:rsidR="0069040B" w:rsidRPr="0069040B">
        <w:rPr>
          <w:rFonts w:cs="Tahoma"/>
          <w:color w:val="000000"/>
          <w:szCs w:val="18"/>
          <w:vertAlign w:val="superscript"/>
        </w:rPr>
        <w:t>®</w:t>
      </w:r>
      <w:r>
        <w:rPr>
          <w:rFonts w:cs="Tahoma"/>
          <w:color w:val="000000"/>
          <w:szCs w:val="18"/>
        </w:rPr>
        <w:t xml:space="preserve"> 2008 R2 Parallel Data Warehouse Developer</w:t>
      </w:r>
    </w:p>
    <w:p w:rsidR="008D4EE5" w:rsidRPr="0062435A" w:rsidRDefault="008D4EE5" w:rsidP="008D4EE5">
      <w:r>
        <w:rPr>
          <w:rFonts w:cs="Tahoma"/>
          <w:color w:val="000000"/>
          <w:szCs w:val="18"/>
        </w:rPr>
        <w:t>System Center Configuration Manager 2007 R3</w:t>
      </w:r>
    </w:p>
    <w:p w:rsidR="008D4EE5" w:rsidRPr="0062435A" w:rsidRDefault="008D4EE5" w:rsidP="008D4EE5">
      <w:r>
        <w:rPr>
          <w:rFonts w:cs="Tahoma"/>
          <w:color w:val="000000"/>
          <w:szCs w:val="18"/>
        </w:rPr>
        <w:t>System Center Configuration Manager 2007 R3 mit SQL Server 2008-Technologie</w:t>
      </w:r>
    </w:p>
    <w:p w:rsidR="008D4EE5" w:rsidRPr="0062435A" w:rsidRDefault="008D4EE5" w:rsidP="008D4EE5">
      <w:r>
        <w:rPr>
          <w:rFonts w:cs="Tahoma"/>
          <w:color w:val="000000"/>
          <w:szCs w:val="18"/>
        </w:rPr>
        <w:t>Client-Management-Lizenz für System Center Data Protection Manager 2010 pro Nutzer</w:t>
      </w:r>
    </w:p>
    <w:p w:rsidR="008D4EE5" w:rsidRPr="008657B1" w:rsidRDefault="008D4EE5" w:rsidP="008D4EE5">
      <w:pPr>
        <w:rPr>
          <w:lang w:val="de-DE"/>
        </w:rPr>
      </w:pPr>
      <w:r w:rsidRPr="008657B1">
        <w:rPr>
          <w:rFonts w:cs="Tahoma"/>
          <w:color w:val="000000"/>
          <w:szCs w:val="18"/>
          <w:lang w:val="de-DE"/>
        </w:rPr>
        <w:t>Client-Management-Lizenz für System Center Data Protection Manager 2010 pro Betriebssystemumgebung</w:t>
      </w:r>
    </w:p>
    <w:p w:rsidR="008D4EE5" w:rsidRPr="008657B1" w:rsidRDefault="008D4EE5" w:rsidP="008D4EE5">
      <w:pPr>
        <w:rPr>
          <w:lang w:val="de-DE"/>
        </w:rPr>
      </w:pPr>
      <w:r w:rsidRPr="008657B1">
        <w:rPr>
          <w:rFonts w:cs="Tahoma"/>
          <w:color w:val="000000"/>
          <w:szCs w:val="18"/>
          <w:lang w:val="de-DE"/>
        </w:rPr>
        <w:t>System Center Operations Manager 2007 R2</w:t>
      </w:r>
    </w:p>
    <w:p w:rsidR="008D4EE5" w:rsidRPr="008657B1" w:rsidRDefault="008D4EE5" w:rsidP="008D4EE5">
      <w:pPr>
        <w:rPr>
          <w:lang w:val="de-DE"/>
        </w:rPr>
      </w:pPr>
      <w:r w:rsidRPr="008657B1">
        <w:rPr>
          <w:rFonts w:cs="Tahoma"/>
          <w:color w:val="000000"/>
          <w:szCs w:val="18"/>
          <w:lang w:val="de-DE"/>
        </w:rPr>
        <w:t>System Center Operations Manager 2007 R2 mit SQL Server 2008-Technologie</w:t>
      </w:r>
    </w:p>
    <w:p w:rsidR="008D4EE5" w:rsidRPr="008657B1" w:rsidRDefault="008D4EE5" w:rsidP="008D4EE5">
      <w:pPr>
        <w:rPr>
          <w:lang w:val="de-DE"/>
        </w:rPr>
      </w:pPr>
      <w:r w:rsidRPr="008657B1">
        <w:rPr>
          <w:rFonts w:cs="Tahoma"/>
          <w:color w:val="000000"/>
          <w:szCs w:val="18"/>
          <w:lang w:val="de-DE"/>
        </w:rPr>
        <w:t>System Center Service Manager 2010</w:t>
      </w:r>
    </w:p>
    <w:p w:rsidR="008D4EE5" w:rsidRPr="008657B1" w:rsidRDefault="008D4EE5" w:rsidP="008D4EE5">
      <w:pPr>
        <w:rPr>
          <w:lang w:val="de-DE"/>
        </w:rPr>
      </w:pPr>
      <w:r w:rsidRPr="008657B1">
        <w:rPr>
          <w:rFonts w:cs="Tahoma"/>
          <w:color w:val="000000"/>
          <w:szCs w:val="18"/>
          <w:lang w:val="de-DE"/>
        </w:rPr>
        <w:t>System Center Service Manager 2010 mit SQL Server 2008-Technologie</w:t>
      </w:r>
    </w:p>
    <w:p w:rsidR="008D4EE5" w:rsidRPr="008657B1" w:rsidRDefault="008D4EE5" w:rsidP="008D4EE5">
      <w:pPr>
        <w:rPr>
          <w:lang w:val="de-DE"/>
        </w:rPr>
      </w:pPr>
      <w:r w:rsidRPr="008657B1">
        <w:rPr>
          <w:rFonts w:cs="Tahoma"/>
          <w:color w:val="000000"/>
          <w:szCs w:val="18"/>
          <w:lang w:val="de-DE"/>
        </w:rPr>
        <w:t>System Center Essentials 2010</w:t>
      </w:r>
    </w:p>
    <w:p w:rsidR="008D4EE5" w:rsidRPr="008657B1" w:rsidRDefault="008D4EE5" w:rsidP="008D4EE5">
      <w:pPr>
        <w:rPr>
          <w:lang w:val="de-DE"/>
        </w:rPr>
      </w:pPr>
      <w:r w:rsidRPr="008657B1">
        <w:rPr>
          <w:rFonts w:cs="Tahoma"/>
          <w:color w:val="000000"/>
          <w:szCs w:val="18"/>
          <w:lang w:val="de-DE"/>
        </w:rPr>
        <w:t>Client-ML für System Center Essentials 2010</w:t>
      </w:r>
    </w:p>
    <w:p w:rsidR="008D4EE5" w:rsidRPr="008657B1" w:rsidRDefault="008D4EE5" w:rsidP="008D4EE5">
      <w:pPr>
        <w:rPr>
          <w:lang w:val="de-DE"/>
        </w:rPr>
      </w:pPr>
      <w:r w:rsidRPr="008657B1">
        <w:rPr>
          <w:rFonts w:cs="Tahoma"/>
          <w:color w:val="000000"/>
          <w:szCs w:val="18"/>
          <w:lang w:val="de-DE"/>
        </w:rPr>
        <w:t>Server-ML für System Center Essentials 2010</w:t>
      </w:r>
    </w:p>
    <w:p w:rsidR="008D4EE5" w:rsidRPr="008657B1" w:rsidRDefault="008D4EE5" w:rsidP="008D4EE5">
      <w:pPr>
        <w:rPr>
          <w:lang w:val="de-DE"/>
        </w:rPr>
      </w:pPr>
      <w:r w:rsidRPr="008657B1">
        <w:rPr>
          <w:rFonts w:cs="Tahoma"/>
          <w:color w:val="000000"/>
          <w:szCs w:val="18"/>
          <w:lang w:val="de-DE"/>
        </w:rPr>
        <w:t xml:space="preserve">System Center Essentials 2010 mit SQL Server 2008-Technologie </w:t>
      </w:r>
    </w:p>
    <w:p w:rsidR="008D4EE5" w:rsidRPr="008657B1" w:rsidRDefault="008D4EE5" w:rsidP="008D4EE5">
      <w:pPr>
        <w:rPr>
          <w:lang w:val="de-DE"/>
        </w:rPr>
      </w:pPr>
      <w:r w:rsidRPr="008657B1">
        <w:rPr>
          <w:rFonts w:cs="Tahoma"/>
          <w:color w:val="000000"/>
          <w:szCs w:val="18"/>
          <w:lang w:val="de-DE"/>
        </w:rPr>
        <w:t>Lizenz-Suite für System Center Essentials Plus 2010 Client-Management</w:t>
      </w:r>
    </w:p>
    <w:p w:rsidR="008D4EE5" w:rsidRPr="008657B1" w:rsidRDefault="008D4EE5" w:rsidP="008D4EE5">
      <w:pPr>
        <w:rPr>
          <w:lang w:val="de-DE"/>
        </w:rPr>
      </w:pPr>
      <w:r w:rsidRPr="008657B1">
        <w:rPr>
          <w:rFonts w:cs="Tahoma"/>
          <w:color w:val="000000"/>
          <w:szCs w:val="18"/>
          <w:lang w:val="de-DE"/>
        </w:rPr>
        <w:t>Lizenz-Suite für System Center Essentials Plus 2010 Server Management</w:t>
      </w:r>
    </w:p>
    <w:p w:rsidR="008D4EE5" w:rsidRPr="008657B1" w:rsidRDefault="008D4EE5" w:rsidP="008D4EE5">
      <w:pPr>
        <w:rPr>
          <w:lang w:val="de-DE"/>
        </w:rPr>
      </w:pPr>
      <w:r w:rsidRPr="008657B1">
        <w:rPr>
          <w:rFonts w:cs="Tahoma"/>
          <w:color w:val="000000"/>
          <w:szCs w:val="18"/>
          <w:lang w:val="de-DE"/>
        </w:rPr>
        <w:t>System Center Virtual Machine Manager 2008 R2 Workgroup Edition</w:t>
      </w:r>
    </w:p>
    <w:p w:rsidR="008D4EE5" w:rsidRPr="0062435A" w:rsidRDefault="008D4EE5" w:rsidP="008D4EE5">
      <w:r>
        <w:rPr>
          <w:rFonts w:cs="Tahoma"/>
          <w:color w:val="000000"/>
          <w:szCs w:val="18"/>
        </w:rPr>
        <w:t>External Connector für Visual Studio</w:t>
      </w:r>
      <w:r w:rsidR="0069040B" w:rsidRPr="0069040B">
        <w:rPr>
          <w:rFonts w:cs="Tahoma"/>
          <w:color w:val="000000"/>
          <w:szCs w:val="18"/>
          <w:vertAlign w:val="superscript"/>
        </w:rPr>
        <w:t>®</w:t>
      </w:r>
      <w:r>
        <w:rPr>
          <w:rFonts w:cs="Tahoma"/>
          <w:color w:val="000000"/>
          <w:szCs w:val="18"/>
        </w:rPr>
        <w:t xml:space="preserve"> Team Foundation Server 2012</w:t>
      </w:r>
    </w:p>
    <w:p w:rsidR="008D4EE5" w:rsidRPr="0062435A" w:rsidRDefault="008D4EE5" w:rsidP="008D4EE5"/>
    <w:p w:rsidR="008D4EE5" w:rsidRPr="0062435A" w:rsidRDefault="008D4EE5" w:rsidP="008D4EE5"/>
    <w:p w:rsidR="008D4EE5" w:rsidRPr="008657B1" w:rsidRDefault="008D4EE5" w:rsidP="008D4EE5">
      <w:pPr>
        <w:pStyle w:val="Heading2"/>
        <w:ind w:left="0"/>
        <w:jc w:val="both"/>
        <w:rPr>
          <w:lang w:val="de-DE"/>
        </w:rPr>
      </w:pPr>
      <w:bookmarkStart w:id="591" w:name="_Toc363998915"/>
      <w:r w:rsidRPr="008657B1">
        <w:rPr>
          <w:rFonts w:ascii="Tahoma" w:hAnsi="Tahoma" w:cs="Tahoma"/>
          <w:color w:val="FF6600"/>
          <w:lang w:val="de-DE"/>
        </w:rPr>
        <w:t>ÄNDERUNGEN IM FEBRUAR 2013</w:t>
      </w:r>
      <w:bookmarkEnd w:id="591"/>
    </w:p>
    <w:p w:rsidR="008D4EE5" w:rsidRPr="008657B1" w:rsidRDefault="008D4EE5" w:rsidP="008D4EE5">
      <w:pPr>
        <w:pStyle w:val="Heading2"/>
        <w:ind w:left="0"/>
        <w:jc w:val="both"/>
        <w:rPr>
          <w:lang w:val="de-DE"/>
        </w:rPr>
      </w:pPr>
    </w:p>
    <w:p w:rsidR="008D4EE5" w:rsidRPr="008657B1" w:rsidRDefault="008D4EE5" w:rsidP="008D4EE5">
      <w:pPr>
        <w:spacing w:after="60"/>
        <w:rPr>
          <w:lang w:val="de-DE"/>
        </w:rPr>
      </w:pPr>
      <w:r w:rsidRPr="008657B1">
        <w:rPr>
          <w:b/>
          <w:lang w:val="de-DE"/>
        </w:rPr>
        <w:t>Hinzufügungen</w:t>
      </w:r>
    </w:p>
    <w:p w:rsidR="008D4EE5" w:rsidRPr="008657B1" w:rsidRDefault="008D4EE5" w:rsidP="008D4EE5">
      <w:pPr>
        <w:rPr>
          <w:lang w:val="de-DE"/>
        </w:rPr>
      </w:pPr>
      <w:r w:rsidRPr="008657B1">
        <w:rPr>
          <w:lang w:val="de-DE"/>
        </w:rPr>
        <w:t xml:space="preserve">Zusätzliche CAL für </w:t>
      </w:r>
      <w:r w:rsidRPr="008657B1">
        <w:rPr>
          <w:rFonts w:cs="Tahoma"/>
          <w:color w:val="000000"/>
          <w:szCs w:val="18"/>
          <w:lang w:val="de-DE"/>
        </w:rPr>
        <w:t xml:space="preserve">Microsoft </w:t>
      </w:r>
      <w:r w:rsidRPr="008657B1">
        <w:rPr>
          <w:rFonts w:cs="Tahoma"/>
          <w:color w:val="000000"/>
          <w:szCs w:val="20"/>
          <w:lang w:val="de-DE"/>
        </w:rPr>
        <w:t>Dynamics AX 2012 R2 Enterprise (Nutzer &amp; Gerät)</w:t>
      </w:r>
    </w:p>
    <w:p w:rsidR="008D4EE5" w:rsidRPr="008657B1" w:rsidRDefault="008D4EE5" w:rsidP="008D4EE5">
      <w:pPr>
        <w:rPr>
          <w:lang w:val="de-DE"/>
        </w:rPr>
      </w:pPr>
      <w:r w:rsidRPr="008657B1">
        <w:rPr>
          <w:lang w:val="de-DE"/>
        </w:rPr>
        <w:t xml:space="preserve">CAL für </w:t>
      </w:r>
      <w:r w:rsidRPr="008657B1">
        <w:rPr>
          <w:rFonts w:cs="Tahoma"/>
          <w:color w:val="000000"/>
          <w:szCs w:val="18"/>
          <w:lang w:val="de-DE"/>
        </w:rPr>
        <w:t xml:space="preserve">Microsoft </w:t>
      </w:r>
      <w:r w:rsidRPr="008657B1">
        <w:rPr>
          <w:rFonts w:cs="Tahoma"/>
          <w:color w:val="000000"/>
          <w:szCs w:val="20"/>
          <w:lang w:val="de-DE"/>
        </w:rPr>
        <w:t>Dynamics AX 2012 R2 Enterprise (Nutzer &amp; Gerät)</w:t>
      </w:r>
    </w:p>
    <w:p w:rsidR="008D4EE5" w:rsidRPr="008657B1" w:rsidRDefault="008D4EE5" w:rsidP="008D4EE5">
      <w:pPr>
        <w:rPr>
          <w:lang w:val="de-DE"/>
        </w:rPr>
      </w:pPr>
      <w:r w:rsidRPr="008657B1">
        <w:rPr>
          <w:lang w:val="de-DE"/>
        </w:rPr>
        <w:t xml:space="preserve">Zusätzliche Funktions-CAL für </w:t>
      </w:r>
      <w:r w:rsidRPr="008657B1">
        <w:rPr>
          <w:rFonts w:cs="Tahoma"/>
          <w:color w:val="000000"/>
          <w:szCs w:val="18"/>
          <w:lang w:val="de-DE"/>
        </w:rPr>
        <w:t xml:space="preserve">Microsoft </w:t>
      </w:r>
      <w:r w:rsidRPr="008657B1">
        <w:rPr>
          <w:rFonts w:cs="Tahoma"/>
          <w:color w:val="000000"/>
          <w:szCs w:val="20"/>
          <w:lang w:val="de-DE"/>
        </w:rPr>
        <w:t>Dynamics AX 2012 R2 (Nutzer &amp; Gerät)</w:t>
      </w:r>
    </w:p>
    <w:p w:rsidR="008D4EE5" w:rsidRPr="008657B1" w:rsidRDefault="008D4EE5" w:rsidP="008D4EE5">
      <w:pPr>
        <w:rPr>
          <w:lang w:val="de-DE"/>
        </w:rPr>
      </w:pPr>
      <w:r w:rsidRPr="008657B1">
        <w:rPr>
          <w:lang w:val="de-DE"/>
        </w:rPr>
        <w:t xml:space="preserve">Funktions-CAL für </w:t>
      </w:r>
      <w:r w:rsidRPr="008657B1">
        <w:rPr>
          <w:rFonts w:cs="Tahoma"/>
          <w:color w:val="000000"/>
          <w:szCs w:val="18"/>
          <w:lang w:val="de-DE"/>
        </w:rPr>
        <w:t xml:space="preserve">Microsoft </w:t>
      </w:r>
      <w:r w:rsidRPr="008657B1">
        <w:rPr>
          <w:rFonts w:cs="Tahoma"/>
          <w:color w:val="000000"/>
          <w:szCs w:val="20"/>
          <w:lang w:val="de-DE"/>
        </w:rPr>
        <w:t>Dynamics AX 2012 R2 (Nutzer &amp; Gerät)</w:t>
      </w:r>
    </w:p>
    <w:p w:rsidR="008D4EE5" w:rsidRPr="008657B1" w:rsidRDefault="008D4EE5" w:rsidP="008D4EE5">
      <w:pPr>
        <w:rPr>
          <w:lang w:val="de-DE"/>
        </w:rPr>
      </w:pPr>
      <w:r w:rsidRPr="008657B1">
        <w:rPr>
          <w:lang w:val="de-DE"/>
        </w:rPr>
        <w:t xml:space="preserve">CAL für </w:t>
      </w:r>
      <w:r w:rsidRPr="008657B1">
        <w:rPr>
          <w:rFonts w:cs="Tahoma"/>
          <w:color w:val="000000"/>
          <w:szCs w:val="18"/>
          <w:lang w:val="de-DE"/>
        </w:rPr>
        <w:t xml:space="preserve">Microsoft </w:t>
      </w:r>
      <w:r w:rsidRPr="008657B1">
        <w:rPr>
          <w:rFonts w:cs="Tahoma"/>
          <w:color w:val="000000"/>
          <w:szCs w:val="20"/>
          <w:lang w:val="de-DE"/>
        </w:rPr>
        <w:t>Dynamics AX 2012 R2 Self-Service (Nutzer &amp; Gerät)</w:t>
      </w:r>
    </w:p>
    <w:p w:rsidR="008D4EE5" w:rsidRPr="008657B1" w:rsidRDefault="008D4EE5" w:rsidP="008D4EE5">
      <w:pPr>
        <w:rPr>
          <w:lang w:val="de-DE"/>
        </w:rPr>
      </w:pPr>
      <w:r w:rsidRPr="008657B1">
        <w:rPr>
          <w:rFonts w:cs="Tahoma"/>
          <w:color w:val="000000"/>
          <w:szCs w:val="18"/>
          <w:lang w:val="de-DE"/>
        </w:rPr>
        <w:t xml:space="preserve">Microsoft </w:t>
      </w:r>
      <w:r w:rsidRPr="008657B1">
        <w:rPr>
          <w:rFonts w:cs="Tahoma"/>
          <w:color w:val="000000"/>
          <w:szCs w:val="20"/>
          <w:lang w:val="de-DE"/>
        </w:rPr>
        <w:t>Dynamics AX 2012 R2 Server</w:t>
      </w:r>
    </w:p>
    <w:p w:rsidR="008D4EE5" w:rsidRPr="008657B1" w:rsidRDefault="008D4EE5" w:rsidP="008D4EE5">
      <w:pPr>
        <w:rPr>
          <w:lang w:val="de-DE"/>
        </w:rPr>
      </w:pPr>
      <w:r w:rsidRPr="008657B1">
        <w:rPr>
          <w:lang w:val="de-DE"/>
        </w:rPr>
        <w:t xml:space="preserve">Zusätzliche Aufgaben-CAL für </w:t>
      </w:r>
      <w:r w:rsidRPr="008657B1">
        <w:rPr>
          <w:rFonts w:cs="Tahoma"/>
          <w:color w:val="000000"/>
          <w:szCs w:val="18"/>
          <w:lang w:val="de-DE"/>
        </w:rPr>
        <w:t xml:space="preserve">Microsoft </w:t>
      </w:r>
      <w:r w:rsidRPr="008657B1">
        <w:rPr>
          <w:rFonts w:cs="Tahoma"/>
          <w:color w:val="000000"/>
          <w:szCs w:val="20"/>
          <w:lang w:val="de-DE"/>
        </w:rPr>
        <w:t>Dynamics AX 2012 R2 (Nutzer &amp; Gerät)</w:t>
      </w:r>
    </w:p>
    <w:p w:rsidR="008D4EE5" w:rsidRPr="008657B1" w:rsidRDefault="008D4EE5" w:rsidP="008D4EE5">
      <w:pPr>
        <w:keepNext/>
        <w:tabs>
          <w:tab w:val="num" w:pos="720"/>
        </w:tabs>
        <w:outlineLvl w:val="3"/>
        <w:rPr>
          <w:lang w:val="de-DE"/>
        </w:rPr>
      </w:pPr>
      <w:r w:rsidRPr="008657B1">
        <w:rPr>
          <w:lang w:val="de-DE"/>
        </w:rPr>
        <w:t xml:space="preserve">Aufgaben-CAL für </w:t>
      </w:r>
      <w:r w:rsidRPr="008657B1">
        <w:rPr>
          <w:rFonts w:cs="Tahoma"/>
          <w:color w:val="000000"/>
          <w:szCs w:val="18"/>
          <w:lang w:val="de-DE"/>
        </w:rPr>
        <w:t xml:space="preserve">Microsoft </w:t>
      </w:r>
      <w:r w:rsidRPr="008657B1">
        <w:rPr>
          <w:rFonts w:cs="Tahoma"/>
          <w:color w:val="000000"/>
          <w:szCs w:val="20"/>
          <w:lang w:val="de-DE"/>
        </w:rPr>
        <w:t>Dynamics AX 2012 R2 (Nutzer &amp; Gerät)</w:t>
      </w:r>
    </w:p>
    <w:p w:rsidR="008D4EE5" w:rsidRPr="008657B1" w:rsidRDefault="008D4EE5" w:rsidP="008D4EE5">
      <w:pPr>
        <w:keepNext/>
        <w:tabs>
          <w:tab w:val="num" w:pos="720"/>
        </w:tabs>
        <w:outlineLvl w:val="3"/>
        <w:rPr>
          <w:lang w:val="de-DE"/>
        </w:rPr>
      </w:pPr>
    </w:p>
    <w:p w:rsidR="008D4EE5" w:rsidRPr="008657B1" w:rsidRDefault="008D4EE5" w:rsidP="008D4EE5">
      <w:pPr>
        <w:spacing w:after="60"/>
        <w:rPr>
          <w:lang w:val="de-DE"/>
        </w:rPr>
      </w:pPr>
      <w:r w:rsidRPr="008657B1">
        <w:rPr>
          <w:b/>
          <w:lang w:val="de-DE"/>
        </w:rPr>
        <w:t>Änderungen</w:t>
      </w:r>
    </w:p>
    <w:p w:rsidR="008D4EE5" w:rsidRPr="008657B1" w:rsidRDefault="008D4EE5" w:rsidP="008D4EE5">
      <w:pPr>
        <w:keepNext/>
        <w:tabs>
          <w:tab w:val="num" w:pos="720"/>
        </w:tabs>
        <w:outlineLvl w:val="3"/>
        <w:rPr>
          <w:lang w:val="de-DE"/>
        </w:rPr>
      </w:pPr>
      <w:r w:rsidRPr="008657B1">
        <w:rPr>
          <w:rFonts w:cs="Tahoma"/>
          <w:color w:val="000000"/>
          <w:szCs w:val="20"/>
          <w:lang w:val="de-DE"/>
        </w:rPr>
        <w:t>Visio 2013 Professional</w:t>
      </w:r>
    </w:p>
    <w:p w:rsidR="008D4EE5" w:rsidRPr="008657B1" w:rsidRDefault="008D4EE5" w:rsidP="008D4EE5">
      <w:pPr>
        <w:keepNext/>
        <w:tabs>
          <w:tab w:val="num" w:pos="720"/>
        </w:tabs>
        <w:outlineLvl w:val="3"/>
        <w:rPr>
          <w:lang w:val="de-DE"/>
        </w:rPr>
      </w:pPr>
    </w:p>
    <w:p w:rsidR="008D4EE5" w:rsidRPr="008657B1" w:rsidRDefault="008D4EE5" w:rsidP="008D4EE5">
      <w:pPr>
        <w:keepNext/>
        <w:tabs>
          <w:tab w:val="num" w:pos="720"/>
        </w:tabs>
        <w:spacing w:after="60"/>
        <w:outlineLvl w:val="3"/>
        <w:rPr>
          <w:lang w:val="de-DE"/>
        </w:rPr>
      </w:pPr>
      <w:r w:rsidRPr="008657B1">
        <w:rPr>
          <w:b/>
          <w:lang w:val="de-DE"/>
        </w:rPr>
        <w:t>Streichungen</w:t>
      </w:r>
    </w:p>
    <w:p w:rsidR="008D4EE5" w:rsidRPr="008657B1" w:rsidRDefault="008D4EE5" w:rsidP="008D4EE5">
      <w:pPr>
        <w:rPr>
          <w:lang w:val="de-DE"/>
        </w:rPr>
      </w:pPr>
      <w:r w:rsidRPr="008657B1">
        <w:rPr>
          <w:lang w:val="de-DE"/>
        </w:rPr>
        <w:t xml:space="preserve">Zusätzliche CAL für </w:t>
      </w:r>
      <w:r w:rsidRPr="008657B1">
        <w:rPr>
          <w:rFonts w:cs="Tahoma"/>
          <w:color w:val="000000"/>
          <w:szCs w:val="18"/>
          <w:lang w:val="de-DE"/>
        </w:rPr>
        <w:t xml:space="preserve">Microsoft </w:t>
      </w:r>
      <w:r w:rsidRPr="008657B1">
        <w:rPr>
          <w:rFonts w:cs="Tahoma"/>
          <w:color w:val="000000"/>
          <w:szCs w:val="20"/>
          <w:lang w:val="de-DE"/>
        </w:rPr>
        <w:t>Dynamics AX 2012 Enterprise (Nutzer &amp; Gerät)</w:t>
      </w:r>
    </w:p>
    <w:p w:rsidR="008D4EE5" w:rsidRPr="008657B1" w:rsidRDefault="008D4EE5" w:rsidP="008D4EE5">
      <w:pPr>
        <w:rPr>
          <w:lang w:val="de-DE"/>
        </w:rPr>
      </w:pPr>
      <w:r w:rsidRPr="008657B1">
        <w:rPr>
          <w:lang w:val="de-DE"/>
        </w:rPr>
        <w:t xml:space="preserve">CAL für </w:t>
      </w:r>
      <w:r w:rsidRPr="008657B1">
        <w:rPr>
          <w:rFonts w:cs="Tahoma"/>
          <w:color w:val="000000"/>
          <w:szCs w:val="18"/>
          <w:lang w:val="de-DE"/>
        </w:rPr>
        <w:t xml:space="preserve">Microsoft </w:t>
      </w:r>
      <w:r w:rsidRPr="008657B1">
        <w:rPr>
          <w:rFonts w:cs="Tahoma"/>
          <w:color w:val="000000"/>
          <w:szCs w:val="20"/>
          <w:lang w:val="de-DE"/>
        </w:rPr>
        <w:t>Dynamics AX 2012 Enterprise (Nutzer &amp; Gerät)</w:t>
      </w:r>
    </w:p>
    <w:p w:rsidR="008D4EE5" w:rsidRPr="008657B1" w:rsidRDefault="008D4EE5" w:rsidP="008D4EE5">
      <w:pPr>
        <w:rPr>
          <w:lang w:val="de-DE"/>
        </w:rPr>
      </w:pPr>
      <w:r w:rsidRPr="008657B1">
        <w:rPr>
          <w:lang w:val="de-DE"/>
        </w:rPr>
        <w:t xml:space="preserve">Zusätzliche Funktions-CAL für </w:t>
      </w:r>
      <w:r w:rsidRPr="008657B1">
        <w:rPr>
          <w:rFonts w:cs="Tahoma"/>
          <w:color w:val="000000"/>
          <w:szCs w:val="18"/>
          <w:lang w:val="de-DE"/>
        </w:rPr>
        <w:t xml:space="preserve">Microsoft </w:t>
      </w:r>
      <w:r w:rsidRPr="008657B1">
        <w:rPr>
          <w:rFonts w:cs="Tahoma"/>
          <w:color w:val="000000"/>
          <w:szCs w:val="20"/>
          <w:lang w:val="de-DE"/>
        </w:rPr>
        <w:t>Dynamics AX 2012 (Nutzer &amp; Gerät)</w:t>
      </w:r>
    </w:p>
    <w:p w:rsidR="008D4EE5" w:rsidRPr="008657B1" w:rsidRDefault="008D4EE5" w:rsidP="008D4EE5">
      <w:pPr>
        <w:rPr>
          <w:lang w:val="de-DE"/>
        </w:rPr>
      </w:pPr>
      <w:r w:rsidRPr="008657B1">
        <w:rPr>
          <w:lang w:val="de-DE"/>
        </w:rPr>
        <w:t xml:space="preserve">Funktions-CAL für </w:t>
      </w:r>
      <w:r w:rsidRPr="008657B1">
        <w:rPr>
          <w:rFonts w:cs="Tahoma"/>
          <w:color w:val="000000"/>
          <w:szCs w:val="18"/>
          <w:lang w:val="de-DE"/>
        </w:rPr>
        <w:t xml:space="preserve">Microsoft </w:t>
      </w:r>
      <w:r w:rsidRPr="008657B1">
        <w:rPr>
          <w:rFonts w:cs="Tahoma"/>
          <w:color w:val="000000"/>
          <w:szCs w:val="20"/>
          <w:lang w:val="de-DE"/>
        </w:rPr>
        <w:t>Dynamics AX 2012 (Nutzer &amp; Gerät)</w:t>
      </w:r>
    </w:p>
    <w:p w:rsidR="008D4EE5" w:rsidRPr="008657B1" w:rsidRDefault="008D4EE5" w:rsidP="008D4EE5">
      <w:pPr>
        <w:rPr>
          <w:lang w:val="de-DE"/>
        </w:rPr>
      </w:pPr>
      <w:r w:rsidRPr="008657B1">
        <w:rPr>
          <w:lang w:val="de-DE"/>
        </w:rPr>
        <w:t xml:space="preserve">CAL für </w:t>
      </w:r>
      <w:r w:rsidRPr="008657B1">
        <w:rPr>
          <w:rFonts w:cs="Tahoma"/>
          <w:color w:val="000000"/>
          <w:szCs w:val="18"/>
          <w:lang w:val="de-DE"/>
        </w:rPr>
        <w:t xml:space="preserve">Microsoft </w:t>
      </w:r>
      <w:r w:rsidRPr="008657B1">
        <w:rPr>
          <w:rFonts w:cs="Tahoma"/>
          <w:color w:val="000000"/>
          <w:szCs w:val="20"/>
          <w:lang w:val="de-DE"/>
        </w:rPr>
        <w:t>Dynamics AX 2012 Self-Service (Nutzer &amp; Gerät)</w:t>
      </w:r>
    </w:p>
    <w:p w:rsidR="008D4EE5" w:rsidRPr="008657B1" w:rsidRDefault="008D4EE5" w:rsidP="008D4EE5">
      <w:pPr>
        <w:rPr>
          <w:lang w:val="de-DE"/>
        </w:rPr>
      </w:pPr>
      <w:r w:rsidRPr="008657B1">
        <w:rPr>
          <w:rFonts w:cs="Tahoma"/>
          <w:color w:val="000000"/>
          <w:szCs w:val="18"/>
          <w:lang w:val="de-DE"/>
        </w:rPr>
        <w:t xml:space="preserve">Microsoft </w:t>
      </w:r>
      <w:r w:rsidRPr="008657B1">
        <w:rPr>
          <w:rFonts w:cs="Tahoma"/>
          <w:color w:val="000000"/>
          <w:szCs w:val="20"/>
          <w:lang w:val="de-DE"/>
        </w:rPr>
        <w:t>Dynamics AX 2012 Server</w:t>
      </w:r>
    </w:p>
    <w:p w:rsidR="008D4EE5" w:rsidRPr="008657B1" w:rsidRDefault="008D4EE5" w:rsidP="008D4EE5">
      <w:pPr>
        <w:rPr>
          <w:lang w:val="de-DE"/>
        </w:rPr>
      </w:pPr>
      <w:r w:rsidRPr="008657B1">
        <w:rPr>
          <w:lang w:val="de-DE"/>
        </w:rPr>
        <w:t xml:space="preserve">Zusätzliche Aufgaben-CAL für </w:t>
      </w:r>
      <w:r w:rsidRPr="008657B1">
        <w:rPr>
          <w:rFonts w:cs="Tahoma"/>
          <w:color w:val="000000"/>
          <w:szCs w:val="18"/>
          <w:lang w:val="de-DE"/>
        </w:rPr>
        <w:t xml:space="preserve">Microsoft </w:t>
      </w:r>
      <w:r w:rsidRPr="008657B1">
        <w:rPr>
          <w:rFonts w:cs="Tahoma"/>
          <w:color w:val="000000"/>
          <w:szCs w:val="20"/>
          <w:lang w:val="de-DE"/>
        </w:rPr>
        <w:t>Dynamics AX 2012 (Nutzer &amp; Gerät)</w:t>
      </w:r>
    </w:p>
    <w:p w:rsidR="008D4EE5" w:rsidRPr="008657B1" w:rsidRDefault="008D4EE5" w:rsidP="008D4EE5">
      <w:pPr>
        <w:rPr>
          <w:lang w:val="de-DE"/>
        </w:rPr>
      </w:pPr>
      <w:r w:rsidRPr="008657B1">
        <w:rPr>
          <w:lang w:val="de-DE"/>
        </w:rPr>
        <w:t xml:space="preserve">Aufgaben-CAL für </w:t>
      </w:r>
      <w:r w:rsidRPr="008657B1">
        <w:rPr>
          <w:rFonts w:cs="Tahoma"/>
          <w:color w:val="000000"/>
          <w:szCs w:val="18"/>
          <w:lang w:val="de-DE"/>
        </w:rPr>
        <w:t xml:space="preserve">Microsoft </w:t>
      </w:r>
      <w:r w:rsidRPr="008657B1">
        <w:rPr>
          <w:rFonts w:cs="Tahoma"/>
          <w:color w:val="000000"/>
          <w:szCs w:val="20"/>
          <w:lang w:val="de-DE"/>
        </w:rPr>
        <w:t>Dynamics AX 2012 (Nutzer &amp; Gerät)</w:t>
      </w:r>
    </w:p>
    <w:p w:rsidR="008D4EE5" w:rsidRPr="008657B1" w:rsidRDefault="008D4EE5" w:rsidP="008D4EE5">
      <w:pPr>
        <w:rPr>
          <w:lang w:val="de-DE"/>
        </w:rPr>
      </w:pPr>
    </w:p>
    <w:p w:rsidR="008D4EE5" w:rsidRPr="008657B1" w:rsidRDefault="008D4EE5" w:rsidP="008D4EE5">
      <w:pPr>
        <w:pStyle w:val="Heading2"/>
        <w:ind w:left="0"/>
        <w:jc w:val="both"/>
        <w:rPr>
          <w:lang w:val="de-DE"/>
        </w:rPr>
      </w:pPr>
      <w:bookmarkStart w:id="592" w:name="_Toc363998916"/>
      <w:r w:rsidRPr="008657B1">
        <w:rPr>
          <w:rFonts w:ascii="Tahoma" w:hAnsi="Tahoma" w:cs="Tahoma"/>
          <w:color w:val="FF6600"/>
          <w:lang w:val="de-DE"/>
        </w:rPr>
        <w:t>ÄNDERUNGEN IM JANUAR 2013</w:t>
      </w:r>
      <w:bookmarkEnd w:id="592"/>
    </w:p>
    <w:p w:rsidR="008D4EE5" w:rsidRPr="008657B1" w:rsidRDefault="008D4EE5" w:rsidP="008D4EE5">
      <w:pPr>
        <w:rPr>
          <w:lang w:val="de-DE"/>
        </w:rPr>
      </w:pPr>
    </w:p>
    <w:p w:rsidR="008D4EE5" w:rsidRPr="008657B1" w:rsidRDefault="008D4EE5" w:rsidP="008D4EE5">
      <w:pPr>
        <w:spacing w:after="60"/>
        <w:rPr>
          <w:lang w:val="de-DE"/>
        </w:rPr>
      </w:pPr>
      <w:r w:rsidRPr="008657B1">
        <w:rPr>
          <w:b/>
          <w:lang w:val="de-DE"/>
        </w:rPr>
        <w:t>Hinzufügungen</w:t>
      </w:r>
    </w:p>
    <w:p w:rsidR="008D4EE5" w:rsidRPr="008657B1" w:rsidRDefault="008D4EE5" w:rsidP="008D4EE5">
      <w:pPr>
        <w:keepNext/>
        <w:tabs>
          <w:tab w:val="num" w:pos="720"/>
        </w:tabs>
        <w:outlineLvl w:val="3"/>
        <w:rPr>
          <w:lang w:val="de-DE"/>
        </w:rPr>
      </w:pPr>
      <w:r w:rsidRPr="008657B1">
        <w:rPr>
          <w:rFonts w:cs="Tahoma"/>
          <w:color w:val="000000"/>
          <w:szCs w:val="20"/>
          <w:lang w:val="de-DE"/>
        </w:rPr>
        <w:t>Windows MultiPoint Server 2012 Premium mit Windows MultiPoint Server 2012 (CAL) (5 Clients)</w:t>
      </w:r>
    </w:p>
    <w:p w:rsidR="008D4EE5" w:rsidRPr="0062435A" w:rsidRDefault="008D4EE5" w:rsidP="008D4EE5">
      <w:pPr>
        <w:keepNext/>
        <w:tabs>
          <w:tab w:val="num" w:pos="720"/>
        </w:tabs>
        <w:outlineLvl w:val="3"/>
      </w:pPr>
      <w:r>
        <w:rPr>
          <w:rFonts w:cs="Tahoma"/>
          <w:color w:val="000000"/>
          <w:szCs w:val="20"/>
        </w:rPr>
        <w:t>Windows MultiPoint Server 2012 Premium mit Windows MultiPoint Server 2012 (CAL) (5 Clients) mit Windows</w:t>
      </w:r>
    </w:p>
    <w:p w:rsidR="008D4EE5" w:rsidRPr="0062435A" w:rsidRDefault="008D4EE5" w:rsidP="008D4EE5">
      <w:pPr>
        <w:spacing w:after="60"/>
      </w:pPr>
    </w:p>
    <w:p w:rsidR="008D4EE5" w:rsidRPr="008657B1" w:rsidRDefault="008D4EE5" w:rsidP="008D4EE5">
      <w:pPr>
        <w:spacing w:after="60"/>
        <w:rPr>
          <w:lang w:val="de-DE"/>
        </w:rPr>
      </w:pPr>
      <w:r w:rsidRPr="008657B1">
        <w:rPr>
          <w:b/>
          <w:lang w:val="de-DE"/>
        </w:rPr>
        <w:t>Änderungen</w:t>
      </w:r>
    </w:p>
    <w:p w:rsidR="008D4EE5" w:rsidRPr="008657B1" w:rsidRDefault="008D4EE5" w:rsidP="008D4EE5">
      <w:pPr>
        <w:rPr>
          <w:lang w:val="de-DE"/>
        </w:rPr>
      </w:pPr>
      <w:r w:rsidRPr="008657B1">
        <w:rPr>
          <w:color w:val="000000"/>
          <w:lang w:val="de-DE"/>
        </w:rPr>
        <w:t>CAL-Suite für Windows Small Business Server 2008 für Premium-Nutzer oder -Geräte</w:t>
      </w:r>
    </w:p>
    <w:p w:rsidR="008D4EE5" w:rsidRPr="008657B1" w:rsidRDefault="008D4EE5" w:rsidP="008D4EE5">
      <w:pPr>
        <w:rPr>
          <w:lang w:val="de-DE"/>
        </w:rPr>
      </w:pPr>
      <w:r w:rsidRPr="008657B1">
        <w:rPr>
          <w:color w:val="000000"/>
          <w:lang w:val="de-DE"/>
        </w:rPr>
        <w:t>CAL-Suite für Windows Small Business Server 2008 für Premium-Nutzer oder -Geräte (5 Clients)</w:t>
      </w:r>
    </w:p>
    <w:p w:rsidR="008D4EE5" w:rsidRPr="008657B1" w:rsidRDefault="008D4EE5" w:rsidP="008D4EE5">
      <w:pPr>
        <w:rPr>
          <w:lang w:val="de-DE"/>
        </w:rPr>
      </w:pPr>
      <w:r w:rsidRPr="008657B1">
        <w:rPr>
          <w:color w:val="000000"/>
          <w:lang w:val="de-DE"/>
        </w:rPr>
        <w:t>CAL-Suite für Windows Small Business Server 2008 für Premium-Nutzer oder -Geräte (20 Clients)</w:t>
      </w:r>
    </w:p>
    <w:p w:rsidR="008D4EE5" w:rsidRPr="0062435A" w:rsidRDefault="008D4EE5" w:rsidP="008D4EE5">
      <w:r>
        <w:rPr>
          <w:color w:val="000000"/>
        </w:rPr>
        <w:t>CAL-Suite für Windows Small Business Server 2011 (1 Client)</w:t>
      </w:r>
    </w:p>
    <w:p w:rsidR="008D4EE5" w:rsidRPr="0062435A" w:rsidRDefault="008D4EE5" w:rsidP="008D4EE5">
      <w:r>
        <w:rPr>
          <w:color w:val="000000"/>
        </w:rPr>
        <w:t>CAL-Suite für Windows Small Business Server 2011 (5 Clients)</w:t>
      </w:r>
    </w:p>
    <w:p w:rsidR="008D4EE5" w:rsidRPr="0062435A" w:rsidRDefault="008D4EE5" w:rsidP="008D4EE5">
      <w:r>
        <w:rPr>
          <w:color w:val="000000"/>
        </w:rPr>
        <w:t>CAL-Suite für Windows Small Business Server 2011 (20 Clients)</w:t>
      </w:r>
    </w:p>
    <w:p w:rsidR="008D4EE5" w:rsidRPr="0062435A" w:rsidRDefault="008D4EE5" w:rsidP="008D4EE5">
      <w:r>
        <w:rPr>
          <w:color w:val="000000"/>
        </w:rPr>
        <w:t>Windows Small Business Server 2011 Standard (5 Clients)</w:t>
      </w:r>
    </w:p>
    <w:p w:rsidR="008D4EE5" w:rsidRPr="0062435A" w:rsidRDefault="008D4EE5" w:rsidP="008D4EE5">
      <w:r>
        <w:rPr>
          <w:color w:val="000000"/>
        </w:rPr>
        <w:t>Add-On für Windows Small Business Server 2011 Premium (5 Clients)</w:t>
      </w:r>
    </w:p>
    <w:p w:rsidR="008D4EE5" w:rsidRPr="0062435A" w:rsidRDefault="008D4EE5" w:rsidP="008D4EE5"/>
    <w:p w:rsidR="008D4EE5" w:rsidRPr="008657B1" w:rsidRDefault="008D4EE5" w:rsidP="008D4EE5">
      <w:pPr>
        <w:spacing w:after="60"/>
        <w:rPr>
          <w:lang w:val="de-DE"/>
        </w:rPr>
      </w:pPr>
      <w:r w:rsidRPr="008657B1">
        <w:rPr>
          <w:b/>
          <w:lang w:val="de-DE"/>
        </w:rPr>
        <w:t>Streichungen</w:t>
      </w:r>
    </w:p>
    <w:p w:rsidR="008D4EE5" w:rsidRPr="008657B1" w:rsidRDefault="008D4EE5" w:rsidP="008D4EE5">
      <w:pPr>
        <w:rPr>
          <w:lang w:val="de-DE"/>
        </w:rPr>
      </w:pPr>
      <w:r w:rsidRPr="008657B1">
        <w:rPr>
          <w:color w:val="000000"/>
          <w:lang w:val="de-DE"/>
        </w:rPr>
        <w:t>Client-Management-Lizenz pro Betriebssystemumgebung für Windows Embedded Device Manager 2011</w:t>
      </w:r>
    </w:p>
    <w:p w:rsidR="008D4EE5" w:rsidRPr="008657B1" w:rsidRDefault="008D4EE5" w:rsidP="008D4EE5">
      <w:pPr>
        <w:rPr>
          <w:lang w:val="de-DE"/>
        </w:rPr>
      </w:pPr>
      <w:r w:rsidRPr="008657B1">
        <w:rPr>
          <w:color w:val="000000"/>
          <w:lang w:val="de-DE"/>
        </w:rPr>
        <w:t>Client-Management-Lizenz pro Nutzer für Windows Embedded Device Manager 2011</w:t>
      </w:r>
    </w:p>
    <w:p w:rsidR="008D4EE5" w:rsidRPr="008657B1" w:rsidRDefault="008D4EE5" w:rsidP="008D4EE5">
      <w:pPr>
        <w:rPr>
          <w:lang w:val="de-DE"/>
        </w:rPr>
      </w:pPr>
      <w:r w:rsidRPr="008657B1">
        <w:rPr>
          <w:rFonts w:cs="Tahoma"/>
          <w:color w:val="000000"/>
          <w:szCs w:val="20"/>
          <w:lang w:val="de-DE"/>
        </w:rPr>
        <w:t>Geräte-CAL für Windows Server 2008 für Windows Essential Server Solutions (5 Clients)</w:t>
      </w:r>
    </w:p>
    <w:p w:rsidR="008D4EE5" w:rsidRPr="008657B1" w:rsidRDefault="008D4EE5" w:rsidP="008D4EE5">
      <w:pPr>
        <w:rPr>
          <w:lang w:val="de-DE"/>
        </w:rPr>
      </w:pPr>
      <w:r w:rsidRPr="008657B1">
        <w:rPr>
          <w:rFonts w:cs="Tahoma"/>
          <w:color w:val="000000"/>
          <w:szCs w:val="20"/>
          <w:lang w:val="de-DE"/>
        </w:rPr>
        <w:t>Nutzer-CAL für Windows Server 2008 für Windows Essential Server Solutions (5 Clients)</w:t>
      </w:r>
    </w:p>
    <w:p w:rsidR="008D4EE5" w:rsidRPr="0062435A" w:rsidRDefault="008D4EE5" w:rsidP="008D4EE5">
      <w:pPr>
        <w:keepNext/>
        <w:tabs>
          <w:tab w:val="num" w:pos="720"/>
        </w:tabs>
        <w:outlineLvl w:val="3"/>
      </w:pPr>
      <w:r>
        <w:rPr>
          <w:rFonts w:cs="Tahoma"/>
          <w:color w:val="000000"/>
          <w:szCs w:val="20"/>
        </w:rPr>
        <w:t>Windows MultiPoint Server 2011 Premium mit Windows MultiPoint Server 2011 (CAL) (5 Clients)</w:t>
      </w:r>
    </w:p>
    <w:p w:rsidR="008D4EE5" w:rsidRPr="0062435A" w:rsidRDefault="008D4EE5" w:rsidP="008D4EE5">
      <w:r>
        <w:rPr>
          <w:rFonts w:cs="Tahoma"/>
          <w:color w:val="000000"/>
          <w:szCs w:val="20"/>
        </w:rPr>
        <w:t>Windows MultiPoint Server 2011 Premium mit Windows MultiPoint Server 2011 (CAL) (5 Clients) mit Windows</w:t>
      </w:r>
    </w:p>
    <w:p w:rsidR="00E728A0" w:rsidRPr="0062435A" w:rsidRDefault="00E728A0" w:rsidP="00E728A0"/>
    <w:p w:rsidR="008D4EE5" w:rsidRPr="0062435A" w:rsidRDefault="008D4EE5" w:rsidP="008D4EE5"/>
    <w:p w:rsidR="008D4EE5" w:rsidRPr="008657B1" w:rsidRDefault="008D4EE5" w:rsidP="008D4EE5">
      <w:pPr>
        <w:pStyle w:val="Heading2"/>
        <w:ind w:left="0"/>
        <w:jc w:val="both"/>
        <w:rPr>
          <w:lang w:val="de-DE"/>
        </w:rPr>
      </w:pPr>
      <w:bookmarkStart w:id="593" w:name="_Toc363998917"/>
      <w:r w:rsidRPr="008657B1">
        <w:rPr>
          <w:rFonts w:ascii="Tahoma" w:hAnsi="Tahoma" w:cs="Tahoma"/>
          <w:color w:val="FF6600"/>
          <w:lang w:val="de-DE"/>
        </w:rPr>
        <w:t>ÄNDERUNGEN IM DEZEMBER 2012</w:t>
      </w:r>
      <w:bookmarkEnd w:id="583"/>
      <w:bookmarkEnd w:id="593"/>
    </w:p>
    <w:p w:rsidR="008D4EE5" w:rsidRPr="008657B1" w:rsidRDefault="008D4EE5" w:rsidP="008D4EE5">
      <w:pPr>
        <w:jc w:val="both"/>
        <w:outlineLvl w:val="1"/>
        <w:rPr>
          <w:lang w:val="de-DE"/>
        </w:rPr>
      </w:pPr>
    </w:p>
    <w:p w:rsidR="008D4EE5" w:rsidRPr="008657B1" w:rsidRDefault="008D4EE5" w:rsidP="008D4EE5">
      <w:pPr>
        <w:spacing w:after="60"/>
        <w:rPr>
          <w:lang w:val="de-DE"/>
        </w:rPr>
      </w:pPr>
      <w:r w:rsidRPr="008657B1">
        <w:rPr>
          <w:b/>
          <w:lang w:val="de-DE"/>
        </w:rPr>
        <w:t>Hinzufügungen</w:t>
      </w:r>
    </w:p>
    <w:p w:rsidR="008D4EE5" w:rsidRPr="008657B1" w:rsidRDefault="008D4EE5" w:rsidP="008D4EE5">
      <w:pPr>
        <w:rPr>
          <w:lang w:val="de-DE"/>
        </w:rPr>
      </w:pPr>
      <w:r w:rsidRPr="008657B1">
        <w:rPr>
          <w:color w:val="000000"/>
          <w:lang w:val="de-DE"/>
        </w:rPr>
        <w:t>Access 2013</w:t>
      </w:r>
    </w:p>
    <w:p w:rsidR="008D4EE5" w:rsidRPr="008657B1" w:rsidRDefault="008D4EE5" w:rsidP="008D4EE5">
      <w:pPr>
        <w:rPr>
          <w:lang w:val="de-DE"/>
        </w:rPr>
      </w:pPr>
      <w:r w:rsidRPr="008657B1">
        <w:rPr>
          <w:color w:val="000000"/>
          <w:lang w:val="de-DE"/>
        </w:rPr>
        <w:t>Excel 2013</w:t>
      </w:r>
    </w:p>
    <w:p w:rsidR="008D4EE5" w:rsidRPr="008657B1" w:rsidRDefault="008D4EE5" w:rsidP="008D4EE5">
      <w:pPr>
        <w:rPr>
          <w:lang w:val="de-DE"/>
        </w:rPr>
      </w:pPr>
      <w:r w:rsidRPr="008657B1">
        <w:rPr>
          <w:color w:val="000000"/>
          <w:lang w:val="de-DE"/>
        </w:rPr>
        <w:t>Exchange Enterprise CAL mit Diensten 2013</w:t>
      </w:r>
    </w:p>
    <w:p w:rsidR="008D4EE5" w:rsidRPr="008657B1" w:rsidRDefault="008D4EE5" w:rsidP="008D4EE5">
      <w:pPr>
        <w:rPr>
          <w:lang w:val="de-DE"/>
        </w:rPr>
      </w:pPr>
      <w:r w:rsidRPr="008657B1">
        <w:rPr>
          <w:color w:val="000000"/>
          <w:lang w:val="de-DE"/>
        </w:rPr>
        <w:t>Exchange Enterprise CAL ohne Dienste 2013</w:t>
      </w:r>
    </w:p>
    <w:p w:rsidR="008D4EE5" w:rsidRPr="008657B1" w:rsidRDefault="008D4EE5" w:rsidP="008D4EE5">
      <w:pPr>
        <w:rPr>
          <w:lang w:val="de-DE"/>
        </w:rPr>
      </w:pPr>
      <w:r w:rsidRPr="008657B1">
        <w:rPr>
          <w:color w:val="000000"/>
          <w:lang w:val="de-DE"/>
        </w:rPr>
        <w:t>Exchange Server Enterprise 2013</w:t>
      </w:r>
    </w:p>
    <w:p w:rsidR="008D4EE5" w:rsidRPr="008657B1" w:rsidRDefault="008D4EE5" w:rsidP="008D4EE5">
      <w:pPr>
        <w:rPr>
          <w:lang w:val="de-DE"/>
        </w:rPr>
      </w:pPr>
      <w:r w:rsidRPr="008657B1">
        <w:rPr>
          <w:color w:val="000000"/>
          <w:lang w:val="de-DE"/>
        </w:rPr>
        <w:t>Exchange Server Standard 2013</w:t>
      </w:r>
    </w:p>
    <w:p w:rsidR="008D4EE5" w:rsidRPr="008657B1" w:rsidRDefault="008D4EE5" w:rsidP="008D4EE5">
      <w:pPr>
        <w:rPr>
          <w:lang w:val="de-DE"/>
        </w:rPr>
      </w:pPr>
      <w:r w:rsidRPr="008657B1">
        <w:rPr>
          <w:color w:val="000000"/>
          <w:lang w:val="de-DE"/>
        </w:rPr>
        <w:t>Standard-CAL für Exchange 2013</w:t>
      </w:r>
    </w:p>
    <w:p w:rsidR="008D4EE5" w:rsidRPr="008657B1" w:rsidRDefault="008D4EE5" w:rsidP="008D4EE5">
      <w:pPr>
        <w:rPr>
          <w:lang w:val="de-DE"/>
        </w:rPr>
      </w:pPr>
      <w:r w:rsidRPr="008657B1">
        <w:rPr>
          <w:color w:val="000000"/>
          <w:lang w:val="de-DE"/>
        </w:rPr>
        <w:t>InfoPath 2013</w:t>
      </w:r>
    </w:p>
    <w:p w:rsidR="008D4EE5" w:rsidRPr="008657B1" w:rsidRDefault="008D4EE5" w:rsidP="008D4EE5">
      <w:pPr>
        <w:rPr>
          <w:lang w:val="de-DE"/>
        </w:rPr>
      </w:pPr>
      <w:r w:rsidRPr="008657B1">
        <w:rPr>
          <w:color w:val="000000"/>
          <w:lang w:val="de-DE"/>
        </w:rPr>
        <w:t>Lync 2013</w:t>
      </w:r>
    </w:p>
    <w:p w:rsidR="008D4EE5" w:rsidRPr="008657B1" w:rsidRDefault="008D4EE5" w:rsidP="008D4EE5">
      <w:pPr>
        <w:rPr>
          <w:lang w:val="de-DE"/>
        </w:rPr>
      </w:pPr>
      <w:r w:rsidRPr="008657B1">
        <w:rPr>
          <w:color w:val="000000"/>
          <w:lang w:val="de-DE"/>
        </w:rPr>
        <w:t>Lync Server 2013</w:t>
      </w:r>
    </w:p>
    <w:p w:rsidR="008D4EE5" w:rsidRPr="008657B1" w:rsidRDefault="008D4EE5" w:rsidP="008D4EE5">
      <w:pPr>
        <w:rPr>
          <w:lang w:val="de-DE"/>
        </w:rPr>
      </w:pPr>
      <w:r w:rsidRPr="008657B1">
        <w:rPr>
          <w:color w:val="000000"/>
          <w:lang w:val="de-DE"/>
        </w:rPr>
        <w:t>Enterprise-CAL für Lync Server 2013</w:t>
      </w:r>
    </w:p>
    <w:p w:rsidR="008D4EE5" w:rsidRPr="008657B1" w:rsidRDefault="008D4EE5" w:rsidP="008D4EE5">
      <w:pPr>
        <w:rPr>
          <w:lang w:val="de-DE"/>
        </w:rPr>
      </w:pPr>
      <w:r w:rsidRPr="008657B1">
        <w:rPr>
          <w:color w:val="000000"/>
          <w:lang w:val="de-DE"/>
        </w:rPr>
        <w:t>CAL für Lync Server Plus 2013</w:t>
      </w:r>
    </w:p>
    <w:p w:rsidR="008D4EE5" w:rsidRPr="0062435A" w:rsidRDefault="008D4EE5" w:rsidP="008D4EE5">
      <w:r>
        <w:rPr>
          <w:color w:val="000000"/>
        </w:rPr>
        <w:t>Standard-CAL für Lync Server 2013</w:t>
      </w:r>
    </w:p>
    <w:p w:rsidR="008D4EE5" w:rsidRPr="0062435A" w:rsidRDefault="008D4EE5" w:rsidP="008D4EE5">
      <w:r>
        <w:rPr>
          <w:color w:val="000000"/>
        </w:rPr>
        <w:t>Office Home and Student RT 2013</w:t>
      </w:r>
    </w:p>
    <w:p w:rsidR="008D4EE5" w:rsidRPr="0062435A" w:rsidRDefault="008D4EE5" w:rsidP="008D4EE5">
      <w:r>
        <w:rPr>
          <w:color w:val="000000"/>
        </w:rPr>
        <w:t>Office Multi Language Pack 2013</w:t>
      </w:r>
    </w:p>
    <w:p w:rsidR="008D4EE5" w:rsidRPr="0062435A" w:rsidRDefault="008D4EE5" w:rsidP="008D4EE5">
      <w:r>
        <w:rPr>
          <w:color w:val="000000"/>
        </w:rPr>
        <w:t>Office Professional Plus 2013</w:t>
      </w:r>
    </w:p>
    <w:p w:rsidR="008D4EE5" w:rsidRPr="0062435A" w:rsidRDefault="008D4EE5" w:rsidP="008D4EE5">
      <w:r>
        <w:rPr>
          <w:color w:val="000000"/>
        </w:rPr>
        <w:t>Office Standard 2013</w:t>
      </w:r>
    </w:p>
    <w:p w:rsidR="008D4EE5" w:rsidRPr="0062435A" w:rsidRDefault="008D4EE5" w:rsidP="008D4EE5">
      <w:r>
        <w:rPr>
          <w:color w:val="000000"/>
        </w:rPr>
        <w:t>OneNote 2013</w:t>
      </w:r>
    </w:p>
    <w:p w:rsidR="008D4EE5" w:rsidRPr="0062435A" w:rsidRDefault="008D4EE5" w:rsidP="008D4EE5">
      <w:r>
        <w:rPr>
          <w:color w:val="000000"/>
        </w:rPr>
        <w:t>Outlook 2013</w:t>
      </w:r>
    </w:p>
    <w:p w:rsidR="008D4EE5" w:rsidRPr="0062435A" w:rsidRDefault="008D4EE5" w:rsidP="008D4EE5">
      <w:r>
        <w:rPr>
          <w:color w:val="000000"/>
        </w:rPr>
        <w:t>PowerPoint 2013</w:t>
      </w:r>
    </w:p>
    <w:p w:rsidR="008D4EE5" w:rsidRPr="0062435A" w:rsidRDefault="008D4EE5" w:rsidP="008D4EE5">
      <w:r>
        <w:rPr>
          <w:color w:val="000000"/>
        </w:rPr>
        <w:t>Project Standard 2013</w:t>
      </w:r>
    </w:p>
    <w:p w:rsidR="008D4EE5" w:rsidRPr="0062435A" w:rsidRDefault="008D4EE5" w:rsidP="008D4EE5">
      <w:r>
        <w:rPr>
          <w:color w:val="000000"/>
        </w:rPr>
        <w:t>Project Professional 2013</w:t>
      </w:r>
    </w:p>
    <w:p w:rsidR="008D4EE5" w:rsidRPr="0062435A" w:rsidRDefault="008D4EE5" w:rsidP="008D4EE5">
      <w:r>
        <w:rPr>
          <w:color w:val="000000"/>
        </w:rPr>
        <w:t>Project Server 2013</w:t>
      </w:r>
    </w:p>
    <w:p w:rsidR="008D4EE5" w:rsidRPr="0062435A" w:rsidRDefault="008D4EE5" w:rsidP="008D4EE5">
      <w:r>
        <w:rPr>
          <w:color w:val="000000"/>
        </w:rPr>
        <w:t>CAL für Project Server 2013</w:t>
      </w:r>
    </w:p>
    <w:p w:rsidR="008D4EE5" w:rsidRPr="0062435A" w:rsidRDefault="008D4EE5" w:rsidP="008D4EE5">
      <w:r>
        <w:rPr>
          <w:color w:val="000000"/>
        </w:rPr>
        <w:t>Publisher 2013</w:t>
      </w:r>
    </w:p>
    <w:p w:rsidR="008D4EE5" w:rsidRPr="0062435A" w:rsidRDefault="008D4EE5" w:rsidP="008D4EE5">
      <w:r>
        <w:rPr>
          <w:color w:val="000000"/>
        </w:rPr>
        <w:t>Enterprise-CAL für SharePoint 2013</w:t>
      </w:r>
    </w:p>
    <w:p w:rsidR="008D4EE5" w:rsidRPr="0062435A" w:rsidRDefault="008D4EE5" w:rsidP="008D4EE5">
      <w:r>
        <w:rPr>
          <w:color w:val="000000"/>
        </w:rPr>
        <w:t>SharePoint Server 2013</w:t>
      </w:r>
    </w:p>
    <w:p w:rsidR="008D4EE5" w:rsidRPr="0062435A" w:rsidRDefault="008D4EE5" w:rsidP="008D4EE5">
      <w:r>
        <w:rPr>
          <w:color w:val="000000"/>
        </w:rPr>
        <w:t>Standard-CAL für SharePoint 2013</w:t>
      </w:r>
    </w:p>
    <w:p w:rsidR="008D4EE5" w:rsidRPr="0062435A" w:rsidRDefault="008D4EE5" w:rsidP="008D4EE5">
      <w:r>
        <w:rPr>
          <w:color w:val="000000"/>
        </w:rPr>
        <w:t>Visio Professional 2013</w:t>
      </w:r>
    </w:p>
    <w:p w:rsidR="008D4EE5" w:rsidRPr="0062435A" w:rsidRDefault="008D4EE5" w:rsidP="008D4EE5">
      <w:r>
        <w:rPr>
          <w:color w:val="000000"/>
        </w:rPr>
        <w:t>Visio Standard 2013</w:t>
      </w:r>
    </w:p>
    <w:p w:rsidR="008D4EE5" w:rsidRPr="0062435A" w:rsidRDefault="008D4EE5" w:rsidP="008D4EE5">
      <w:r>
        <w:rPr>
          <w:color w:val="000000"/>
        </w:rPr>
        <w:t>Word 2013</w:t>
      </w:r>
    </w:p>
    <w:p w:rsidR="008D4EE5" w:rsidRPr="0062435A" w:rsidRDefault="008D4EE5" w:rsidP="008D4EE5">
      <w:r>
        <w:rPr>
          <w:color w:val="000000"/>
        </w:rPr>
        <w:t>Windows MultiPoint Server Standard 2012</w:t>
      </w:r>
    </w:p>
    <w:p w:rsidR="008D4EE5" w:rsidRPr="0062435A" w:rsidRDefault="008D4EE5" w:rsidP="008D4EE5">
      <w:r>
        <w:rPr>
          <w:color w:val="000000"/>
        </w:rPr>
        <w:t>Windows MultiPoint Server Premium 2012</w:t>
      </w:r>
    </w:p>
    <w:p w:rsidR="008D4EE5" w:rsidRPr="0062435A" w:rsidRDefault="008D4EE5" w:rsidP="008D4EE5">
      <w:r>
        <w:rPr>
          <w:color w:val="000000"/>
        </w:rPr>
        <w:t>CAL für Windows MultiPoint Server 2012</w:t>
      </w:r>
    </w:p>
    <w:p w:rsidR="008D4EE5" w:rsidRPr="008657B1" w:rsidRDefault="008D4EE5" w:rsidP="008D4EE5">
      <w:pPr>
        <w:rPr>
          <w:lang w:val="de-DE"/>
        </w:rPr>
      </w:pPr>
      <w:r w:rsidRPr="008657B1">
        <w:rPr>
          <w:color w:val="000000"/>
          <w:lang w:val="de-DE"/>
        </w:rPr>
        <w:t>CAL für Windows MultiPoint Server mit CAL für Windows Server 2012</w:t>
      </w:r>
    </w:p>
    <w:p w:rsidR="008D4EE5" w:rsidRPr="008657B1" w:rsidRDefault="008D4EE5" w:rsidP="008D4EE5">
      <w:pPr>
        <w:rPr>
          <w:lang w:val="de-DE"/>
        </w:rPr>
      </w:pPr>
      <w:r w:rsidRPr="008657B1">
        <w:rPr>
          <w:color w:val="000000"/>
          <w:lang w:val="de-DE"/>
        </w:rPr>
        <w:t>Windows Intune (Pro Nutzer)</w:t>
      </w:r>
    </w:p>
    <w:p w:rsidR="008D4EE5" w:rsidRPr="008657B1" w:rsidRDefault="008D4EE5" w:rsidP="00E728A0">
      <w:pPr>
        <w:rPr>
          <w:lang w:val="de-DE"/>
        </w:rPr>
      </w:pPr>
      <w:r w:rsidRPr="008657B1">
        <w:rPr>
          <w:color w:val="000000"/>
          <w:lang w:val="de-DE"/>
        </w:rPr>
        <w:t>Windows Intune Add-on für System Center Configuration Manager und System Center Endpoint Protection (pro</w:t>
      </w:r>
      <w:r w:rsidR="00E728A0">
        <w:rPr>
          <w:color w:val="000000"/>
          <w:lang w:val="de-DE"/>
        </w:rPr>
        <w:t> </w:t>
      </w:r>
      <w:r w:rsidRPr="008657B1">
        <w:rPr>
          <w:color w:val="000000"/>
          <w:lang w:val="de-DE"/>
        </w:rPr>
        <w:t>Nutzer)</w:t>
      </w:r>
    </w:p>
    <w:p w:rsidR="008D4EE5" w:rsidRPr="008657B1" w:rsidRDefault="008D4EE5" w:rsidP="008D4EE5">
      <w:pPr>
        <w:rPr>
          <w:lang w:val="de-DE"/>
        </w:rPr>
      </w:pPr>
      <w:r w:rsidRPr="008657B1">
        <w:rPr>
          <w:color w:val="000000"/>
          <w:lang w:val="de-DE"/>
        </w:rPr>
        <w:t>Nutzer-AL für Windows Intune</w:t>
      </w:r>
    </w:p>
    <w:p w:rsidR="008D4EE5" w:rsidRPr="008657B1" w:rsidRDefault="008D4EE5" w:rsidP="008D4EE5">
      <w:pPr>
        <w:rPr>
          <w:lang w:val="de-DE"/>
        </w:rPr>
      </w:pPr>
      <w:r w:rsidRPr="008657B1">
        <w:rPr>
          <w:color w:val="000000"/>
          <w:lang w:val="de-DE"/>
        </w:rPr>
        <w:t>Nutzer-AL für Add-On für Windows Intune</w:t>
      </w:r>
    </w:p>
    <w:p w:rsidR="008D4EE5" w:rsidRPr="008657B1" w:rsidRDefault="008D4EE5" w:rsidP="008D4EE5">
      <w:pPr>
        <w:rPr>
          <w:lang w:val="de-DE"/>
        </w:rPr>
      </w:pPr>
      <w:r w:rsidRPr="008657B1">
        <w:rPr>
          <w:color w:val="000000"/>
          <w:lang w:val="de-DE"/>
        </w:rPr>
        <w:t>Nutzer-AL für Add-On für Windows Intune Extra Storage 1 GB</w:t>
      </w:r>
    </w:p>
    <w:p w:rsidR="008D4EE5" w:rsidRPr="008657B1" w:rsidRDefault="008D4EE5" w:rsidP="008D4EE5">
      <w:pPr>
        <w:rPr>
          <w:lang w:val="de-DE"/>
        </w:rPr>
      </w:pPr>
      <w:r w:rsidRPr="008657B1">
        <w:rPr>
          <w:color w:val="000000"/>
          <w:lang w:val="de-DE"/>
        </w:rPr>
        <w:t>Win Pro mit MDOP 8</w:t>
      </w:r>
    </w:p>
    <w:p w:rsidR="008D4EE5" w:rsidRPr="008657B1" w:rsidRDefault="008D4EE5" w:rsidP="008D4EE5">
      <w:pPr>
        <w:keepNext/>
        <w:tabs>
          <w:tab w:val="num" w:pos="720"/>
        </w:tabs>
        <w:spacing w:before="60"/>
        <w:outlineLvl w:val="3"/>
        <w:rPr>
          <w:lang w:val="de-DE"/>
        </w:rPr>
      </w:pPr>
    </w:p>
    <w:p w:rsidR="008D4EE5" w:rsidRPr="008657B1" w:rsidRDefault="008D4EE5" w:rsidP="008D4EE5">
      <w:pPr>
        <w:spacing w:after="60"/>
        <w:rPr>
          <w:lang w:val="de-DE"/>
        </w:rPr>
      </w:pPr>
      <w:r w:rsidRPr="008657B1">
        <w:rPr>
          <w:b/>
          <w:lang w:val="de-DE"/>
        </w:rPr>
        <w:t xml:space="preserve">Promotions </w:t>
      </w:r>
    </w:p>
    <w:p w:rsidR="008D4EE5" w:rsidRPr="008657B1" w:rsidRDefault="008D4EE5" w:rsidP="008D4EE5">
      <w:pPr>
        <w:outlineLvl w:val="1"/>
        <w:rPr>
          <w:lang w:val="de-DE"/>
        </w:rPr>
      </w:pPr>
      <w:r w:rsidRPr="008657B1">
        <w:rPr>
          <w:rFonts w:cs="Tahoma"/>
          <w:color w:val="000000"/>
          <w:szCs w:val="18"/>
          <w:lang w:val="de-DE"/>
        </w:rPr>
        <w:t>Die folgenden Promotions wurden hinzugefügt:</w:t>
      </w:r>
    </w:p>
    <w:p w:rsidR="008D4EE5" w:rsidRPr="008657B1" w:rsidRDefault="008D4EE5" w:rsidP="008D4EE5">
      <w:pPr>
        <w:outlineLvl w:val="1"/>
        <w:rPr>
          <w:lang w:val="de-DE"/>
        </w:rPr>
      </w:pPr>
      <w:r w:rsidRPr="008657B1">
        <w:rPr>
          <w:rFonts w:cs="Tahoma"/>
          <w:color w:val="000000"/>
          <w:szCs w:val="18"/>
          <w:lang w:val="de-DE"/>
        </w:rPr>
        <w:t>Microsoft Dynamics AX 2012 R2 – Eine Enterprise-CAL kaufen, eine Funktions-CAL dazu</w:t>
      </w:r>
    </w:p>
    <w:p w:rsidR="008D4EE5" w:rsidRPr="008657B1" w:rsidRDefault="008D4EE5" w:rsidP="008D4EE5">
      <w:pPr>
        <w:outlineLvl w:val="1"/>
        <w:rPr>
          <w:lang w:val="de-DE"/>
        </w:rPr>
      </w:pPr>
      <w:r w:rsidRPr="008657B1">
        <w:rPr>
          <w:rFonts w:cs="Tahoma"/>
          <w:color w:val="000000"/>
          <w:szCs w:val="18"/>
          <w:lang w:val="de-DE"/>
        </w:rPr>
        <w:t>Microsoft Dynamics AX 2012 R2 – EA Starter-Promotion</w:t>
      </w:r>
    </w:p>
    <w:p w:rsidR="008D4EE5" w:rsidRPr="008657B1" w:rsidRDefault="008D4EE5" w:rsidP="008D4EE5">
      <w:pPr>
        <w:outlineLvl w:val="1"/>
        <w:rPr>
          <w:lang w:val="de-DE"/>
        </w:rPr>
      </w:pPr>
      <w:r w:rsidRPr="008657B1">
        <w:rPr>
          <w:rFonts w:cs="Tahoma"/>
          <w:color w:val="000000"/>
          <w:szCs w:val="18"/>
          <w:lang w:val="de-DE"/>
        </w:rPr>
        <w:t>Windows Intune neuer PC 20 % Promotion</w:t>
      </w:r>
    </w:p>
    <w:p w:rsidR="008D4EE5" w:rsidRPr="008657B1" w:rsidRDefault="008D4EE5" w:rsidP="008D4EE5">
      <w:pPr>
        <w:outlineLvl w:val="1"/>
        <w:rPr>
          <w:lang w:val="de-DE"/>
        </w:rPr>
      </w:pPr>
    </w:p>
    <w:p w:rsidR="008D4EE5" w:rsidRPr="008657B1" w:rsidRDefault="008D4EE5" w:rsidP="008D4EE5">
      <w:pPr>
        <w:outlineLvl w:val="1"/>
        <w:rPr>
          <w:lang w:val="de-DE"/>
        </w:rPr>
      </w:pPr>
      <w:r w:rsidRPr="008657B1">
        <w:rPr>
          <w:rFonts w:cs="Tahoma"/>
          <w:color w:val="000000"/>
          <w:szCs w:val="18"/>
          <w:lang w:val="de-DE"/>
        </w:rPr>
        <w:t>Die folgenden Promotions wurden gelöscht:</w:t>
      </w:r>
    </w:p>
    <w:p w:rsidR="008D4EE5" w:rsidRPr="008657B1" w:rsidRDefault="008D4EE5" w:rsidP="008D4EE5">
      <w:pPr>
        <w:outlineLvl w:val="1"/>
        <w:rPr>
          <w:lang w:val="de-DE"/>
        </w:rPr>
      </w:pPr>
      <w:r w:rsidRPr="008657B1">
        <w:rPr>
          <w:lang w:val="de-DE"/>
        </w:rPr>
        <w:t>Windows Intune neuer PC 20 % Promotion</w:t>
      </w:r>
    </w:p>
    <w:p w:rsidR="008D4EE5" w:rsidRPr="008657B1" w:rsidRDefault="008D4EE5" w:rsidP="008D4EE5">
      <w:pPr>
        <w:outlineLvl w:val="1"/>
        <w:rPr>
          <w:lang w:val="de-DE"/>
        </w:rPr>
      </w:pPr>
    </w:p>
    <w:p w:rsidR="008D4EE5" w:rsidRPr="008657B1" w:rsidRDefault="008D4EE5" w:rsidP="008D4EE5">
      <w:pPr>
        <w:spacing w:after="60"/>
        <w:rPr>
          <w:lang w:val="de-DE"/>
        </w:rPr>
      </w:pPr>
      <w:r w:rsidRPr="008657B1">
        <w:rPr>
          <w:b/>
          <w:lang w:val="de-DE"/>
        </w:rPr>
        <w:t>Streichungen</w:t>
      </w:r>
    </w:p>
    <w:p w:rsidR="008D4EE5" w:rsidRPr="0062435A" w:rsidRDefault="008D4EE5" w:rsidP="008D4EE5">
      <w:r>
        <w:rPr>
          <w:color w:val="000000"/>
        </w:rPr>
        <w:t>Access 2010</w:t>
      </w:r>
    </w:p>
    <w:p w:rsidR="008D4EE5" w:rsidRPr="0062435A" w:rsidRDefault="008D4EE5" w:rsidP="008D4EE5">
      <w:r>
        <w:rPr>
          <w:color w:val="000000"/>
        </w:rPr>
        <w:t>Duet Enterprise für Microsoft SharePoint und SAP 1</w:t>
      </w:r>
      <w:r w:rsidR="00844B7C">
        <w:rPr>
          <w:color w:val="000000"/>
        </w:rPr>
        <w:t>.</w:t>
      </w:r>
      <w:r>
        <w:rPr>
          <w:color w:val="000000"/>
        </w:rPr>
        <w:t>0</w:t>
      </w:r>
    </w:p>
    <w:p w:rsidR="008D4EE5" w:rsidRPr="0062435A" w:rsidRDefault="008D4EE5" w:rsidP="008D4EE5">
      <w:r>
        <w:rPr>
          <w:color w:val="000000"/>
        </w:rPr>
        <w:t>Dynamics CRM Onprem Mobile</w:t>
      </w:r>
    </w:p>
    <w:p w:rsidR="008D4EE5" w:rsidRPr="0062435A" w:rsidRDefault="008D4EE5" w:rsidP="008D4EE5">
      <w:r>
        <w:rPr>
          <w:color w:val="000000"/>
        </w:rPr>
        <w:t>Dynamics CRM Mobile</w:t>
      </w:r>
    </w:p>
    <w:p w:rsidR="008D4EE5" w:rsidRPr="0062435A" w:rsidRDefault="008D4EE5" w:rsidP="008D4EE5">
      <w:r>
        <w:rPr>
          <w:color w:val="000000"/>
        </w:rPr>
        <w:t>Excel 2010</w:t>
      </w:r>
    </w:p>
    <w:p w:rsidR="008D4EE5" w:rsidRPr="0062435A" w:rsidRDefault="008D4EE5" w:rsidP="008D4EE5">
      <w:r>
        <w:rPr>
          <w:color w:val="000000"/>
        </w:rPr>
        <w:t>Externer Connector für Exchange Server 2010</w:t>
      </w:r>
    </w:p>
    <w:p w:rsidR="008D4EE5" w:rsidRPr="0062435A" w:rsidRDefault="008D4EE5" w:rsidP="008D4EE5">
      <w:r>
        <w:rPr>
          <w:color w:val="000000"/>
        </w:rPr>
        <w:t>FAST Search Server SharePoint</w:t>
      </w:r>
    </w:p>
    <w:p w:rsidR="008D4EE5" w:rsidRPr="0062435A" w:rsidRDefault="008D4EE5" w:rsidP="008D4EE5">
      <w:r>
        <w:rPr>
          <w:color w:val="000000"/>
        </w:rPr>
        <w:t>Forefront Protection Suite</w:t>
      </w:r>
    </w:p>
    <w:p w:rsidR="008D4EE5" w:rsidRPr="0062435A" w:rsidRDefault="008D4EE5" w:rsidP="008D4EE5">
      <w:r>
        <w:rPr>
          <w:color w:val="000000"/>
        </w:rPr>
        <w:t>Forefront Security Exchange Server</w:t>
      </w:r>
    </w:p>
    <w:p w:rsidR="008D4EE5" w:rsidRPr="0062435A" w:rsidRDefault="008D4EE5" w:rsidP="008D4EE5">
      <w:r>
        <w:rPr>
          <w:color w:val="000000"/>
        </w:rPr>
        <w:t>Forefront Security Office Communications Server</w:t>
      </w:r>
    </w:p>
    <w:p w:rsidR="008D4EE5" w:rsidRPr="0062435A" w:rsidRDefault="008D4EE5" w:rsidP="008D4EE5">
      <w:r>
        <w:rPr>
          <w:color w:val="000000"/>
        </w:rPr>
        <w:t>Forefront Security SharePoint</w:t>
      </w:r>
    </w:p>
    <w:p w:rsidR="008D4EE5" w:rsidRPr="0062435A" w:rsidRDefault="008D4EE5" w:rsidP="008D4EE5">
      <w:r>
        <w:rPr>
          <w:color w:val="000000"/>
        </w:rPr>
        <w:t>Forefront Security Server Management Console</w:t>
      </w:r>
    </w:p>
    <w:p w:rsidR="008D4EE5" w:rsidRPr="0062435A" w:rsidRDefault="008D4EE5" w:rsidP="008D4EE5">
      <w:r>
        <w:rPr>
          <w:color w:val="000000"/>
        </w:rPr>
        <w:t>Forefront Security Web</w:t>
      </w:r>
    </w:p>
    <w:p w:rsidR="008D4EE5" w:rsidRPr="0062435A" w:rsidRDefault="008D4EE5" w:rsidP="008D4EE5">
      <w:r>
        <w:rPr>
          <w:color w:val="000000"/>
        </w:rPr>
        <w:t>Forefront Threat Management Gateway Enterprise</w:t>
      </w:r>
    </w:p>
    <w:p w:rsidR="008D4EE5" w:rsidRPr="0062435A" w:rsidRDefault="008D4EE5" w:rsidP="008D4EE5">
      <w:r>
        <w:rPr>
          <w:color w:val="000000"/>
        </w:rPr>
        <w:t>Forefront Threat Management Gateway Medium Business</w:t>
      </w:r>
    </w:p>
    <w:p w:rsidR="008D4EE5" w:rsidRPr="0062435A" w:rsidRDefault="008D4EE5" w:rsidP="008D4EE5">
      <w:r>
        <w:rPr>
          <w:color w:val="000000"/>
        </w:rPr>
        <w:t>Forefront Threat Management Gateway Standard</w:t>
      </w:r>
    </w:p>
    <w:p w:rsidR="008D4EE5" w:rsidRPr="0062435A" w:rsidRDefault="008D4EE5" w:rsidP="008D4EE5">
      <w:r>
        <w:rPr>
          <w:color w:val="000000"/>
        </w:rPr>
        <w:t>Forefront Threat Management Gateway Web Protection Service</w:t>
      </w:r>
    </w:p>
    <w:p w:rsidR="008D4EE5" w:rsidRPr="0062435A" w:rsidRDefault="008D4EE5" w:rsidP="008D4EE5">
      <w:r>
        <w:rPr>
          <w:color w:val="000000"/>
        </w:rPr>
        <w:t>Forefront Protection 2010 für Exchange Server</w:t>
      </w:r>
    </w:p>
    <w:p w:rsidR="008D4EE5" w:rsidRPr="0062435A" w:rsidRDefault="008D4EE5" w:rsidP="008D4EE5">
      <w:r>
        <w:rPr>
          <w:color w:val="000000"/>
        </w:rPr>
        <w:t>Externer Connector für Forefront Protection 2010 für Exchange Server</w:t>
      </w:r>
    </w:p>
    <w:p w:rsidR="008D4EE5" w:rsidRPr="0062435A" w:rsidRDefault="008D4EE5" w:rsidP="008D4EE5">
      <w:r>
        <w:rPr>
          <w:color w:val="000000"/>
        </w:rPr>
        <w:t>Forefront Protection SharePoint</w:t>
      </w:r>
    </w:p>
    <w:p w:rsidR="008D4EE5" w:rsidRPr="0062435A" w:rsidRDefault="008D4EE5" w:rsidP="008D4EE5">
      <w:r>
        <w:rPr>
          <w:color w:val="000000"/>
        </w:rPr>
        <w:t>Groove Enterprise Services</w:t>
      </w:r>
    </w:p>
    <w:p w:rsidR="008D4EE5" w:rsidRPr="0062435A" w:rsidRDefault="008D4EE5" w:rsidP="008D4EE5">
      <w:r>
        <w:rPr>
          <w:color w:val="000000"/>
        </w:rPr>
        <w:t>Groove Server</w:t>
      </w:r>
    </w:p>
    <w:p w:rsidR="008D4EE5" w:rsidRPr="0062435A" w:rsidRDefault="008D4EE5" w:rsidP="008D4EE5">
      <w:r>
        <w:rPr>
          <w:color w:val="000000"/>
        </w:rPr>
        <w:t>InfoPath 2010</w:t>
      </w:r>
    </w:p>
    <w:p w:rsidR="008D4EE5" w:rsidRPr="0062435A" w:rsidRDefault="008D4EE5" w:rsidP="008D4EE5">
      <w:r>
        <w:rPr>
          <w:color w:val="000000"/>
        </w:rPr>
        <w:t>Lync 2010</w:t>
      </w:r>
    </w:p>
    <w:p w:rsidR="008D4EE5" w:rsidRPr="0062435A" w:rsidRDefault="008D4EE5" w:rsidP="008D4EE5">
      <w:r>
        <w:rPr>
          <w:color w:val="000000"/>
        </w:rPr>
        <w:t>Lync Server 2010 Enterprise Edition</w:t>
      </w:r>
    </w:p>
    <w:p w:rsidR="008D4EE5" w:rsidRPr="0062435A" w:rsidRDefault="008D4EE5" w:rsidP="008D4EE5">
      <w:r>
        <w:rPr>
          <w:color w:val="000000"/>
        </w:rPr>
        <w:t>Externer Connector für Lync Server 2010 Enterprise</w:t>
      </w:r>
    </w:p>
    <w:p w:rsidR="008D4EE5" w:rsidRPr="0062435A" w:rsidRDefault="008D4EE5" w:rsidP="008D4EE5">
      <w:r>
        <w:rPr>
          <w:color w:val="000000"/>
        </w:rPr>
        <w:t>Externer Connector für Lync Server 2010 Plus</w:t>
      </w:r>
    </w:p>
    <w:p w:rsidR="008D4EE5" w:rsidRPr="0062435A" w:rsidRDefault="008D4EE5" w:rsidP="008D4EE5">
      <w:r>
        <w:rPr>
          <w:color w:val="000000"/>
        </w:rPr>
        <w:t>Externer Connector für Lync Server 2010</w:t>
      </w:r>
    </w:p>
    <w:p w:rsidR="008D4EE5" w:rsidRPr="0062435A" w:rsidRDefault="008D4EE5" w:rsidP="008D4EE5">
      <w:r>
        <w:rPr>
          <w:color w:val="000000"/>
        </w:rPr>
        <w:t>Lync Server 2010 Standard Edition</w:t>
      </w:r>
    </w:p>
    <w:p w:rsidR="008D4EE5" w:rsidRPr="0062435A" w:rsidRDefault="008D4EE5" w:rsidP="008D4EE5">
      <w:r>
        <w:rPr>
          <w:color w:val="000000"/>
        </w:rPr>
        <w:t>Office Groove Enterprise Services</w:t>
      </w:r>
    </w:p>
    <w:p w:rsidR="008D4EE5" w:rsidRPr="0062435A" w:rsidRDefault="008D4EE5" w:rsidP="008D4EE5">
      <w:r>
        <w:rPr>
          <w:color w:val="000000"/>
        </w:rPr>
        <w:t>Office Multi-Language Pack 2010</w:t>
      </w:r>
    </w:p>
    <w:p w:rsidR="008D4EE5" w:rsidRPr="0062435A" w:rsidRDefault="008D4EE5" w:rsidP="008D4EE5">
      <w:r>
        <w:rPr>
          <w:color w:val="000000"/>
        </w:rPr>
        <w:t>Office Professional Plus 2010</w:t>
      </w:r>
    </w:p>
    <w:p w:rsidR="008D4EE5" w:rsidRPr="0062435A" w:rsidRDefault="008D4EE5" w:rsidP="008D4EE5">
      <w:r>
        <w:rPr>
          <w:color w:val="000000"/>
        </w:rPr>
        <w:t>Office Standard 2010</w:t>
      </w:r>
    </w:p>
    <w:p w:rsidR="008D4EE5" w:rsidRPr="0062435A" w:rsidRDefault="008D4EE5" w:rsidP="008D4EE5">
      <w:r>
        <w:rPr>
          <w:color w:val="000000"/>
        </w:rPr>
        <w:t>Office Small Business Get Genuine</w:t>
      </w:r>
    </w:p>
    <w:p w:rsidR="008D4EE5" w:rsidRPr="0062435A" w:rsidRDefault="008D4EE5" w:rsidP="008D4EE5">
      <w:r>
        <w:rPr>
          <w:color w:val="000000"/>
        </w:rPr>
        <w:t>OneNote 2010</w:t>
      </w:r>
    </w:p>
    <w:p w:rsidR="008D4EE5" w:rsidRPr="0062435A" w:rsidRDefault="008D4EE5" w:rsidP="008D4EE5">
      <w:r>
        <w:rPr>
          <w:color w:val="000000"/>
        </w:rPr>
        <w:t>Outlook 2010</w:t>
      </w:r>
    </w:p>
    <w:p w:rsidR="008D4EE5" w:rsidRPr="0062435A" w:rsidRDefault="008D4EE5" w:rsidP="008D4EE5">
      <w:r>
        <w:rPr>
          <w:color w:val="000000"/>
        </w:rPr>
        <w:t>Outlook mit Business Contact Manager</w:t>
      </w:r>
    </w:p>
    <w:p w:rsidR="008D4EE5" w:rsidRPr="0062435A" w:rsidRDefault="008D4EE5" w:rsidP="008D4EE5">
      <w:r>
        <w:rPr>
          <w:color w:val="000000"/>
        </w:rPr>
        <w:t>PowerPoint 2010</w:t>
      </w:r>
    </w:p>
    <w:p w:rsidR="008D4EE5" w:rsidRPr="0062435A" w:rsidRDefault="008D4EE5" w:rsidP="008D4EE5">
      <w:r>
        <w:rPr>
          <w:color w:val="000000"/>
        </w:rPr>
        <w:t>Project 2010 Standard</w:t>
      </w:r>
    </w:p>
    <w:p w:rsidR="008D4EE5" w:rsidRPr="0062435A" w:rsidRDefault="008D4EE5" w:rsidP="008D4EE5">
      <w:r>
        <w:rPr>
          <w:color w:val="000000"/>
        </w:rPr>
        <w:t>Project 2010 Professional</w:t>
      </w:r>
    </w:p>
    <w:p w:rsidR="008D4EE5" w:rsidRPr="0062435A" w:rsidRDefault="008D4EE5" w:rsidP="008D4EE5">
      <w:r>
        <w:rPr>
          <w:color w:val="000000"/>
        </w:rPr>
        <w:t>Search Server 2010</w:t>
      </w:r>
    </w:p>
    <w:p w:rsidR="008D4EE5" w:rsidRPr="0062435A" w:rsidRDefault="008D4EE5" w:rsidP="008D4EE5">
      <w:r>
        <w:rPr>
          <w:color w:val="000000"/>
        </w:rPr>
        <w:t>SharePoint Server 2010 for Internet Sites Enterprise</w:t>
      </w:r>
    </w:p>
    <w:p w:rsidR="008D4EE5" w:rsidRPr="0062435A" w:rsidRDefault="008D4EE5" w:rsidP="008D4EE5">
      <w:r>
        <w:rPr>
          <w:color w:val="000000"/>
        </w:rPr>
        <w:t>SharePoint Server 2010 for Internet Sites Standard</w:t>
      </w:r>
    </w:p>
    <w:p w:rsidR="008D4EE5" w:rsidRPr="0062435A" w:rsidRDefault="008D4EE5" w:rsidP="008D4EE5">
      <w:r>
        <w:rPr>
          <w:color w:val="000000"/>
        </w:rPr>
        <w:t>SharePoint Workspace 2010</w:t>
      </w:r>
    </w:p>
    <w:p w:rsidR="008D4EE5" w:rsidRPr="0062435A" w:rsidRDefault="008D4EE5" w:rsidP="008D4EE5">
      <w:r>
        <w:rPr>
          <w:color w:val="000000"/>
        </w:rPr>
        <w:t>Visio 2010 Premium</w:t>
      </w:r>
    </w:p>
    <w:p w:rsidR="008D4EE5" w:rsidRPr="0062435A" w:rsidRDefault="008D4EE5" w:rsidP="008D4EE5">
      <w:r>
        <w:rPr>
          <w:color w:val="000000"/>
        </w:rPr>
        <w:t>Visio 2010 Standard</w:t>
      </w:r>
    </w:p>
    <w:p w:rsidR="008D4EE5" w:rsidRPr="0062435A" w:rsidRDefault="008D4EE5" w:rsidP="008D4EE5">
      <w:r>
        <w:rPr>
          <w:color w:val="000000"/>
        </w:rPr>
        <w:t>Windows Intune (Pro Gerät)</w:t>
      </w:r>
    </w:p>
    <w:p w:rsidR="008D4EE5" w:rsidRPr="0062435A" w:rsidRDefault="008D4EE5" w:rsidP="008D4EE5">
      <w:r>
        <w:rPr>
          <w:color w:val="000000"/>
        </w:rPr>
        <w:t>Add-On für Windows Intune (Pro Gerät)</w:t>
      </w:r>
    </w:p>
    <w:p w:rsidR="008D4EE5" w:rsidRPr="0062435A" w:rsidRDefault="008D4EE5" w:rsidP="008D4EE5">
      <w:r>
        <w:rPr>
          <w:color w:val="000000"/>
        </w:rPr>
        <w:t>Windows MultiPoint Server 2011 Standard</w:t>
      </w:r>
    </w:p>
    <w:p w:rsidR="008D4EE5" w:rsidRPr="0062435A" w:rsidRDefault="008D4EE5" w:rsidP="008D4EE5">
      <w:r>
        <w:rPr>
          <w:color w:val="000000"/>
        </w:rPr>
        <w:t>Windows MultiPoint Server 2011 Premium</w:t>
      </w:r>
    </w:p>
    <w:p w:rsidR="008D4EE5" w:rsidRPr="0062435A" w:rsidRDefault="008D4EE5" w:rsidP="008D4EE5">
      <w:r>
        <w:rPr>
          <w:color w:val="000000"/>
        </w:rPr>
        <w:t>CAL für Windows MultiPoint Server 2011</w:t>
      </w:r>
    </w:p>
    <w:p w:rsidR="008D4EE5" w:rsidRPr="008657B1" w:rsidRDefault="008D4EE5" w:rsidP="008D4EE5">
      <w:pPr>
        <w:rPr>
          <w:lang w:val="de-DE"/>
        </w:rPr>
      </w:pPr>
      <w:r w:rsidRPr="008657B1">
        <w:rPr>
          <w:color w:val="000000"/>
          <w:lang w:val="de-DE"/>
        </w:rPr>
        <w:t>CAL für Windows MultiPoint Server 2011 mit CAL für Windows Server 2008</w:t>
      </w:r>
    </w:p>
    <w:p w:rsidR="008D4EE5" w:rsidRPr="0062435A" w:rsidRDefault="008D4EE5" w:rsidP="008D4EE5">
      <w:r>
        <w:rPr>
          <w:color w:val="000000"/>
        </w:rPr>
        <w:t>CAL für Windows MultiPoint Server 2011 Premium mit Windows MultiPoint Server 2011 (5 Clients)</w:t>
      </w:r>
    </w:p>
    <w:p w:rsidR="008D4EE5" w:rsidRPr="0062435A" w:rsidRDefault="008D4EE5" w:rsidP="00E728A0">
      <w:r>
        <w:rPr>
          <w:color w:val="000000"/>
        </w:rPr>
        <w:t>CAL für Windows MultiPoint Server 2011 Premium mit Windows MultiPoint Server 2011 (5 Clients) mit CAL für</w:t>
      </w:r>
      <w:r w:rsidR="00E728A0">
        <w:rPr>
          <w:color w:val="000000"/>
        </w:rPr>
        <w:t> </w:t>
      </w:r>
      <w:r>
        <w:rPr>
          <w:color w:val="000000"/>
        </w:rPr>
        <w:t>Windows Server 2008 (5 Clients)</w:t>
      </w:r>
    </w:p>
    <w:p w:rsidR="008D4EE5" w:rsidRPr="001614A1" w:rsidRDefault="008D4EE5" w:rsidP="008D4EE5">
      <w:r w:rsidRPr="001614A1">
        <w:rPr>
          <w:color w:val="000000"/>
        </w:rPr>
        <w:t>Word 2010</w:t>
      </w:r>
    </w:p>
    <w:p w:rsidR="008D4EE5" w:rsidRPr="001614A1" w:rsidRDefault="008D4EE5" w:rsidP="008D4EE5"/>
    <w:p w:rsidR="008D4EE5" w:rsidRPr="001614A1" w:rsidRDefault="008D4EE5" w:rsidP="008D4EE5"/>
    <w:p w:rsidR="008D4EE5" w:rsidRPr="001614A1" w:rsidRDefault="008D4EE5" w:rsidP="008D4EE5">
      <w:pPr>
        <w:pStyle w:val="Heading2"/>
        <w:ind w:left="0"/>
        <w:jc w:val="both"/>
      </w:pPr>
      <w:bookmarkStart w:id="594" w:name="_Toc363998918"/>
      <w:r w:rsidRPr="001614A1">
        <w:rPr>
          <w:rFonts w:ascii="Tahoma" w:hAnsi="Tahoma" w:cs="Tahoma"/>
          <w:color w:val="FF6600"/>
        </w:rPr>
        <w:t>ÄNDERUNGEN IM NOVEMBER 2012</w:t>
      </w:r>
      <w:bookmarkEnd w:id="594"/>
    </w:p>
    <w:p w:rsidR="008D4EE5" w:rsidRPr="001614A1" w:rsidRDefault="008D4EE5" w:rsidP="008D4EE5">
      <w:pPr>
        <w:pStyle w:val="Heading2"/>
        <w:ind w:left="0"/>
        <w:jc w:val="both"/>
      </w:pPr>
    </w:p>
    <w:p w:rsidR="008D4EE5" w:rsidRPr="008657B1" w:rsidRDefault="008D4EE5" w:rsidP="008D4EE5">
      <w:pPr>
        <w:spacing w:after="60"/>
        <w:rPr>
          <w:lang w:val="de-DE"/>
        </w:rPr>
      </w:pPr>
      <w:r w:rsidRPr="008657B1">
        <w:rPr>
          <w:b/>
          <w:lang w:val="de-DE"/>
        </w:rPr>
        <w:t>Hinzufügungen</w:t>
      </w:r>
    </w:p>
    <w:p w:rsidR="008D4EE5" w:rsidRPr="008657B1" w:rsidRDefault="008D4EE5" w:rsidP="008D4EE5">
      <w:pPr>
        <w:rPr>
          <w:lang w:val="de-DE"/>
        </w:rPr>
      </w:pPr>
      <w:r w:rsidRPr="008657B1">
        <w:rPr>
          <w:lang w:val="de-DE"/>
        </w:rPr>
        <w:t>Microsoft Windows Server Essentials 2012</w:t>
      </w:r>
    </w:p>
    <w:p w:rsidR="008D4EE5" w:rsidRPr="008657B1" w:rsidRDefault="008D4EE5" w:rsidP="008D4EE5">
      <w:pPr>
        <w:rPr>
          <w:lang w:val="de-DE"/>
        </w:rPr>
      </w:pPr>
      <w:r w:rsidRPr="008657B1">
        <w:rPr>
          <w:lang w:val="de-DE"/>
        </w:rPr>
        <w:t>Microsoft AutoRoute Euro 2013</w:t>
      </w:r>
    </w:p>
    <w:p w:rsidR="008D4EE5" w:rsidRPr="008657B1" w:rsidRDefault="008D4EE5" w:rsidP="008D4EE5">
      <w:pPr>
        <w:rPr>
          <w:lang w:val="de-DE"/>
        </w:rPr>
      </w:pPr>
      <w:r w:rsidRPr="008657B1">
        <w:rPr>
          <w:lang w:val="de-DE"/>
        </w:rPr>
        <w:t>Microsoft Desktop Optimization Pack 2012 für Software Assurance</w:t>
      </w:r>
    </w:p>
    <w:p w:rsidR="008D4EE5" w:rsidRPr="008657B1" w:rsidRDefault="008D4EE5" w:rsidP="008D4EE5">
      <w:pPr>
        <w:rPr>
          <w:lang w:val="de-DE"/>
        </w:rPr>
      </w:pPr>
    </w:p>
    <w:p w:rsidR="008D4EE5" w:rsidRPr="008657B1" w:rsidRDefault="008D4EE5" w:rsidP="008D4EE5">
      <w:pPr>
        <w:spacing w:after="60"/>
        <w:rPr>
          <w:lang w:val="de-DE"/>
        </w:rPr>
      </w:pPr>
      <w:r w:rsidRPr="008657B1">
        <w:rPr>
          <w:b/>
          <w:lang w:val="de-DE"/>
        </w:rPr>
        <w:t>Promotions</w:t>
      </w:r>
    </w:p>
    <w:p w:rsidR="008D4EE5" w:rsidRPr="008657B1" w:rsidRDefault="008D4EE5" w:rsidP="008D4EE5">
      <w:pPr>
        <w:rPr>
          <w:lang w:val="de-DE"/>
        </w:rPr>
      </w:pPr>
      <w:r w:rsidRPr="008657B1">
        <w:rPr>
          <w:color w:val="000000"/>
          <w:lang w:val="de-DE"/>
        </w:rPr>
        <w:t>Die folgenden Promotions wurden hinzugefügt:</w:t>
      </w:r>
    </w:p>
    <w:p w:rsidR="008D4EE5" w:rsidRPr="008657B1" w:rsidRDefault="008D4EE5" w:rsidP="008D4EE5">
      <w:pPr>
        <w:rPr>
          <w:lang w:val="de-DE"/>
        </w:rPr>
      </w:pPr>
      <w:r w:rsidRPr="008657B1">
        <w:rPr>
          <w:color w:val="000000"/>
          <w:lang w:val="de-DE"/>
        </w:rPr>
        <w:t>30 % Nachlass bei Upgrade auf Visual Studio Premium mit MSDN</w:t>
      </w:r>
    </w:p>
    <w:p w:rsidR="008D4EE5" w:rsidRPr="008657B1" w:rsidRDefault="008D4EE5" w:rsidP="008D4EE5">
      <w:pPr>
        <w:rPr>
          <w:lang w:val="de-DE"/>
        </w:rPr>
      </w:pPr>
      <w:r w:rsidRPr="008657B1">
        <w:rPr>
          <w:lang w:val="de-DE"/>
        </w:rPr>
        <w:t>Step Up zu Windows 8 mit SA</w:t>
      </w:r>
    </w:p>
    <w:p w:rsidR="008D4EE5" w:rsidRPr="008657B1" w:rsidRDefault="008D4EE5" w:rsidP="008D4EE5">
      <w:pPr>
        <w:rPr>
          <w:lang w:val="de-DE"/>
        </w:rPr>
      </w:pPr>
      <w:r w:rsidRPr="008657B1">
        <w:rPr>
          <w:lang w:val="de-DE"/>
        </w:rPr>
        <w:t>Windows Intune neuer PC 20 % Promotion</w:t>
      </w:r>
    </w:p>
    <w:p w:rsidR="008D4EE5" w:rsidRPr="008657B1" w:rsidRDefault="008D4EE5" w:rsidP="008D4EE5">
      <w:pPr>
        <w:rPr>
          <w:lang w:val="de-DE"/>
        </w:rPr>
      </w:pPr>
    </w:p>
    <w:p w:rsidR="008D4EE5" w:rsidRPr="008657B1" w:rsidRDefault="008D4EE5" w:rsidP="008D4EE5">
      <w:pPr>
        <w:spacing w:after="60"/>
        <w:rPr>
          <w:lang w:val="de-DE"/>
        </w:rPr>
      </w:pPr>
      <w:r w:rsidRPr="008657B1">
        <w:rPr>
          <w:b/>
          <w:lang w:val="de-DE"/>
        </w:rPr>
        <w:t>Änderungen</w:t>
      </w:r>
    </w:p>
    <w:p w:rsidR="008D4EE5" w:rsidRPr="008657B1" w:rsidRDefault="008D4EE5" w:rsidP="008D4EE5">
      <w:pPr>
        <w:rPr>
          <w:lang w:val="de-DE"/>
        </w:rPr>
      </w:pPr>
      <w:r w:rsidRPr="008657B1">
        <w:rPr>
          <w:color w:val="000000"/>
          <w:lang w:val="de-DE"/>
        </w:rPr>
        <w:t>An den folgenden Produkten wurden Aktualisierungen vorgenommen:</w:t>
      </w:r>
    </w:p>
    <w:p w:rsidR="008D4EE5" w:rsidRPr="008657B1" w:rsidRDefault="008D4EE5" w:rsidP="008D4EE5">
      <w:pPr>
        <w:rPr>
          <w:lang w:val="de-DE"/>
        </w:rPr>
      </w:pPr>
      <w:r w:rsidRPr="008657B1">
        <w:rPr>
          <w:color w:val="000000"/>
          <w:lang w:val="de-DE"/>
        </w:rPr>
        <w:t>Microsoft Desktop Optimization Pack</w:t>
      </w:r>
    </w:p>
    <w:p w:rsidR="008D4EE5" w:rsidRPr="008657B1" w:rsidRDefault="008D4EE5" w:rsidP="008D4EE5">
      <w:pPr>
        <w:rPr>
          <w:lang w:val="de-DE"/>
        </w:rPr>
      </w:pPr>
    </w:p>
    <w:p w:rsidR="008D4EE5" w:rsidRPr="008657B1" w:rsidRDefault="008D4EE5" w:rsidP="008D4EE5">
      <w:pPr>
        <w:spacing w:after="60"/>
        <w:rPr>
          <w:lang w:val="de-DE"/>
        </w:rPr>
      </w:pPr>
      <w:r w:rsidRPr="008657B1">
        <w:rPr>
          <w:b/>
          <w:lang w:val="de-DE"/>
        </w:rPr>
        <w:t>Streichungen</w:t>
      </w:r>
    </w:p>
    <w:p w:rsidR="008D4EE5" w:rsidRPr="008657B1" w:rsidRDefault="008D4EE5" w:rsidP="008D4EE5">
      <w:pPr>
        <w:rPr>
          <w:lang w:val="de-DE"/>
        </w:rPr>
      </w:pPr>
      <w:r w:rsidRPr="008657B1">
        <w:rPr>
          <w:lang w:val="de-DE"/>
        </w:rPr>
        <w:t>Windows Small Business Server Essentials 2011</w:t>
      </w:r>
    </w:p>
    <w:p w:rsidR="008D4EE5" w:rsidRPr="008657B1" w:rsidRDefault="008D4EE5" w:rsidP="008D4EE5">
      <w:pPr>
        <w:rPr>
          <w:lang w:val="de-DE"/>
        </w:rPr>
      </w:pPr>
      <w:r w:rsidRPr="008657B1">
        <w:rPr>
          <w:lang w:val="de-DE"/>
        </w:rPr>
        <w:t>AutoRoute 2011</w:t>
      </w:r>
    </w:p>
    <w:p w:rsidR="008D4EE5" w:rsidRPr="008657B1" w:rsidRDefault="008D4EE5" w:rsidP="008D4EE5">
      <w:pPr>
        <w:rPr>
          <w:lang w:val="de-DE"/>
        </w:rPr>
      </w:pPr>
      <w:r w:rsidRPr="008657B1">
        <w:rPr>
          <w:lang w:val="de-DE"/>
        </w:rPr>
        <w:t>Microsoft Desktop Optimization Pack 2011 R2 für Software Assurance</w:t>
      </w:r>
    </w:p>
    <w:p w:rsidR="00E728A0" w:rsidRPr="008657B1" w:rsidRDefault="00E728A0" w:rsidP="00E728A0">
      <w:pPr>
        <w:rPr>
          <w:lang w:val="de-DE"/>
        </w:rPr>
      </w:pPr>
      <w:bookmarkStart w:id="595" w:name="_Toc336338169"/>
    </w:p>
    <w:p w:rsidR="00E728A0" w:rsidRPr="008657B1" w:rsidRDefault="00E728A0" w:rsidP="00E728A0">
      <w:pPr>
        <w:rPr>
          <w:lang w:val="de-DE"/>
        </w:rPr>
      </w:pPr>
    </w:p>
    <w:p w:rsidR="008D4EE5" w:rsidRPr="008657B1" w:rsidRDefault="008D4EE5" w:rsidP="008D4EE5">
      <w:pPr>
        <w:pStyle w:val="Heading2"/>
        <w:ind w:left="0"/>
        <w:jc w:val="both"/>
        <w:rPr>
          <w:lang w:val="de-DE"/>
        </w:rPr>
      </w:pPr>
      <w:bookmarkStart w:id="596" w:name="_Toc363998919"/>
      <w:r w:rsidRPr="008657B1">
        <w:rPr>
          <w:rFonts w:ascii="Tahoma" w:hAnsi="Tahoma" w:cs="Tahoma"/>
          <w:color w:val="FF6600"/>
          <w:lang w:val="de-DE"/>
        </w:rPr>
        <w:t>ÄNDERUNGEN IM OKTOBER 2012</w:t>
      </w:r>
      <w:bookmarkEnd w:id="595"/>
      <w:bookmarkEnd w:id="596"/>
    </w:p>
    <w:p w:rsidR="008D4EE5" w:rsidRPr="008657B1" w:rsidRDefault="008D4EE5" w:rsidP="008D4EE5">
      <w:pPr>
        <w:rPr>
          <w:lang w:val="de-DE"/>
        </w:rPr>
      </w:pPr>
    </w:p>
    <w:p w:rsidR="008D4EE5" w:rsidRPr="008657B1" w:rsidRDefault="008D4EE5" w:rsidP="008D4EE5">
      <w:pPr>
        <w:spacing w:after="60"/>
        <w:rPr>
          <w:lang w:val="de-DE"/>
        </w:rPr>
      </w:pPr>
      <w:r w:rsidRPr="008657B1">
        <w:rPr>
          <w:b/>
          <w:lang w:val="de-DE"/>
        </w:rPr>
        <w:t>Hinzufügungen</w:t>
      </w:r>
    </w:p>
    <w:p w:rsidR="008D4EE5" w:rsidRPr="008657B1" w:rsidRDefault="008D4EE5" w:rsidP="008D4EE5">
      <w:pPr>
        <w:rPr>
          <w:lang w:val="de-DE"/>
        </w:rPr>
      </w:pPr>
      <w:r w:rsidRPr="008657B1">
        <w:rPr>
          <w:rFonts w:cs="Tahoma"/>
          <w:color w:val="000000"/>
          <w:szCs w:val="20"/>
          <w:lang w:val="de-DE"/>
        </w:rPr>
        <w:t>Windows Companion-Abonnementlizenz</w:t>
      </w:r>
    </w:p>
    <w:p w:rsidR="008D4EE5" w:rsidRPr="008657B1" w:rsidRDefault="008D4EE5" w:rsidP="008D4EE5">
      <w:pPr>
        <w:rPr>
          <w:lang w:val="de-DE"/>
        </w:rPr>
      </w:pPr>
    </w:p>
    <w:p w:rsidR="008D4EE5" w:rsidRPr="008657B1" w:rsidRDefault="008D4EE5" w:rsidP="008D4EE5">
      <w:pPr>
        <w:spacing w:after="60"/>
        <w:rPr>
          <w:lang w:val="de-DE"/>
        </w:rPr>
      </w:pPr>
      <w:r w:rsidRPr="008657B1">
        <w:rPr>
          <w:b/>
          <w:lang w:val="de-DE"/>
        </w:rPr>
        <w:t>Änderungen</w:t>
      </w:r>
    </w:p>
    <w:p w:rsidR="008D4EE5" w:rsidRPr="008657B1" w:rsidRDefault="008D4EE5" w:rsidP="008D4EE5">
      <w:pPr>
        <w:rPr>
          <w:lang w:val="de-DE"/>
        </w:rPr>
      </w:pPr>
      <w:r w:rsidRPr="008657B1">
        <w:rPr>
          <w:rFonts w:cs="Tahoma"/>
          <w:color w:val="000000"/>
          <w:szCs w:val="20"/>
          <w:lang w:val="de-DE"/>
        </w:rPr>
        <w:t>Bei den folgenden Produkten haben sich die Punktwerte geändert:</w:t>
      </w:r>
    </w:p>
    <w:p w:rsidR="008D4EE5" w:rsidRPr="008657B1" w:rsidRDefault="008D4EE5" w:rsidP="008D4EE5">
      <w:pPr>
        <w:rPr>
          <w:lang w:val="fr-FR"/>
        </w:rPr>
      </w:pPr>
      <w:r w:rsidRPr="008657B1">
        <w:rPr>
          <w:rFonts w:cs="Tahoma"/>
          <w:color w:val="000000"/>
          <w:szCs w:val="20"/>
          <w:lang w:val="fr-FR"/>
        </w:rPr>
        <w:t>Core Infrastructure Server Suite Datacenter</w:t>
      </w:r>
    </w:p>
    <w:p w:rsidR="008D4EE5" w:rsidRPr="008657B1" w:rsidRDefault="008D4EE5" w:rsidP="008D4EE5">
      <w:pPr>
        <w:rPr>
          <w:lang w:val="fr-FR"/>
        </w:rPr>
      </w:pPr>
      <w:r w:rsidRPr="008657B1">
        <w:rPr>
          <w:rFonts w:cs="Tahoma"/>
          <w:color w:val="000000"/>
          <w:szCs w:val="20"/>
          <w:lang w:val="fr-FR"/>
        </w:rPr>
        <w:t>Core Infrastructure Server Suite Standard</w:t>
      </w:r>
    </w:p>
    <w:p w:rsidR="008D4EE5" w:rsidRPr="008657B1" w:rsidRDefault="008D4EE5" w:rsidP="008D4EE5">
      <w:pPr>
        <w:rPr>
          <w:lang w:val="de-DE"/>
        </w:rPr>
      </w:pPr>
      <w:r w:rsidRPr="008657B1">
        <w:rPr>
          <w:rFonts w:cs="Tahoma"/>
          <w:color w:val="000000"/>
          <w:szCs w:val="20"/>
          <w:lang w:val="de-DE"/>
        </w:rPr>
        <w:t>Standard-Server-Management-Lizenz für System Center 2012 (2 Prozessoren)</w:t>
      </w:r>
    </w:p>
    <w:p w:rsidR="008D4EE5" w:rsidRPr="008657B1" w:rsidRDefault="008D4EE5" w:rsidP="008D4EE5">
      <w:pPr>
        <w:rPr>
          <w:lang w:val="de-DE"/>
        </w:rPr>
      </w:pPr>
      <w:r w:rsidRPr="008657B1">
        <w:rPr>
          <w:rFonts w:cs="Tahoma"/>
          <w:color w:val="000000"/>
          <w:szCs w:val="20"/>
          <w:lang w:val="de-DE"/>
        </w:rPr>
        <w:t>Server-Management-Lizenz für System Center 2012 Datacenter (2 Prozessoren)</w:t>
      </w:r>
    </w:p>
    <w:p w:rsidR="008D4EE5" w:rsidRPr="008657B1" w:rsidRDefault="008D4EE5" w:rsidP="008D4EE5">
      <w:pPr>
        <w:rPr>
          <w:lang w:val="de-DE"/>
        </w:rPr>
      </w:pPr>
      <w:r w:rsidRPr="008657B1">
        <w:rPr>
          <w:rFonts w:cs="Tahoma"/>
          <w:color w:val="000000"/>
          <w:szCs w:val="20"/>
          <w:lang w:val="de-DE"/>
        </w:rPr>
        <w:t>System Center Configuration Manager 2007 R3</w:t>
      </w:r>
    </w:p>
    <w:p w:rsidR="008D4EE5" w:rsidRPr="008657B1" w:rsidRDefault="008D4EE5" w:rsidP="008D4EE5">
      <w:pPr>
        <w:rPr>
          <w:lang w:val="de-DE"/>
        </w:rPr>
      </w:pPr>
      <w:r w:rsidRPr="008657B1">
        <w:rPr>
          <w:rFonts w:cs="Tahoma"/>
          <w:color w:val="000000"/>
          <w:szCs w:val="20"/>
          <w:lang w:val="de-DE"/>
        </w:rPr>
        <w:t xml:space="preserve">Enterprise-Server-Management-Lizenz für System Center Configuration Manager 2007 R3 </w:t>
      </w:r>
    </w:p>
    <w:p w:rsidR="008D4EE5" w:rsidRPr="008657B1" w:rsidRDefault="008D4EE5" w:rsidP="008D4EE5">
      <w:pPr>
        <w:rPr>
          <w:lang w:val="de-DE"/>
        </w:rPr>
      </w:pPr>
      <w:r w:rsidRPr="008657B1">
        <w:rPr>
          <w:rFonts w:cs="Tahoma"/>
          <w:color w:val="000000"/>
          <w:szCs w:val="20"/>
          <w:lang w:val="de-DE"/>
        </w:rPr>
        <w:t>Standard-Server-Management-Lizenz (Standard-Server-ML) für System Center Configuration Manager 2007 R3</w:t>
      </w:r>
    </w:p>
    <w:p w:rsidR="008D4EE5" w:rsidRPr="008657B1" w:rsidRDefault="008D4EE5" w:rsidP="008D4EE5">
      <w:pPr>
        <w:rPr>
          <w:lang w:val="de-DE"/>
        </w:rPr>
      </w:pPr>
      <w:r w:rsidRPr="008657B1">
        <w:rPr>
          <w:rFonts w:cs="Tahoma"/>
          <w:color w:val="000000"/>
          <w:szCs w:val="20"/>
          <w:lang w:val="de-DE"/>
        </w:rPr>
        <w:t>System Center Configuration Manager 2007 R3 mit SQL Server 2008-Technologie</w:t>
      </w:r>
    </w:p>
    <w:p w:rsidR="008D4EE5" w:rsidRPr="008657B1" w:rsidRDefault="008D4EE5" w:rsidP="008D4EE5">
      <w:pPr>
        <w:rPr>
          <w:lang w:val="de-DE"/>
        </w:rPr>
      </w:pPr>
      <w:r w:rsidRPr="008657B1">
        <w:rPr>
          <w:rFonts w:cs="Tahoma"/>
          <w:color w:val="000000"/>
          <w:szCs w:val="20"/>
          <w:lang w:val="de-DE"/>
        </w:rPr>
        <w:t>Client-Management-Lizenz für System Center Data Protection Manager 2010 pro Nutzer</w:t>
      </w:r>
    </w:p>
    <w:p w:rsidR="008D4EE5" w:rsidRPr="008657B1" w:rsidRDefault="008D4EE5" w:rsidP="008D4EE5">
      <w:pPr>
        <w:rPr>
          <w:lang w:val="de-DE"/>
        </w:rPr>
      </w:pPr>
      <w:r w:rsidRPr="008657B1">
        <w:rPr>
          <w:rFonts w:cs="Tahoma"/>
          <w:color w:val="000000"/>
          <w:szCs w:val="20"/>
          <w:lang w:val="de-DE"/>
        </w:rPr>
        <w:t>Client-Management-Lizenz für System Center Data Protection Manager 2010 pro Betriebssystemumgebung</w:t>
      </w:r>
    </w:p>
    <w:p w:rsidR="008D4EE5" w:rsidRPr="008657B1" w:rsidRDefault="008D4EE5" w:rsidP="008D4EE5">
      <w:pPr>
        <w:rPr>
          <w:lang w:val="de-DE"/>
        </w:rPr>
      </w:pPr>
      <w:r w:rsidRPr="008657B1">
        <w:rPr>
          <w:rFonts w:cs="Tahoma"/>
          <w:color w:val="000000"/>
          <w:szCs w:val="20"/>
          <w:lang w:val="de-DE"/>
        </w:rPr>
        <w:t xml:space="preserve">Enterprise-Server-Management-Lizenz für System Center Data Protection Manager 2010 </w:t>
      </w:r>
    </w:p>
    <w:p w:rsidR="008D4EE5" w:rsidRPr="008657B1" w:rsidRDefault="008D4EE5" w:rsidP="008D4EE5">
      <w:pPr>
        <w:rPr>
          <w:lang w:val="de-DE"/>
        </w:rPr>
      </w:pPr>
      <w:r w:rsidRPr="008657B1">
        <w:rPr>
          <w:rFonts w:cs="Tahoma"/>
          <w:color w:val="000000"/>
          <w:szCs w:val="20"/>
          <w:lang w:val="de-DE"/>
        </w:rPr>
        <w:t xml:space="preserve">Standard-Server-Management-Lizenz für System Center Data Protection Manager 2010 </w:t>
      </w:r>
    </w:p>
    <w:p w:rsidR="008D4EE5" w:rsidRPr="008657B1" w:rsidRDefault="008D4EE5" w:rsidP="008D4EE5">
      <w:pPr>
        <w:rPr>
          <w:lang w:val="de-DE"/>
        </w:rPr>
      </w:pPr>
      <w:r w:rsidRPr="008657B1">
        <w:rPr>
          <w:rFonts w:cs="Tahoma"/>
          <w:color w:val="000000"/>
          <w:szCs w:val="20"/>
          <w:lang w:val="de-DE"/>
        </w:rPr>
        <w:t>System Center Operations Manager 2007 R2</w:t>
      </w:r>
    </w:p>
    <w:p w:rsidR="008D4EE5" w:rsidRPr="008657B1" w:rsidRDefault="008D4EE5" w:rsidP="008D4EE5">
      <w:pPr>
        <w:rPr>
          <w:lang w:val="de-DE"/>
        </w:rPr>
      </w:pPr>
      <w:r w:rsidRPr="008657B1">
        <w:rPr>
          <w:rFonts w:cs="Tahoma"/>
          <w:color w:val="000000"/>
          <w:szCs w:val="20"/>
          <w:lang w:val="de-DE"/>
        </w:rPr>
        <w:t>System Center Operations Manager 2007 R2 mit SQL Server 2008-Technologie</w:t>
      </w:r>
    </w:p>
    <w:p w:rsidR="008D4EE5" w:rsidRPr="008657B1" w:rsidRDefault="008D4EE5" w:rsidP="008D4EE5">
      <w:pPr>
        <w:rPr>
          <w:lang w:val="de-DE"/>
        </w:rPr>
      </w:pPr>
      <w:r w:rsidRPr="008657B1">
        <w:rPr>
          <w:rFonts w:cs="Tahoma"/>
          <w:color w:val="000000"/>
          <w:szCs w:val="20"/>
          <w:lang w:val="de-DE"/>
        </w:rPr>
        <w:t xml:space="preserve">Standard-Server-Management-Lizenz für System Center Operations Manager 2007 R2 </w:t>
      </w:r>
    </w:p>
    <w:p w:rsidR="008D4EE5" w:rsidRPr="008657B1" w:rsidRDefault="008D4EE5" w:rsidP="008D4EE5">
      <w:pPr>
        <w:rPr>
          <w:lang w:val="de-DE"/>
        </w:rPr>
      </w:pPr>
      <w:r w:rsidRPr="008657B1">
        <w:rPr>
          <w:rFonts w:cs="Tahoma"/>
          <w:color w:val="000000"/>
          <w:szCs w:val="20"/>
          <w:lang w:val="de-DE"/>
        </w:rPr>
        <w:t xml:space="preserve">Enterprise-Server-Management-Lizenz für System Center Operations Manager 2007 R2 </w:t>
      </w:r>
    </w:p>
    <w:p w:rsidR="008D4EE5" w:rsidRPr="008657B1" w:rsidRDefault="008D4EE5" w:rsidP="008D4EE5">
      <w:pPr>
        <w:rPr>
          <w:lang w:val="de-DE"/>
        </w:rPr>
      </w:pPr>
      <w:r w:rsidRPr="008657B1">
        <w:rPr>
          <w:rFonts w:cs="Tahoma"/>
          <w:color w:val="000000"/>
          <w:szCs w:val="20"/>
          <w:lang w:val="de-DE"/>
        </w:rPr>
        <w:t>Client-Management-Lizenz pro OSE für System Center Operations Manager 2007 R2</w:t>
      </w:r>
    </w:p>
    <w:p w:rsidR="008D4EE5" w:rsidRPr="008657B1" w:rsidRDefault="008D4EE5" w:rsidP="008D4EE5">
      <w:pPr>
        <w:rPr>
          <w:lang w:val="de-DE"/>
        </w:rPr>
      </w:pPr>
      <w:r w:rsidRPr="008657B1">
        <w:rPr>
          <w:rFonts w:cs="Tahoma"/>
          <w:color w:val="000000"/>
          <w:szCs w:val="20"/>
          <w:lang w:val="de-DE"/>
        </w:rPr>
        <w:t>Client-Management-Lizenz pro Nutzer für System Center Operations Manager 2007 R2</w:t>
      </w:r>
    </w:p>
    <w:p w:rsidR="008D4EE5" w:rsidRPr="008657B1" w:rsidRDefault="008D4EE5" w:rsidP="008D4EE5">
      <w:pPr>
        <w:rPr>
          <w:lang w:val="de-DE"/>
        </w:rPr>
      </w:pPr>
      <w:r w:rsidRPr="008657B1">
        <w:rPr>
          <w:rFonts w:cs="Tahoma"/>
          <w:color w:val="000000"/>
          <w:szCs w:val="20"/>
          <w:lang w:val="de-DE"/>
        </w:rPr>
        <w:t xml:space="preserve">System Center Server Management Suite Enterprise </w:t>
      </w:r>
    </w:p>
    <w:p w:rsidR="008D4EE5" w:rsidRPr="008657B1" w:rsidRDefault="008D4EE5" w:rsidP="008D4EE5">
      <w:pPr>
        <w:rPr>
          <w:lang w:val="de-DE"/>
        </w:rPr>
      </w:pPr>
      <w:r w:rsidRPr="008657B1">
        <w:rPr>
          <w:rFonts w:cs="Tahoma"/>
          <w:color w:val="000000"/>
          <w:szCs w:val="20"/>
          <w:lang w:val="de-DE"/>
        </w:rPr>
        <w:t>System Center Server Management Suite Datacenter</w:t>
      </w:r>
    </w:p>
    <w:p w:rsidR="008D4EE5" w:rsidRPr="008657B1" w:rsidRDefault="008D4EE5" w:rsidP="008D4EE5">
      <w:pPr>
        <w:rPr>
          <w:lang w:val="de-DE"/>
        </w:rPr>
      </w:pPr>
      <w:r w:rsidRPr="008657B1">
        <w:rPr>
          <w:rFonts w:cs="Tahoma"/>
          <w:color w:val="000000"/>
          <w:szCs w:val="20"/>
          <w:lang w:val="de-DE"/>
        </w:rPr>
        <w:t>System Center Service Manager 2010</w:t>
      </w:r>
    </w:p>
    <w:p w:rsidR="008D4EE5" w:rsidRPr="008657B1" w:rsidRDefault="008D4EE5" w:rsidP="008D4EE5">
      <w:pPr>
        <w:rPr>
          <w:lang w:val="de-DE"/>
        </w:rPr>
      </w:pPr>
      <w:r w:rsidRPr="008657B1">
        <w:rPr>
          <w:rFonts w:cs="Tahoma"/>
          <w:color w:val="000000"/>
          <w:szCs w:val="20"/>
          <w:lang w:val="de-DE"/>
        </w:rPr>
        <w:t>System Center Service Manager 2010 mit SQL Server 2008-Technologie</w:t>
      </w:r>
    </w:p>
    <w:p w:rsidR="008D4EE5" w:rsidRPr="008657B1" w:rsidRDefault="008D4EE5" w:rsidP="008D4EE5">
      <w:pPr>
        <w:rPr>
          <w:lang w:val="de-DE"/>
        </w:rPr>
      </w:pPr>
      <w:r w:rsidRPr="008657B1">
        <w:rPr>
          <w:rFonts w:cs="Tahoma"/>
          <w:color w:val="000000"/>
          <w:szCs w:val="20"/>
          <w:lang w:val="de-DE"/>
        </w:rPr>
        <w:t>Client-Management-Lizenz (Client-ML) für System Center Service Manager 2010 pro Betriebssystemumgebung</w:t>
      </w:r>
    </w:p>
    <w:p w:rsidR="008D4EE5" w:rsidRPr="008657B1" w:rsidRDefault="008D4EE5" w:rsidP="008D4EE5">
      <w:pPr>
        <w:rPr>
          <w:lang w:val="de-DE"/>
        </w:rPr>
      </w:pPr>
      <w:r w:rsidRPr="008657B1">
        <w:rPr>
          <w:rFonts w:cs="Tahoma"/>
          <w:color w:val="000000"/>
          <w:szCs w:val="20"/>
          <w:lang w:val="de-DE"/>
        </w:rPr>
        <w:t>Client-Management-Lizenz (Client-ML) für System Center Service Manager 2010 pro Nutzer</w:t>
      </w:r>
    </w:p>
    <w:p w:rsidR="008D4EE5" w:rsidRPr="008657B1" w:rsidRDefault="008D4EE5" w:rsidP="008D4EE5">
      <w:pPr>
        <w:rPr>
          <w:lang w:val="de-DE"/>
        </w:rPr>
      </w:pPr>
      <w:r w:rsidRPr="008657B1">
        <w:rPr>
          <w:rFonts w:cs="Tahoma"/>
          <w:color w:val="000000"/>
          <w:szCs w:val="20"/>
          <w:lang w:val="de-DE"/>
        </w:rPr>
        <w:t>Server-Management-Lizenz (Server-ML) für System Center Service Manager 2010 pro Betriebssystemumgebung</w:t>
      </w:r>
    </w:p>
    <w:p w:rsidR="008D4EE5" w:rsidRPr="008657B1" w:rsidRDefault="008D4EE5" w:rsidP="008D4EE5">
      <w:pPr>
        <w:rPr>
          <w:lang w:val="de-DE"/>
        </w:rPr>
      </w:pPr>
      <w:r w:rsidRPr="008657B1">
        <w:rPr>
          <w:rFonts w:cs="Tahoma"/>
          <w:color w:val="000000"/>
          <w:szCs w:val="20"/>
          <w:lang w:val="de-DE"/>
        </w:rPr>
        <w:t>Client-Management-Lizenz für System Center Virtual Machine Manager 2008 R2 pro Betriebssystemumgebung</w:t>
      </w:r>
    </w:p>
    <w:p w:rsidR="008D4EE5" w:rsidRPr="008657B1" w:rsidRDefault="008D4EE5" w:rsidP="008D4EE5">
      <w:pPr>
        <w:rPr>
          <w:lang w:val="de-DE"/>
        </w:rPr>
      </w:pPr>
      <w:r w:rsidRPr="008657B1">
        <w:rPr>
          <w:rFonts w:cs="Tahoma"/>
          <w:color w:val="000000"/>
          <w:szCs w:val="20"/>
          <w:lang w:val="de-DE"/>
        </w:rPr>
        <w:t>Client-Management-Lizenz für System Center Virtual Machine Manager 2008 R2 pro Nutzer</w:t>
      </w:r>
    </w:p>
    <w:p w:rsidR="008D4EE5" w:rsidRPr="008657B1" w:rsidRDefault="008D4EE5" w:rsidP="008D4EE5">
      <w:pPr>
        <w:rPr>
          <w:lang w:val="de-DE"/>
        </w:rPr>
      </w:pPr>
      <w:r w:rsidRPr="008657B1">
        <w:rPr>
          <w:rFonts w:cs="Tahoma"/>
          <w:color w:val="000000"/>
          <w:szCs w:val="20"/>
          <w:lang w:val="de-DE"/>
        </w:rPr>
        <w:t>Enterprise-Server-Management-Lizenz für System Center Virtual Machine Manager 2008 R2</w:t>
      </w:r>
    </w:p>
    <w:p w:rsidR="008D4EE5" w:rsidRPr="008657B1" w:rsidRDefault="008D4EE5" w:rsidP="008D4EE5">
      <w:pPr>
        <w:rPr>
          <w:lang w:val="de-DE"/>
        </w:rPr>
      </w:pPr>
    </w:p>
    <w:p w:rsidR="008D4EE5" w:rsidRPr="008657B1" w:rsidRDefault="008D4EE5" w:rsidP="008D4EE5">
      <w:pPr>
        <w:spacing w:after="60"/>
        <w:rPr>
          <w:lang w:val="de-DE"/>
        </w:rPr>
      </w:pPr>
      <w:r w:rsidRPr="008657B1">
        <w:rPr>
          <w:b/>
          <w:lang w:val="de-DE"/>
        </w:rPr>
        <w:t>Streichungen</w:t>
      </w:r>
    </w:p>
    <w:p w:rsidR="008D4EE5" w:rsidRPr="008657B1" w:rsidRDefault="008D4EE5" w:rsidP="008D4EE5">
      <w:pPr>
        <w:rPr>
          <w:lang w:val="de-DE"/>
        </w:rPr>
      </w:pPr>
      <w:r w:rsidRPr="008657B1">
        <w:rPr>
          <w:color w:val="000000"/>
          <w:lang w:val="de-DE"/>
        </w:rPr>
        <w:t>System Center Mobile Device Manager 2008</w:t>
      </w:r>
    </w:p>
    <w:p w:rsidR="008D4EE5" w:rsidRPr="008657B1" w:rsidRDefault="008D4EE5" w:rsidP="008D4EE5">
      <w:pPr>
        <w:rPr>
          <w:lang w:val="de-DE"/>
        </w:rPr>
      </w:pPr>
      <w:r w:rsidRPr="008657B1">
        <w:rPr>
          <w:color w:val="000000"/>
          <w:lang w:val="de-DE"/>
        </w:rPr>
        <w:t>Database Consolidation Appliance 2012</w:t>
      </w:r>
    </w:p>
    <w:p w:rsidR="008D4EE5" w:rsidRPr="008657B1" w:rsidRDefault="008D4EE5" w:rsidP="008D4EE5">
      <w:pPr>
        <w:ind w:right="720"/>
        <w:rPr>
          <w:lang w:val="de-DE"/>
        </w:rPr>
      </w:pPr>
    </w:p>
    <w:p w:rsidR="008D4EE5" w:rsidRPr="008657B1" w:rsidRDefault="008D4EE5" w:rsidP="008D4EE5">
      <w:pPr>
        <w:ind w:right="720"/>
        <w:rPr>
          <w:lang w:val="de-DE"/>
        </w:rPr>
      </w:pPr>
    </w:p>
    <w:p w:rsidR="008D4EE5" w:rsidRPr="008657B1" w:rsidRDefault="008D4EE5" w:rsidP="008D4EE5">
      <w:pPr>
        <w:rPr>
          <w:lang w:val="de-DE"/>
        </w:rPr>
      </w:pPr>
      <w:r w:rsidRPr="008657B1">
        <w:rPr>
          <w:lang w:val="de-DE"/>
        </w:rPr>
        <w:br w:type="page"/>
      </w:r>
      <w:bookmarkStart w:id="597" w:name="_Toc336338180"/>
      <w:bookmarkStart w:id="598" w:name="_Toc363998920"/>
      <w:r w:rsidRPr="008657B1">
        <w:rPr>
          <w:rStyle w:val="Heading1Char"/>
          <w:lang w:val="de-DE"/>
        </w:rPr>
        <w:t>ABSCHNITT 2 – ProduKtPromotions</w:t>
      </w:r>
      <w:bookmarkEnd w:id="597"/>
      <w:bookmarkEnd w:id="598"/>
    </w:p>
    <w:p w:rsidR="008D4EE5" w:rsidRPr="008657B1" w:rsidRDefault="008D4EE5" w:rsidP="008D4EE5">
      <w:pPr>
        <w:ind w:right="720"/>
        <w:rPr>
          <w:lang w:val="de-DE"/>
        </w:rPr>
      </w:pPr>
    </w:p>
    <w:p w:rsidR="008D4EE5" w:rsidRPr="008657B1" w:rsidRDefault="008D4EE5" w:rsidP="008D4EE5">
      <w:pPr>
        <w:pStyle w:val="Heading2"/>
        <w:spacing w:after="120"/>
        <w:ind w:left="0"/>
        <w:rPr>
          <w:lang w:val="de-DE"/>
        </w:rPr>
      </w:pPr>
      <w:bookmarkStart w:id="599" w:name="_Toc363998921"/>
      <w:bookmarkStart w:id="600" w:name="_Toc336338182"/>
      <w:r w:rsidRPr="008657B1">
        <w:rPr>
          <w:rFonts w:ascii="Tahoma" w:hAnsi="Tahoma" w:cs="Tahoma"/>
          <w:color w:val="FF9429"/>
          <w:lang w:val="de-DE"/>
        </w:rPr>
        <w:t>Microsoft Dynamics AX 2012 R2 – EA Starter-Promotion</w:t>
      </w:r>
      <w:bookmarkEnd w:id="599"/>
    </w:p>
    <w:bookmarkEnd w:id="600"/>
    <w:p w:rsidR="008D4EE5" w:rsidRPr="008657B1" w:rsidRDefault="008D4EE5" w:rsidP="008D4EE5">
      <w:pPr>
        <w:spacing w:after="120" w:line="276" w:lineRule="auto"/>
        <w:rPr>
          <w:lang w:val="de-DE"/>
        </w:rPr>
      </w:pPr>
      <w:r w:rsidRPr="008657B1">
        <w:rPr>
          <w:lang w:val="de-DE"/>
        </w:rPr>
        <w:t xml:space="preserve">Als zeitlich beschränktes Angebot vom </w:t>
      </w:r>
      <w:r w:rsidRPr="008657B1">
        <w:rPr>
          <w:rFonts w:eastAsia="Calibri" w:cs="Tahoma"/>
          <w:szCs w:val="18"/>
          <w:lang w:val="de-DE"/>
        </w:rPr>
        <w:t>1</w:t>
      </w:r>
      <w:r w:rsidR="006257A7">
        <w:rPr>
          <w:rFonts w:eastAsia="Calibri" w:cs="Tahoma"/>
          <w:szCs w:val="18"/>
          <w:lang w:val="de-DE"/>
        </w:rPr>
        <w:t xml:space="preserve">. </w:t>
      </w:r>
      <w:r w:rsidRPr="008657B1">
        <w:rPr>
          <w:rFonts w:eastAsia="Calibri" w:cs="Tahoma"/>
          <w:szCs w:val="18"/>
          <w:lang w:val="de-DE"/>
        </w:rPr>
        <w:t>März 2013 bis zum 31</w:t>
      </w:r>
      <w:r w:rsidR="006257A7">
        <w:rPr>
          <w:rFonts w:eastAsia="Calibri" w:cs="Tahoma"/>
          <w:szCs w:val="18"/>
          <w:lang w:val="de-DE"/>
        </w:rPr>
        <w:t xml:space="preserve">. </w:t>
      </w:r>
      <w:r w:rsidRPr="008657B1">
        <w:rPr>
          <w:rFonts w:eastAsia="Calibri" w:cs="Tahoma"/>
          <w:szCs w:val="18"/>
          <w:lang w:val="de-DE"/>
        </w:rPr>
        <w:t>Dezember 2013 bietet Microsoft beim Kauf der ersten Lizenz für Microsoft Dynamics AX</w:t>
      </w:r>
      <w:r w:rsidRPr="008657B1">
        <w:rPr>
          <w:lang w:val="de-DE"/>
        </w:rPr>
        <w:t xml:space="preserve"> 2012 </w:t>
      </w:r>
      <w:r w:rsidRPr="008657B1">
        <w:rPr>
          <w:rFonts w:eastAsia="Calibri" w:cs="Tahoma"/>
          <w:szCs w:val="18"/>
          <w:lang w:val="de-DE"/>
        </w:rPr>
        <w:t>R2 Server 3 (drei) Enterprise CALs und 50 (fünfzig) Self-Serve-CALs</w:t>
      </w:r>
      <w:r w:rsidR="006257A7">
        <w:rPr>
          <w:rFonts w:eastAsia="Calibri" w:cs="Tahoma"/>
          <w:szCs w:val="18"/>
          <w:lang w:val="de-DE"/>
        </w:rPr>
        <w:t xml:space="preserve">. </w:t>
      </w:r>
      <w:r w:rsidRPr="008657B1">
        <w:rPr>
          <w:lang w:val="de-DE"/>
        </w:rPr>
        <w:t xml:space="preserve">Diese Promotion wird </w:t>
      </w:r>
      <w:r w:rsidRPr="008657B1">
        <w:rPr>
          <w:rFonts w:eastAsia="Calibri" w:cs="Tahoma"/>
          <w:szCs w:val="18"/>
          <w:lang w:val="de-DE"/>
        </w:rPr>
        <w:t xml:space="preserve">ausschließlich </w:t>
      </w:r>
      <w:r w:rsidRPr="008657B1">
        <w:rPr>
          <w:lang w:val="de-DE"/>
        </w:rPr>
        <w:t>unter dem Konzernvertrag-</w:t>
      </w:r>
      <w:r w:rsidRPr="008657B1">
        <w:rPr>
          <w:rFonts w:eastAsia="Calibri" w:cs="Tahoma"/>
          <w:szCs w:val="18"/>
          <w:lang w:val="de-DE"/>
        </w:rPr>
        <w:t>Lizenzprogramm angeboten</w:t>
      </w:r>
      <w:r w:rsidR="006257A7">
        <w:rPr>
          <w:rFonts w:eastAsia="Calibri" w:cs="Tahoma"/>
          <w:szCs w:val="18"/>
          <w:lang w:val="de-DE"/>
        </w:rPr>
        <w:t xml:space="preserve">. </w:t>
      </w:r>
    </w:p>
    <w:p w:rsidR="008D4EE5" w:rsidRPr="008657B1" w:rsidRDefault="008D4EE5" w:rsidP="007E0DFB">
      <w:pPr>
        <w:spacing w:after="120" w:line="276" w:lineRule="auto"/>
        <w:rPr>
          <w:lang w:val="de-DE"/>
        </w:rPr>
      </w:pPr>
      <w:r w:rsidRPr="008657B1">
        <w:rPr>
          <w:rFonts w:eastAsia="Calibri" w:cs="Tahoma"/>
          <w:szCs w:val="18"/>
          <w:lang w:val="de-DE"/>
        </w:rPr>
        <w:t>Alle im Rahmen dieses Angebots gewährten Lizenzen umfassen Software Assurance</w:t>
      </w:r>
      <w:r w:rsidR="006257A7">
        <w:rPr>
          <w:rFonts w:eastAsia="Calibri" w:cs="Tahoma"/>
          <w:szCs w:val="18"/>
          <w:lang w:val="de-DE"/>
        </w:rPr>
        <w:t xml:space="preserve">. </w:t>
      </w:r>
      <w:r w:rsidRPr="008657B1">
        <w:rPr>
          <w:rFonts w:eastAsia="Calibri" w:cs="Tahoma"/>
          <w:szCs w:val="18"/>
          <w:lang w:val="de-DE"/>
        </w:rPr>
        <w:t>Diese gilt bis zum Ablauf von</w:t>
      </w:r>
      <w:r w:rsidR="007E0DFB">
        <w:rPr>
          <w:rFonts w:eastAsia="Calibri" w:cs="Tahoma"/>
          <w:szCs w:val="18"/>
          <w:lang w:val="de-DE"/>
        </w:rPr>
        <w:t> </w:t>
      </w:r>
      <w:r w:rsidRPr="008657B1">
        <w:rPr>
          <w:rFonts w:eastAsia="Calibri" w:cs="Tahoma"/>
          <w:szCs w:val="18"/>
          <w:lang w:val="de-DE"/>
        </w:rPr>
        <w:t>Software Assurance für die qualifizierenden Lizenzen</w:t>
      </w:r>
      <w:r w:rsidR="006257A7">
        <w:rPr>
          <w:rFonts w:eastAsia="Calibri" w:cs="Tahoma"/>
          <w:szCs w:val="18"/>
          <w:lang w:val="de-DE"/>
        </w:rPr>
        <w:t xml:space="preserve">. </w:t>
      </w:r>
      <w:r w:rsidRPr="008657B1">
        <w:rPr>
          <w:rFonts w:eastAsia="Calibri" w:cs="Tahoma"/>
          <w:szCs w:val="18"/>
          <w:lang w:val="de-DE"/>
        </w:rPr>
        <w:t>Danach können die Kunden Software Assurance für die gewährten Lizenzen verlängern</w:t>
      </w:r>
      <w:r w:rsidR="006257A7">
        <w:rPr>
          <w:rFonts w:eastAsia="Calibri" w:cs="Tahoma"/>
          <w:szCs w:val="18"/>
          <w:lang w:val="de-DE"/>
        </w:rPr>
        <w:t xml:space="preserve">. </w:t>
      </w:r>
      <w:bookmarkStart w:id="601" w:name="_Toc336338183"/>
      <w:r w:rsidRPr="008657B1">
        <w:rPr>
          <w:rFonts w:eastAsia="Calibri" w:cs="Tahoma"/>
          <w:szCs w:val="18"/>
          <w:lang w:val="de-DE"/>
        </w:rPr>
        <w:t>Das Recht zur Nutzung der gewährten Software gilt bis zum Ablauf des Rechts zur</w:t>
      </w:r>
      <w:r w:rsidR="007E0DFB">
        <w:rPr>
          <w:rFonts w:eastAsia="Calibri" w:cs="Tahoma"/>
          <w:szCs w:val="18"/>
          <w:lang w:val="de-DE"/>
        </w:rPr>
        <w:t> </w:t>
      </w:r>
      <w:r w:rsidRPr="008657B1">
        <w:rPr>
          <w:rFonts w:eastAsia="Calibri" w:cs="Tahoma"/>
          <w:szCs w:val="18"/>
          <w:lang w:val="de-DE"/>
        </w:rPr>
        <w:t>Nutzung der Software unter der qualifizierenden Lizenz für Microsoft Dynamics AX 2012 R2 Server</w:t>
      </w:r>
      <w:r w:rsidR="006257A7">
        <w:rPr>
          <w:rFonts w:eastAsia="Calibri" w:cs="Tahoma"/>
          <w:szCs w:val="18"/>
          <w:lang w:val="de-DE"/>
        </w:rPr>
        <w:t xml:space="preserve">. </w:t>
      </w:r>
      <w:r w:rsidRPr="008657B1">
        <w:rPr>
          <w:rFonts w:eastAsia="Calibri" w:cs="Tahoma"/>
          <w:szCs w:val="18"/>
          <w:lang w:val="de-DE"/>
        </w:rPr>
        <w:t>Der Nachweis der qualifizierenden Serverlizenz und dieser Produkthinweis belegen das Recht des Kunden, Lizenzen für Microsoft Dynamics AX 2012 R2 unter den Bestimmungen dieses Angebots zu verwenden</w:t>
      </w:r>
      <w:r w:rsidR="006257A7">
        <w:rPr>
          <w:rFonts w:eastAsia="Calibri" w:cs="Tahoma"/>
          <w:szCs w:val="18"/>
          <w:lang w:val="de-DE"/>
        </w:rPr>
        <w:t xml:space="preserve">. </w:t>
      </w:r>
      <w:r w:rsidRPr="008657B1">
        <w:rPr>
          <w:rFonts w:eastAsia="Calibri" w:cs="Tahoma"/>
          <w:szCs w:val="18"/>
          <w:lang w:val="de-DE"/>
        </w:rPr>
        <w:t>Im Rahmen dieses Angebots gewährte Lizenzen dürfen nicht getrennt von den zugehörigen qualifizierenden Lizenzen übertragen werden</w:t>
      </w:r>
      <w:r w:rsidR="006257A7">
        <w:rPr>
          <w:rFonts w:eastAsia="Calibri" w:cs="Tahoma"/>
          <w:szCs w:val="18"/>
          <w:lang w:val="de-DE"/>
        </w:rPr>
        <w:t xml:space="preserve">. </w:t>
      </w:r>
    </w:p>
    <w:bookmarkEnd w:id="601"/>
    <w:p w:rsidR="008D4EE5" w:rsidRPr="0062435A" w:rsidRDefault="008D4EE5" w:rsidP="008D4EE5">
      <w:pPr>
        <w:spacing w:after="120" w:line="276" w:lineRule="auto"/>
      </w:pPr>
      <w:r>
        <w:rPr>
          <w:color w:val="000000"/>
        </w:rPr>
        <w:t>Plus-, EAP-, ECI- und Open Value-Programme</w:t>
      </w:r>
      <w:r w:rsidR="006257A7">
        <w:rPr>
          <w:color w:val="000000"/>
        </w:rPr>
        <w:t xml:space="preserve">. </w:t>
      </w:r>
    </w:p>
    <w:p w:rsidR="008D4EE5" w:rsidRPr="0062435A" w:rsidRDefault="008D4EE5" w:rsidP="008D4EE5">
      <w:pPr>
        <w:spacing w:after="120" w:line="276" w:lineRule="auto"/>
      </w:pPr>
    </w:p>
    <w:p w:rsidR="008D4EE5" w:rsidRPr="008657B1" w:rsidRDefault="008D4EE5" w:rsidP="008D4EE5">
      <w:pPr>
        <w:pStyle w:val="Heading2"/>
        <w:spacing w:after="120" w:line="276" w:lineRule="auto"/>
        <w:ind w:left="0"/>
        <w:rPr>
          <w:lang w:val="de-DE"/>
        </w:rPr>
      </w:pPr>
      <w:bookmarkStart w:id="602" w:name="_Toc363998922"/>
      <w:r w:rsidRPr="008657B1">
        <w:rPr>
          <w:rStyle w:val="Strong"/>
          <w:rFonts w:ascii="Tahoma" w:hAnsi="Tahoma" w:cs="Tahoma"/>
          <w:b/>
          <w:color w:val="FF9429"/>
          <w:bdr w:val="none" w:sz="0" w:space="0" w:color="auto" w:frame="1"/>
          <w:shd w:val="clear" w:color="auto" w:fill="FFFFFF"/>
          <w:lang w:val="de-DE"/>
        </w:rPr>
        <w:t>Windows Companion Kickstart Promotion</w:t>
      </w:r>
      <w:bookmarkEnd w:id="602"/>
    </w:p>
    <w:p w:rsidR="008D4EE5" w:rsidRPr="008657B1" w:rsidRDefault="008D4EE5" w:rsidP="007E0DFB">
      <w:pPr>
        <w:spacing w:after="120" w:line="276" w:lineRule="auto"/>
        <w:rPr>
          <w:lang w:val="de-DE"/>
        </w:rPr>
      </w:pPr>
      <w:r w:rsidRPr="008657B1">
        <w:rPr>
          <w:rFonts w:cs="Tahoma"/>
          <w:color w:val="000000" w:themeColor="text1"/>
          <w:szCs w:val="18"/>
          <w:bdr w:val="none" w:sz="0" w:space="0" w:color="auto" w:frame="1"/>
          <w:shd w:val="clear" w:color="auto" w:fill="FFFFFF"/>
          <w:lang w:val="de-DE"/>
        </w:rPr>
        <w:t>Zwischen dem 1</w:t>
      </w:r>
      <w:r w:rsidR="006257A7">
        <w:rPr>
          <w:rFonts w:cs="Tahoma"/>
          <w:color w:val="000000" w:themeColor="text1"/>
          <w:szCs w:val="18"/>
          <w:bdr w:val="none" w:sz="0" w:space="0" w:color="auto" w:frame="1"/>
          <w:shd w:val="clear" w:color="auto" w:fill="FFFFFF"/>
          <w:lang w:val="de-DE"/>
        </w:rPr>
        <w:t xml:space="preserve">. </w:t>
      </w:r>
      <w:r w:rsidRPr="008657B1">
        <w:rPr>
          <w:rFonts w:cs="Tahoma"/>
          <w:color w:val="000000" w:themeColor="text1"/>
          <w:szCs w:val="18"/>
          <w:bdr w:val="none" w:sz="0" w:space="0" w:color="auto" w:frame="1"/>
          <w:shd w:val="clear" w:color="auto" w:fill="FFFFFF"/>
          <w:lang w:val="de-DE"/>
        </w:rPr>
        <w:t>Mai und dem 30</w:t>
      </w:r>
      <w:r w:rsidR="006257A7">
        <w:rPr>
          <w:rFonts w:cs="Tahoma"/>
          <w:color w:val="000000" w:themeColor="text1"/>
          <w:szCs w:val="18"/>
          <w:bdr w:val="none" w:sz="0" w:space="0" w:color="auto" w:frame="1"/>
          <w:shd w:val="clear" w:color="auto" w:fill="FFFFFF"/>
          <w:lang w:val="de-DE"/>
        </w:rPr>
        <w:t xml:space="preserve">. </w:t>
      </w:r>
      <w:r w:rsidRPr="008657B1">
        <w:rPr>
          <w:rFonts w:cs="Tahoma"/>
          <w:color w:val="000000" w:themeColor="text1"/>
          <w:szCs w:val="18"/>
          <w:bdr w:val="none" w:sz="0" w:space="0" w:color="auto" w:frame="1"/>
          <w:shd w:val="clear" w:color="auto" w:fill="FFFFFF"/>
          <w:lang w:val="de-DE"/>
        </w:rPr>
        <w:t>September 2013 gibt Microsoft 67 % Nachlass auf Windows Companion-Abonnementlizenzen für EA- und Select- (250+) Kunden, die einen neuen Vertrag, eine Vertragsverlängerung und</w:t>
      </w:r>
      <w:r w:rsidR="007E0DFB">
        <w:rPr>
          <w:rFonts w:cs="Tahoma"/>
          <w:color w:val="000000" w:themeColor="text1"/>
          <w:szCs w:val="18"/>
          <w:bdr w:val="none" w:sz="0" w:space="0" w:color="auto" w:frame="1"/>
          <w:shd w:val="clear" w:color="auto" w:fill="FFFFFF"/>
          <w:lang w:val="de-DE"/>
        </w:rPr>
        <w:t> </w:t>
      </w:r>
      <w:r w:rsidRPr="008657B1">
        <w:rPr>
          <w:rFonts w:cs="Tahoma"/>
          <w:color w:val="000000" w:themeColor="text1"/>
          <w:szCs w:val="18"/>
          <w:bdr w:val="none" w:sz="0" w:space="0" w:color="auto" w:frame="1"/>
          <w:shd w:val="clear" w:color="auto" w:fill="FFFFFF"/>
          <w:lang w:val="de-DE"/>
        </w:rPr>
        <w:t>ein</w:t>
      </w:r>
      <w:r w:rsidR="007E0DFB">
        <w:rPr>
          <w:rFonts w:cs="Tahoma"/>
          <w:color w:val="000000" w:themeColor="text1"/>
          <w:szCs w:val="18"/>
          <w:bdr w:val="none" w:sz="0" w:space="0" w:color="auto" w:frame="1"/>
          <w:shd w:val="clear" w:color="auto" w:fill="FFFFFF"/>
          <w:lang w:val="de-DE"/>
        </w:rPr>
        <w:t> </w:t>
      </w:r>
      <w:r w:rsidRPr="008657B1">
        <w:rPr>
          <w:rFonts w:cs="Tahoma"/>
          <w:color w:val="000000" w:themeColor="text1"/>
          <w:szCs w:val="18"/>
          <w:bdr w:val="none" w:sz="0" w:space="0" w:color="auto" w:frame="1"/>
          <w:shd w:val="clear" w:color="auto" w:fill="FFFFFF"/>
          <w:lang w:val="de-DE"/>
        </w:rPr>
        <w:t>Add-On für das Abonnement abschließen</w:t>
      </w:r>
      <w:r w:rsidR="006257A7">
        <w:rPr>
          <w:rFonts w:cs="Tahoma"/>
          <w:color w:val="000000" w:themeColor="text1"/>
          <w:szCs w:val="18"/>
          <w:bdr w:val="none" w:sz="0" w:space="0" w:color="auto" w:frame="1"/>
          <w:shd w:val="clear" w:color="auto" w:fill="FFFFFF"/>
          <w:lang w:val="de-DE"/>
        </w:rPr>
        <w:t xml:space="preserve">. </w:t>
      </w:r>
      <w:r w:rsidRPr="008657B1">
        <w:rPr>
          <w:rFonts w:cs="Tahoma"/>
          <w:color w:val="000000" w:themeColor="text1"/>
          <w:szCs w:val="18"/>
          <w:bdr w:val="none" w:sz="0" w:space="0" w:color="auto" w:frame="1"/>
          <w:shd w:val="clear" w:color="auto" w:fill="FFFFFF"/>
          <w:lang w:val="de-DE"/>
        </w:rPr>
        <w:t>Dieses Angebot gilt für Kunden mit einer Organisationsgröße von</w:t>
      </w:r>
      <w:r w:rsidR="007E0DFB">
        <w:rPr>
          <w:rFonts w:cs="Tahoma"/>
          <w:color w:val="000000" w:themeColor="text1"/>
          <w:szCs w:val="18"/>
          <w:bdr w:val="none" w:sz="0" w:space="0" w:color="auto" w:frame="1"/>
          <w:shd w:val="clear" w:color="auto" w:fill="FFFFFF"/>
          <w:lang w:val="de-DE"/>
        </w:rPr>
        <w:t> </w:t>
      </w:r>
      <w:r w:rsidRPr="008657B1">
        <w:rPr>
          <w:rFonts w:cs="Tahoma"/>
          <w:color w:val="000000" w:themeColor="text1"/>
          <w:szCs w:val="18"/>
          <w:bdr w:val="none" w:sz="0" w:space="0" w:color="auto" w:frame="1"/>
          <w:shd w:val="clear" w:color="auto" w:fill="FFFFFF"/>
          <w:lang w:val="de-DE"/>
        </w:rPr>
        <w:t>mindestens 250 Arbeitsplätzen</w:t>
      </w:r>
      <w:r w:rsidR="006257A7">
        <w:rPr>
          <w:rFonts w:cs="Tahoma"/>
          <w:color w:val="000000" w:themeColor="text1"/>
          <w:szCs w:val="18"/>
          <w:bdr w:val="none" w:sz="0" w:space="0" w:color="auto" w:frame="1"/>
          <w:shd w:val="clear" w:color="auto" w:fill="FFFFFF"/>
          <w:lang w:val="de-DE"/>
        </w:rPr>
        <w:t xml:space="preserve">. </w:t>
      </w:r>
      <w:r w:rsidRPr="008657B1">
        <w:rPr>
          <w:rFonts w:cs="Tahoma"/>
          <w:color w:val="000000" w:themeColor="text1"/>
          <w:szCs w:val="18"/>
          <w:bdr w:val="none" w:sz="0" w:space="0" w:color="auto" w:frame="1"/>
          <w:shd w:val="clear" w:color="auto" w:fill="FFFFFF"/>
          <w:lang w:val="de-DE"/>
        </w:rPr>
        <w:t>Es richtet sich an Kunden der EA-, EAS-, EES- und Select Plus-Programme</w:t>
      </w:r>
      <w:r w:rsidR="006257A7">
        <w:rPr>
          <w:rFonts w:cs="Tahoma"/>
          <w:color w:val="000000" w:themeColor="text1"/>
          <w:szCs w:val="18"/>
          <w:bdr w:val="none" w:sz="0" w:space="0" w:color="auto" w:frame="1"/>
          <w:shd w:val="clear" w:color="auto" w:fill="FFFFFF"/>
          <w:lang w:val="de-DE"/>
        </w:rPr>
        <w:t xml:space="preserve">. </w:t>
      </w:r>
      <w:r w:rsidRPr="008657B1">
        <w:rPr>
          <w:rFonts w:cs="Tahoma"/>
          <w:color w:val="000000" w:themeColor="text1"/>
          <w:szCs w:val="18"/>
          <w:bdr w:val="none" w:sz="0" w:space="0" w:color="auto" w:frame="1"/>
          <w:shd w:val="clear" w:color="auto" w:fill="FFFFFF"/>
          <w:lang w:val="de-DE"/>
        </w:rPr>
        <w:t>Zu</w:t>
      </w:r>
      <w:r w:rsidR="007E0DFB">
        <w:rPr>
          <w:rFonts w:cs="Tahoma"/>
          <w:color w:val="000000" w:themeColor="text1"/>
          <w:szCs w:val="18"/>
          <w:bdr w:val="none" w:sz="0" w:space="0" w:color="auto" w:frame="1"/>
          <w:shd w:val="clear" w:color="auto" w:fill="FFFFFF"/>
          <w:lang w:val="de-DE"/>
        </w:rPr>
        <w:t> </w:t>
      </w:r>
      <w:r w:rsidRPr="008657B1">
        <w:rPr>
          <w:rFonts w:cs="Tahoma"/>
          <w:color w:val="000000" w:themeColor="text1"/>
          <w:szCs w:val="18"/>
          <w:bdr w:val="none" w:sz="0" w:space="0" w:color="auto" w:frame="1"/>
          <w:shd w:val="clear" w:color="auto" w:fill="FFFFFF"/>
          <w:lang w:val="de-DE"/>
        </w:rPr>
        <w:t>den Zielgruppensegmenten gehören EPG/SMS&amp;P/CA Commercial, Government und Education</w:t>
      </w:r>
      <w:r w:rsidR="006257A7">
        <w:rPr>
          <w:rFonts w:cs="Tahoma"/>
          <w:color w:val="000000" w:themeColor="text1"/>
          <w:szCs w:val="18"/>
          <w:bdr w:val="none" w:sz="0" w:space="0" w:color="auto" w:frame="1"/>
          <w:shd w:val="clear" w:color="auto" w:fill="FFFFFF"/>
          <w:lang w:val="de-DE"/>
        </w:rPr>
        <w:t xml:space="preserve">. </w:t>
      </w:r>
    </w:p>
    <w:p w:rsidR="008D4EE5" w:rsidRPr="008657B1" w:rsidRDefault="008D4EE5" w:rsidP="008D4EE5">
      <w:pPr>
        <w:spacing w:after="120" w:line="276" w:lineRule="auto"/>
        <w:rPr>
          <w:lang w:val="de-DE"/>
        </w:rPr>
      </w:pPr>
    </w:p>
    <w:p w:rsidR="008D4EE5" w:rsidRPr="008657B1" w:rsidRDefault="008D4EE5" w:rsidP="008D4EE5">
      <w:pPr>
        <w:pStyle w:val="Heading2"/>
        <w:spacing w:after="120"/>
        <w:ind w:left="0"/>
        <w:rPr>
          <w:lang w:val="de-DE"/>
        </w:rPr>
      </w:pPr>
      <w:bookmarkStart w:id="603" w:name="_Toc363998923"/>
      <w:r w:rsidRPr="008657B1">
        <w:rPr>
          <w:rFonts w:ascii="Tahoma" w:eastAsia="Times New Roman" w:hAnsi="Tahoma" w:cs="Tahoma"/>
          <w:color w:val="FF9429"/>
          <w:lang w:val="de-DE"/>
        </w:rPr>
        <w:t>Windows Legalization Drive – nur für bestimmte Märkte</w:t>
      </w:r>
      <w:bookmarkEnd w:id="603"/>
    </w:p>
    <w:p w:rsidR="008D4EE5" w:rsidRPr="008657B1" w:rsidRDefault="008D4EE5" w:rsidP="008D4EE5">
      <w:pPr>
        <w:spacing w:after="120" w:line="276" w:lineRule="auto"/>
        <w:rPr>
          <w:lang w:val="de-DE"/>
        </w:rPr>
      </w:pPr>
      <w:r w:rsidRPr="008657B1">
        <w:rPr>
          <w:lang w:val="de-DE"/>
        </w:rPr>
        <w:t>Während des Geschäftsjahres 2014 (1</w:t>
      </w:r>
      <w:r w:rsidR="006257A7">
        <w:rPr>
          <w:lang w:val="de-DE"/>
        </w:rPr>
        <w:t xml:space="preserve">. </w:t>
      </w:r>
      <w:r w:rsidRPr="008657B1">
        <w:rPr>
          <w:lang w:val="de-DE"/>
        </w:rPr>
        <w:t>Juli 2013 bis 30</w:t>
      </w:r>
      <w:r w:rsidR="006257A7">
        <w:rPr>
          <w:lang w:val="de-DE"/>
        </w:rPr>
        <w:t xml:space="preserve">. </w:t>
      </w:r>
      <w:r w:rsidRPr="008657B1">
        <w:rPr>
          <w:lang w:val="de-DE"/>
        </w:rPr>
        <w:t>Juni 2014) leitet Microsoft eine Initiative, die sich auf den öffentlichen Sektor konzentriert</w:t>
      </w:r>
      <w:r w:rsidR="006257A7">
        <w:rPr>
          <w:lang w:val="de-DE"/>
        </w:rPr>
        <w:t xml:space="preserve">. </w:t>
      </w:r>
      <w:r w:rsidRPr="008657B1">
        <w:rPr>
          <w:lang w:val="de-DE"/>
        </w:rPr>
        <w:t>Die Hauptmaßnahmen bestehen darin, die Nutzung von originaler Software durch staatliche Institutionen voranzubringen und diesen eine einmalige Möglichkeit zu bieten, die besten Preise zu erhalten, ohne dass ein Wettbewerbsverhältnis entsteht</w:t>
      </w:r>
      <w:r w:rsidR="006257A7">
        <w:rPr>
          <w:lang w:val="de-DE"/>
        </w:rPr>
        <w:t xml:space="preserve">. </w:t>
      </w:r>
    </w:p>
    <w:p w:rsidR="008D4EE5" w:rsidRPr="008657B1" w:rsidRDefault="008D4EE5" w:rsidP="007E0DFB">
      <w:pPr>
        <w:spacing w:after="120" w:line="276" w:lineRule="auto"/>
        <w:rPr>
          <w:lang w:val="de-DE"/>
        </w:rPr>
      </w:pPr>
      <w:r w:rsidRPr="008657B1">
        <w:rPr>
          <w:lang w:val="de-DE"/>
        </w:rPr>
        <w:t>Dieses Angebot gilt nur für Institutionen des öffentlichen Sektors und ist für gewerbliche Kunden nicht verfügbar</w:t>
      </w:r>
      <w:r w:rsidR="006257A7">
        <w:rPr>
          <w:lang w:val="de-DE"/>
        </w:rPr>
        <w:t xml:space="preserve">. </w:t>
      </w:r>
      <w:r w:rsidRPr="008657B1">
        <w:rPr>
          <w:lang w:val="de-DE"/>
        </w:rPr>
        <w:t>Es</w:t>
      </w:r>
      <w:r w:rsidR="007E0DFB">
        <w:rPr>
          <w:lang w:val="de-DE"/>
        </w:rPr>
        <w:t> </w:t>
      </w:r>
      <w:r w:rsidRPr="008657B1">
        <w:rPr>
          <w:lang w:val="de-DE"/>
        </w:rPr>
        <w:t>gibt spezielle Produktnummern, die ausschließlich für staatliche Kunden bestimmt sind</w:t>
      </w:r>
      <w:r w:rsidR="006257A7">
        <w:rPr>
          <w:lang w:val="de-DE"/>
        </w:rPr>
        <w:t xml:space="preserve">. </w:t>
      </w:r>
      <w:r w:rsidRPr="008657B1">
        <w:rPr>
          <w:lang w:val="de-DE"/>
        </w:rPr>
        <w:t>Diese Initiative umfasst einen Einheitspreis in Höhe von 135 USD für GGWA-SMO und GGWA-LO-Produktnummern</w:t>
      </w:r>
      <w:r w:rsidR="006257A7">
        <w:rPr>
          <w:lang w:val="de-DE"/>
        </w:rPr>
        <w:t xml:space="preserve">. </w:t>
      </w:r>
      <w:r w:rsidRPr="008657B1">
        <w:rPr>
          <w:lang w:val="de-DE"/>
        </w:rPr>
        <w:t>Kunden, die GGWA-LO-Produkte erwerben, haben außerdem die Option, eine 3-jährige SA zu abonnieren (und erhalten dann das erste Jahr umsonst) – dieser Teil der Initiative wird individuell angeboten</w:t>
      </w:r>
      <w:r w:rsidR="006257A7">
        <w:rPr>
          <w:lang w:val="de-DE"/>
        </w:rPr>
        <w:t xml:space="preserve">. </w:t>
      </w:r>
      <w:r w:rsidRPr="008657B1">
        <w:rPr>
          <w:lang w:val="de-DE"/>
        </w:rPr>
        <w:t>Die Nutzung dieser Produkte kann nicht mit anderen Ermäßigungen kombiniert werden und es werden auf diese Preise keine weiteren Ermäßigungen gewährt</w:t>
      </w:r>
      <w:r w:rsidR="006257A7">
        <w:rPr>
          <w:lang w:val="de-DE"/>
        </w:rPr>
        <w:t xml:space="preserve">. </w:t>
      </w:r>
      <w:r w:rsidRPr="008657B1">
        <w:rPr>
          <w:lang w:val="de-DE"/>
        </w:rPr>
        <w:t>Viele Kunden haben möglicherweise Zugang zu besseren Preisen über herkömmliche Ermäßigungen und können sich entscheiden, die speziellen Produktnummern nicht in Anspruch zu nehmen</w:t>
      </w:r>
      <w:r w:rsidR="006257A7">
        <w:rPr>
          <w:lang w:val="de-DE"/>
        </w:rPr>
        <w:t xml:space="preserve">. </w:t>
      </w:r>
    </w:p>
    <w:p w:rsidR="008D4EE5" w:rsidRPr="008657B1" w:rsidRDefault="008D4EE5" w:rsidP="008D4EE5">
      <w:pPr>
        <w:spacing w:after="120" w:line="276" w:lineRule="auto"/>
        <w:rPr>
          <w:lang w:val="de-DE"/>
        </w:rPr>
      </w:pPr>
    </w:p>
    <w:p w:rsidR="008D4EE5" w:rsidRPr="008657B1" w:rsidRDefault="008D4EE5" w:rsidP="008D4EE5">
      <w:pPr>
        <w:pStyle w:val="Heading2"/>
        <w:spacing w:after="120" w:line="276" w:lineRule="auto"/>
        <w:ind w:left="0"/>
        <w:rPr>
          <w:lang w:val="de-DE"/>
        </w:rPr>
      </w:pPr>
      <w:bookmarkStart w:id="604" w:name="_Toc363998924"/>
      <w:r w:rsidRPr="008657B1">
        <w:rPr>
          <w:rStyle w:val="Strong"/>
          <w:rFonts w:ascii="Tahoma" w:hAnsi="Tahoma" w:cs="Tahoma"/>
          <w:b/>
          <w:color w:val="FF9429"/>
          <w:bdr w:val="none" w:sz="0" w:space="0" w:color="auto" w:frame="1"/>
          <w:shd w:val="clear" w:color="auto" w:fill="FFFFFF"/>
          <w:lang w:val="de-DE"/>
        </w:rPr>
        <w:t>Windows Intune</w:t>
      </w:r>
      <w:r w:rsidRPr="008657B1">
        <w:rPr>
          <w:rFonts w:ascii="Tahoma" w:hAnsi="Tahoma" w:cs="Tahoma"/>
          <w:color w:val="FF9429"/>
          <w:bdr w:val="none" w:sz="0" w:space="0" w:color="auto" w:frame="1"/>
          <w:shd w:val="clear" w:color="auto" w:fill="FFFFFF"/>
          <w:lang w:val="de-DE"/>
        </w:rPr>
        <w:t xml:space="preserve"> </w:t>
      </w:r>
      <w:r w:rsidRPr="008657B1">
        <w:rPr>
          <w:rStyle w:val="Strong"/>
          <w:rFonts w:ascii="Tahoma" w:hAnsi="Tahoma" w:cs="Tahoma"/>
          <w:b/>
          <w:color w:val="FF9429"/>
          <w:bdr w:val="none" w:sz="0" w:space="0" w:color="auto" w:frame="1"/>
          <w:shd w:val="clear" w:color="auto" w:fill="FFFFFF"/>
          <w:lang w:val="de-DE"/>
        </w:rPr>
        <w:t>Promotion</w:t>
      </w:r>
      <w:bookmarkEnd w:id="604"/>
      <w:r w:rsidRPr="008657B1">
        <w:rPr>
          <w:rFonts w:ascii="Tahoma" w:hAnsi="Tahoma" w:cs="Tahoma"/>
          <w:color w:val="FF9429"/>
          <w:bdr w:val="none" w:sz="0" w:space="0" w:color="auto" w:frame="1"/>
          <w:shd w:val="clear" w:color="auto" w:fill="FFFFFF"/>
          <w:lang w:val="de-DE"/>
        </w:rPr>
        <w:t xml:space="preserve"> </w:t>
      </w:r>
    </w:p>
    <w:p w:rsidR="008D4EE5" w:rsidRPr="008657B1" w:rsidRDefault="008D4EE5" w:rsidP="007E0DFB">
      <w:pPr>
        <w:spacing w:after="120" w:line="276" w:lineRule="auto"/>
        <w:rPr>
          <w:lang w:val="de-DE"/>
        </w:rPr>
      </w:pPr>
      <w:r w:rsidRPr="008657B1">
        <w:rPr>
          <w:rFonts w:cs="Tahoma"/>
          <w:color w:val="000000" w:themeColor="text1"/>
          <w:szCs w:val="18"/>
          <w:bdr w:val="none" w:sz="0" w:space="0" w:color="auto" w:frame="1"/>
          <w:shd w:val="clear" w:color="auto" w:fill="FFFFFF"/>
          <w:lang w:val="de-DE"/>
        </w:rPr>
        <w:t>Zwischen dem 1</w:t>
      </w:r>
      <w:r w:rsidR="006257A7">
        <w:rPr>
          <w:rFonts w:cs="Tahoma"/>
          <w:color w:val="000000" w:themeColor="text1"/>
          <w:szCs w:val="18"/>
          <w:bdr w:val="none" w:sz="0" w:space="0" w:color="auto" w:frame="1"/>
          <w:shd w:val="clear" w:color="auto" w:fill="FFFFFF"/>
          <w:lang w:val="de-DE"/>
        </w:rPr>
        <w:t xml:space="preserve">. </w:t>
      </w:r>
      <w:r w:rsidRPr="008657B1">
        <w:rPr>
          <w:rFonts w:cs="Tahoma"/>
          <w:color w:val="000000" w:themeColor="text1"/>
          <w:szCs w:val="18"/>
          <w:bdr w:val="none" w:sz="0" w:space="0" w:color="auto" w:frame="1"/>
          <w:shd w:val="clear" w:color="auto" w:fill="FFFFFF"/>
          <w:lang w:val="de-DE"/>
        </w:rPr>
        <w:t>Oktober und dem 30</w:t>
      </w:r>
      <w:r w:rsidR="006257A7">
        <w:rPr>
          <w:rFonts w:cs="Tahoma"/>
          <w:color w:val="000000" w:themeColor="text1"/>
          <w:szCs w:val="18"/>
          <w:bdr w:val="none" w:sz="0" w:space="0" w:color="auto" w:frame="1"/>
          <w:shd w:val="clear" w:color="auto" w:fill="FFFFFF"/>
          <w:lang w:val="de-DE"/>
        </w:rPr>
        <w:t xml:space="preserve">. </w:t>
      </w:r>
      <w:r w:rsidRPr="008657B1">
        <w:rPr>
          <w:rFonts w:cs="Tahoma"/>
          <w:color w:val="000000" w:themeColor="text1"/>
          <w:szCs w:val="18"/>
          <w:bdr w:val="none" w:sz="0" w:space="0" w:color="auto" w:frame="1"/>
          <w:shd w:val="clear" w:color="auto" w:fill="FFFFFF"/>
          <w:lang w:val="de-DE"/>
        </w:rPr>
        <w:t>Juni 2013 bietet Microsoft Kunden, die Office 365 Suites (E/A/G) oder eigenständige Produktnummern (d</w:t>
      </w:r>
      <w:r w:rsidR="006257A7">
        <w:rPr>
          <w:rFonts w:cs="Tahoma"/>
          <w:color w:val="000000" w:themeColor="text1"/>
          <w:szCs w:val="18"/>
          <w:bdr w:val="none" w:sz="0" w:space="0" w:color="auto" w:frame="1"/>
          <w:shd w:val="clear" w:color="auto" w:fill="FFFFFF"/>
          <w:lang w:val="de-DE"/>
        </w:rPr>
        <w:t xml:space="preserve">. </w:t>
      </w:r>
      <w:r w:rsidRPr="008657B1">
        <w:rPr>
          <w:rFonts w:cs="Tahoma"/>
          <w:color w:val="000000" w:themeColor="text1"/>
          <w:szCs w:val="18"/>
          <w:bdr w:val="none" w:sz="0" w:space="0" w:color="auto" w:frame="1"/>
          <w:shd w:val="clear" w:color="auto" w:fill="FFFFFF"/>
          <w:lang w:val="de-DE"/>
        </w:rPr>
        <w:t>h</w:t>
      </w:r>
      <w:r w:rsidR="006257A7">
        <w:rPr>
          <w:rFonts w:cs="Tahoma"/>
          <w:color w:val="000000" w:themeColor="text1"/>
          <w:szCs w:val="18"/>
          <w:bdr w:val="none" w:sz="0" w:space="0" w:color="auto" w:frame="1"/>
          <w:shd w:val="clear" w:color="auto" w:fill="FFFFFF"/>
          <w:lang w:val="de-DE"/>
        </w:rPr>
        <w:t xml:space="preserve">. </w:t>
      </w:r>
      <w:r w:rsidRPr="008657B1">
        <w:rPr>
          <w:rFonts w:cs="Tahoma"/>
          <w:color w:val="000000" w:themeColor="text1"/>
          <w:szCs w:val="18"/>
          <w:bdr w:val="none" w:sz="0" w:space="0" w:color="auto" w:frame="1"/>
          <w:shd w:val="clear" w:color="auto" w:fill="FFFFFF"/>
          <w:lang w:val="de-DE"/>
        </w:rPr>
        <w:t>Exchange Online) über Enterprise-Volumenlizenzprogramme kaufen, 30 %</w:t>
      </w:r>
      <w:r w:rsidR="007E0DFB">
        <w:rPr>
          <w:rFonts w:cs="Tahoma"/>
          <w:color w:val="000000" w:themeColor="text1"/>
          <w:szCs w:val="18"/>
          <w:bdr w:val="none" w:sz="0" w:space="0" w:color="auto" w:frame="1"/>
          <w:shd w:val="clear" w:color="auto" w:fill="FFFFFF"/>
          <w:lang w:val="de-DE"/>
        </w:rPr>
        <w:t> </w:t>
      </w:r>
      <w:r w:rsidRPr="008657B1">
        <w:rPr>
          <w:rFonts w:cs="Tahoma"/>
          <w:color w:val="000000" w:themeColor="text1"/>
          <w:szCs w:val="18"/>
          <w:bdr w:val="none" w:sz="0" w:space="0" w:color="auto" w:frame="1"/>
          <w:shd w:val="clear" w:color="auto" w:fill="FFFFFF"/>
          <w:lang w:val="de-DE"/>
        </w:rPr>
        <w:t>Ermäßigung auf Intune und Intune Add-on für System Center Configuration Manager und System Center Endpoint Protection</w:t>
      </w:r>
      <w:r w:rsidR="006257A7">
        <w:rPr>
          <w:rFonts w:cs="Tahoma"/>
          <w:color w:val="000000" w:themeColor="text1"/>
          <w:szCs w:val="18"/>
          <w:bdr w:val="none" w:sz="0" w:space="0" w:color="auto" w:frame="1"/>
          <w:shd w:val="clear" w:color="auto" w:fill="FFFFFF"/>
          <w:lang w:val="de-DE"/>
        </w:rPr>
        <w:t xml:space="preserve">. </w:t>
      </w:r>
      <w:r w:rsidRPr="008657B1">
        <w:rPr>
          <w:rFonts w:cs="Tahoma"/>
          <w:color w:val="000000" w:themeColor="text1"/>
          <w:szCs w:val="18"/>
          <w:bdr w:val="none" w:sz="0" w:space="0" w:color="auto" w:frame="1"/>
          <w:shd w:val="clear" w:color="auto" w:fill="FFFFFF"/>
          <w:lang w:val="de-DE"/>
        </w:rPr>
        <w:t>Dieses Angebot gilt für Kunden mit einer Organisationsgröße von mindestens 250 Arbeitsplätzen</w:t>
      </w:r>
      <w:r w:rsidR="006257A7">
        <w:rPr>
          <w:rFonts w:cs="Tahoma"/>
          <w:color w:val="000000" w:themeColor="text1"/>
          <w:szCs w:val="18"/>
          <w:bdr w:val="none" w:sz="0" w:space="0" w:color="auto" w:frame="1"/>
          <w:shd w:val="clear" w:color="auto" w:fill="FFFFFF"/>
          <w:lang w:val="de-DE"/>
        </w:rPr>
        <w:t xml:space="preserve">. </w:t>
      </w:r>
      <w:r w:rsidRPr="008657B1">
        <w:rPr>
          <w:rFonts w:cs="Tahoma"/>
          <w:color w:val="000000" w:themeColor="text1"/>
          <w:szCs w:val="18"/>
          <w:bdr w:val="none" w:sz="0" w:space="0" w:color="auto" w:frame="1"/>
          <w:shd w:val="clear" w:color="auto" w:fill="FFFFFF"/>
          <w:lang w:val="de-DE"/>
        </w:rPr>
        <w:t>Es richtet sich an Kunden der EA-, EAS- und EES-Programme</w:t>
      </w:r>
      <w:r w:rsidR="006257A7">
        <w:rPr>
          <w:rFonts w:cs="Tahoma"/>
          <w:color w:val="000000" w:themeColor="text1"/>
          <w:szCs w:val="18"/>
          <w:bdr w:val="none" w:sz="0" w:space="0" w:color="auto" w:frame="1"/>
          <w:shd w:val="clear" w:color="auto" w:fill="FFFFFF"/>
          <w:lang w:val="de-DE"/>
        </w:rPr>
        <w:t xml:space="preserve">. </w:t>
      </w:r>
      <w:r w:rsidRPr="008657B1">
        <w:rPr>
          <w:rFonts w:cs="Tahoma"/>
          <w:color w:val="000000" w:themeColor="text1"/>
          <w:szCs w:val="18"/>
          <w:bdr w:val="none" w:sz="0" w:space="0" w:color="auto" w:frame="1"/>
          <w:shd w:val="clear" w:color="auto" w:fill="FFFFFF"/>
          <w:lang w:val="de-DE"/>
        </w:rPr>
        <w:t>Zu den Zielgruppensegmenten gehören EPG Commercial, Government, Education sowie SMS&amp;P Commercial, Government, Education</w:t>
      </w:r>
      <w:r w:rsidR="006257A7">
        <w:rPr>
          <w:rFonts w:cs="Tahoma"/>
          <w:color w:val="000000" w:themeColor="text1"/>
          <w:szCs w:val="18"/>
          <w:bdr w:val="none" w:sz="0" w:space="0" w:color="auto" w:frame="1"/>
          <w:shd w:val="clear" w:color="auto" w:fill="FFFFFF"/>
          <w:lang w:val="de-DE"/>
        </w:rPr>
        <w:t xml:space="preserve">. </w:t>
      </w:r>
      <w:r w:rsidRPr="008657B1">
        <w:rPr>
          <w:color w:val="000000" w:themeColor="text1"/>
          <w:szCs w:val="18"/>
          <w:lang w:val="de-DE"/>
        </w:rPr>
        <w:br w:type="page"/>
      </w:r>
    </w:p>
    <w:p w:rsidR="008D4EE5" w:rsidRPr="008657B1" w:rsidRDefault="008D4EE5" w:rsidP="008D4EE5">
      <w:pPr>
        <w:pStyle w:val="Heading1"/>
        <w:rPr>
          <w:lang w:val="de-DE"/>
        </w:rPr>
      </w:pPr>
      <w:bookmarkStart w:id="605" w:name="_Toc336338188"/>
      <w:bookmarkStart w:id="606" w:name="_Toc363998925"/>
      <w:r w:rsidRPr="008657B1">
        <w:rPr>
          <w:lang w:val="de-DE"/>
        </w:rPr>
        <w:t>Abschnitt 3 – Bestimmungen des Volumenlizenzprogramms</w:t>
      </w:r>
      <w:bookmarkEnd w:id="605"/>
      <w:bookmarkEnd w:id="606"/>
    </w:p>
    <w:p w:rsidR="008D4EE5" w:rsidRPr="008657B1" w:rsidRDefault="008D4EE5" w:rsidP="008D4EE5">
      <w:pPr>
        <w:pStyle w:val="Heading3"/>
        <w:ind w:right="720"/>
        <w:rPr>
          <w:lang w:val="de-DE"/>
        </w:rPr>
      </w:pPr>
      <w:bookmarkStart w:id="607" w:name="_Toc323159724"/>
    </w:p>
    <w:p w:rsidR="008D4EE5" w:rsidRPr="008657B1" w:rsidRDefault="008D4EE5" w:rsidP="008D4EE5">
      <w:pPr>
        <w:pStyle w:val="Heading3"/>
        <w:ind w:right="720"/>
        <w:rPr>
          <w:lang w:val="de-DE"/>
        </w:rPr>
      </w:pPr>
      <w:bookmarkStart w:id="608" w:name="_Toc336338189"/>
      <w:bookmarkStart w:id="609" w:name="_Toc363998926"/>
      <w:r w:rsidRPr="008657B1">
        <w:rPr>
          <w:rFonts w:ascii="Tahoma" w:hAnsi="Tahoma" w:cs="Tahoma"/>
          <w:sz w:val="24"/>
          <w:szCs w:val="22"/>
          <w:lang w:val="de-DE"/>
        </w:rPr>
        <w:t>Anwendbare Volumenlizenzprogramme</w:t>
      </w:r>
      <w:bookmarkEnd w:id="608"/>
      <w:bookmarkEnd w:id="609"/>
      <w:r w:rsidRPr="008657B1">
        <w:rPr>
          <w:sz w:val="22"/>
          <w:lang w:val="de-DE"/>
        </w:rPr>
        <w:t xml:space="preserve"> </w:t>
      </w:r>
      <w:bookmarkEnd w:id="607"/>
    </w:p>
    <w:p w:rsidR="008D4EE5" w:rsidRPr="008657B1" w:rsidRDefault="008D4EE5" w:rsidP="008D4EE5">
      <w:pPr>
        <w:rPr>
          <w:lang w:val="de-DE"/>
        </w:rPr>
      </w:pPr>
    </w:p>
    <w:p w:rsidR="008D4EE5" w:rsidRPr="008657B1" w:rsidRDefault="008D4EE5" w:rsidP="008D4EE5">
      <w:pPr>
        <w:rPr>
          <w:lang w:val="de-DE"/>
        </w:rPr>
      </w:pPr>
      <w:r w:rsidRPr="008657B1">
        <w:rPr>
          <w:rFonts w:cs="Tahoma"/>
          <w:lang w:val="de-DE"/>
        </w:rPr>
        <w:t>Dieser Abschnitt gilt für die folgenden Volumenlizenzprogramme, einschließlich, sofern verfügbar, der Versionen Forschung &amp; Lehre, Charity und Verwaltung</w:t>
      </w:r>
      <w:r w:rsidR="006257A7">
        <w:rPr>
          <w:rFonts w:cs="Tahoma"/>
          <w:lang w:val="de-DE"/>
        </w:rPr>
        <w:t xml:space="preserve">. </w:t>
      </w:r>
    </w:p>
    <w:p w:rsidR="008D4EE5" w:rsidRPr="008657B1" w:rsidRDefault="008D4EE5" w:rsidP="008D4EE5">
      <w:pPr>
        <w:rPr>
          <w:lang w:val="de-DE"/>
        </w:rPr>
      </w:pPr>
    </w:p>
    <w:p w:rsidR="008D4EE5" w:rsidRPr="0062435A" w:rsidRDefault="008D4EE5" w:rsidP="008D4EE5">
      <w:pPr>
        <w:numPr>
          <w:ilvl w:val="0"/>
          <w:numId w:val="19"/>
        </w:numPr>
        <w:spacing w:after="60"/>
      </w:pPr>
      <w:r>
        <w:rPr>
          <w:rFonts w:cs="Tahoma"/>
        </w:rPr>
        <w:t>Open-Lizenz</w:t>
      </w:r>
    </w:p>
    <w:p w:rsidR="008D4EE5" w:rsidRPr="0062435A" w:rsidRDefault="008D4EE5" w:rsidP="008D4EE5">
      <w:pPr>
        <w:numPr>
          <w:ilvl w:val="0"/>
          <w:numId w:val="19"/>
        </w:numPr>
        <w:spacing w:after="60"/>
      </w:pPr>
      <w:r>
        <w:rPr>
          <w:rFonts w:cs="Tahoma"/>
        </w:rPr>
        <w:t xml:space="preserve">Open Value </w:t>
      </w:r>
    </w:p>
    <w:p w:rsidR="008D4EE5" w:rsidRPr="0062435A" w:rsidRDefault="008D4EE5" w:rsidP="008D4EE5">
      <w:pPr>
        <w:numPr>
          <w:ilvl w:val="0"/>
          <w:numId w:val="19"/>
        </w:numPr>
        <w:spacing w:after="60"/>
      </w:pPr>
      <w:r>
        <w:rPr>
          <w:rFonts w:cs="Tahoma"/>
        </w:rPr>
        <w:t xml:space="preserve">Open Value Subscription </w:t>
      </w:r>
    </w:p>
    <w:p w:rsidR="008D4EE5" w:rsidRPr="0062435A" w:rsidRDefault="008D4EE5" w:rsidP="008D4EE5">
      <w:pPr>
        <w:numPr>
          <w:ilvl w:val="0"/>
          <w:numId w:val="19"/>
        </w:numPr>
        <w:spacing w:after="60"/>
      </w:pPr>
      <w:r>
        <w:rPr>
          <w:rFonts w:cs="Tahoma"/>
        </w:rPr>
        <w:t xml:space="preserve">Select </w:t>
      </w:r>
    </w:p>
    <w:p w:rsidR="008D4EE5" w:rsidRPr="0062435A" w:rsidRDefault="008D4EE5" w:rsidP="008D4EE5">
      <w:pPr>
        <w:numPr>
          <w:ilvl w:val="0"/>
          <w:numId w:val="19"/>
        </w:numPr>
        <w:spacing w:after="60"/>
      </w:pPr>
      <w:r>
        <w:rPr>
          <w:rFonts w:cs="Tahoma"/>
        </w:rPr>
        <w:t xml:space="preserve">Select Plus </w:t>
      </w:r>
    </w:p>
    <w:p w:rsidR="008D4EE5" w:rsidRPr="0062435A" w:rsidRDefault="008D4EE5" w:rsidP="008D4EE5">
      <w:pPr>
        <w:numPr>
          <w:ilvl w:val="0"/>
          <w:numId w:val="19"/>
        </w:numPr>
        <w:spacing w:after="60"/>
      </w:pPr>
      <w:r>
        <w:rPr>
          <w:rFonts w:cs="Tahoma"/>
          <w:szCs w:val="18"/>
        </w:rPr>
        <w:t xml:space="preserve">Konzernvertrag </w:t>
      </w:r>
    </w:p>
    <w:p w:rsidR="008D4EE5" w:rsidRPr="0062435A" w:rsidRDefault="008D4EE5" w:rsidP="008D4EE5">
      <w:pPr>
        <w:numPr>
          <w:ilvl w:val="0"/>
          <w:numId w:val="19"/>
        </w:numPr>
        <w:spacing w:after="60"/>
      </w:pPr>
      <w:r>
        <w:rPr>
          <w:rFonts w:cs="Tahoma"/>
          <w:szCs w:val="18"/>
        </w:rPr>
        <w:t>Konzern-Abonnement-Vertrag</w:t>
      </w:r>
      <w:r>
        <w:rPr>
          <w:rFonts w:cs="Tahoma"/>
          <w:color w:val="000000"/>
          <w:szCs w:val="18"/>
        </w:rPr>
        <w:t xml:space="preserve"> </w:t>
      </w:r>
    </w:p>
    <w:p w:rsidR="008D4EE5" w:rsidRPr="0062435A" w:rsidRDefault="008D4EE5" w:rsidP="008D4EE5">
      <w:pPr>
        <w:pStyle w:val="Heading3"/>
        <w:ind w:right="720"/>
      </w:pPr>
    </w:p>
    <w:p w:rsidR="008D4EE5" w:rsidRPr="0062435A" w:rsidRDefault="008D4EE5" w:rsidP="008D4EE5">
      <w:pPr>
        <w:pStyle w:val="Heading3"/>
        <w:ind w:right="720"/>
      </w:pPr>
      <w:bookmarkStart w:id="610" w:name="_Toc336338190"/>
      <w:bookmarkStart w:id="611" w:name="_Toc363998927"/>
      <w:r>
        <w:rPr>
          <w:rFonts w:ascii="Tahoma" w:hAnsi="Tahoma" w:cs="Tahoma"/>
          <w:sz w:val="24"/>
          <w:szCs w:val="22"/>
        </w:rPr>
        <w:t>Punkte und Mindestbestellmengen</w:t>
      </w:r>
      <w:bookmarkEnd w:id="610"/>
      <w:bookmarkEnd w:id="611"/>
    </w:p>
    <w:p w:rsidR="008D4EE5" w:rsidRPr="0062435A" w:rsidRDefault="008D4EE5" w:rsidP="008D4EE5"/>
    <w:p w:rsidR="008D4EE5" w:rsidRPr="008657B1" w:rsidRDefault="008D4EE5" w:rsidP="008D4EE5">
      <w:pPr>
        <w:pStyle w:val="AppendixBodyText"/>
        <w:ind w:right="720"/>
        <w:rPr>
          <w:lang w:val="de-DE"/>
        </w:rPr>
      </w:pPr>
      <w:r w:rsidRPr="008657B1">
        <w:rPr>
          <w:rFonts w:ascii="Tahoma" w:hAnsi="Tahoma" w:cs="Tahoma"/>
          <w:sz w:val="18"/>
          <w:lang w:val="de-DE"/>
        </w:rPr>
        <w:t>Für Select, Select Plus und Open-Lizenz gilt eine „Punktzahl“, die den von Microsoft zugewiesenen Punktwert für jede Lizenz angibt</w:t>
      </w:r>
      <w:r w:rsidR="006257A7">
        <w:rPr>
          <w:rFonts w:ascii="Tahoma" w:hAnsi="Tahoma" w:cs="Tahoma"/>
          <w:sz w:val="18"/>
          <w:lang w:val="de-DE"/>
        </w:rPr>
        <w:t xml:space="preserve">. </w:t>
      </w:r>
      <w:r w:rsidRPr="008657B1">
        <w:rPr>
          <w:rFonts w:ascii="Tahoma" w:hAnsi="Tahoma" w:cs="Tahoma"/>
          <w:sz w:val="18"/>
          <w:lang w:val="de-DE"/>
        </w:rPr>
        <w:t>Mit diesen Punktzahlen wird das Volumenpreislevel für den Vertrag eines Kunden berechnet</w:t>
      </w:r>
      <w:r w:rsidR="006257A7">
        <w:rPr>
          <w:rFonts w:ascii="Tahoma" w:hAnsi="Tahoma" w:cs="Tahoma"/>
          <w:sz w:val="18"/>
          <w:lang w:val="de-DE"/>
        </w:rPr>
        <w:t xml:space="preserve">. </w:t>
      </w:r>
      <w:r w:rsidRPr="008657B1">
        <w:rPr>
          <w:rFonts w:ascii="Tahoma" w:hAnsi="Tahoma" w:cs="Tahoma"/>
          <w:sz w:val="18"/>
          <w:lang w:val="de-DE"/>
        </w:rPr>
        <w:t>Wenn einem bestimmten Produkt die Punktzahl „0“ zugewiesen ist, bedeutet dies, dass das Produkt im angegebenen Programm angeboten wird, aber den Punktwert null hat</w:t>
      </w:r>
      <w:r w:rsidR="006257A7">
        <w:rPr>
          <w:rFonts w:ascii="Tahoma" w:hAnsi="Tahoma" w:cs="Tahoma"/>
          <w:sz w:val="18"/>
          <w:lang w:val="de-DE"/>
        </w:rPr>
        <w:t xml:space="preserve">. </w:t>
      </w:r>
      <w:r w:rsidRPr="008657B1">
        <w:rPr>
          <w:rFonts w:ascii="Tahoma" w:hAnsi="Tahoma" w:cs="Tahoma"/>
          <w:sz w:val="18"/>
          <w:lang w:val="de-DE"/>
        </w:rPr>
        <w:t>Nachfolgend ist die Zuordnung der Punktzahlen zu den Lizenzen für die Zwecke der Mindestbestellanforderung für Open/Open Value/Open Value Subscription aufgeführt:</w:t>
      </w:r>
    </w:p>
    <w:p w:rsidR="008D4EE5" w:rsidRPr="008657B1" w:rsidRDefault="008D4EE5" w:rsidP="008D4EE5">
      <w:pPr>
        <w:pStyle w:val="AppendixBodyText"/>
        <w:ind w:right="720"/>
        <w:rPr>
          <w:lang w:val="de-DE"/>
        </w:rPr>
      </w:pPr>
    </w:p>
    <w:p w:rsidR="008D4EE5" w:rsidRPr="0062435A" w:rsidRDefault="008D4EE5" w:rsidP="008D4EE5">
      <w:pPr>
        <w:numPr>
          <w:ilvl w:val="0"/>
          <w:numId w:val="19"/>
        </w:numPr>
        <w:spacing w:after="60"/>
      </w:pPr>
      <w:r>
        <w:rPr>
          <w:rFonts w:cs="Tahoma"/>
        </w:rPr>
        <w:t xml:space="preserve">Standardlizenz: 1 Lizenz </w:t>
      </w:r>
    </w:p>
    <w:p w:rsidR="008D4EE5" w:rsidRPr="0062435A" w:rsidRDefault="008D4EE5" w:rsidP="008D4EE5">
      <w:pPr>
        <w:numPr>
          <w:ilvl w:val="0"/>
          <w:numId w:val="19"/>
        </w:numPr>
        <w:spacing w:after="60"/>
      </w:pPr>
      <w:r>
        <w:rPr>
          <w:rFonts w:cs="Tahoma"/>
        </w:rPr>
        <w:t xml:space="preserve">Upgrade: 1 Lizenz </w:t>
      </w:r>
    </w:p>
    <w:p w:rsidR="008D4EE5" w:rsidRPr="0062435A" w:rsidRDefault="008D4EE5" w:rsidP="008D4EE5">
      <w:pPr>
        <w:numPr>
          <w:ilvl w:val="0"/>
          <w:numId w:val="19"/>
        </w:numPr>
        <w:spacing w:after="60"/>
      </w:pPr>
      <w:r>
        <w:rPr>
          <w:rFonts w:cs="Tahoma"/>
        </w:rPr>
        <w:t xml:space="preserve">Software Assurance: 1 Lizenz </w:t>
      </w:r>
    </w:p>
    <w:p w:rsidR="008D4EE5" w:rsidRPr="0062435A" w:rsidRDefault="008D4EE5" w:rsidP="008D4EE5">
      <w:pPr>
        <w:numPr>
          <w:ilvl w:val="0"/>
          <w:numId w:val="19"/>
        </w:numPr>
        <w:spacing w:after="60"/>
      </w:pPr>
      <w:r>
        <w:rPr>
          <w:rFonts w:cs="Tahoma"/>
        </w:rPr>
        <w:t xml:space="preserve">Lizenz und Software Assurance: 2 Lizenzen </w:t>
      </w:r>
    </w:p>
    <w:p w:rsidR="008D4EE5" w:rsidRPr="0062435A" w:rsidRDefault="008D4EE5" w:rsidP="008D4EE5">
      <w:pPr>
        <w:numPr>
          <w:ilvl w:val="0"/>
          <w:numId w:val="19"/>
        </w:numPr>
        <w:spacing w:after="60"/>
      </w:pPr>
      <w:r>
        <w:rPr>
          <w:rFonts w:cs="Tahoma"/>
        </w:rPr>
        <w:t>Upgrade und Software Assurance: 2 Lizenzen</w:t>
      </w:r>
    </w:p>
    <w:p w:rsidR="008D4EE5" w:rsidRPr="0062435A" w:rsidRDefault="008D4EE5" w:rsidP="008D4EE5">
      <w:pPr>
        <w:numPr>
          <w:ilvl w:val="0"/>
          <w:numId w:val="19"/>
        </w:numPr>
        <w:spacing w:after="60"/>
      </w:pPr>
      <w:r>
        <w:rPr>
          <w:rFonts w:cs="Tahoma"/>
        </w:rPr>
        <w:t xml:space="preserve">Work-at-Home-Lizenz: 1 Lizenz </w:t>
      </w:r>
    </w:p>
    <w:p w:rsidR="008D4EE5" w:rsidRPr="0062435A" w:rsidRDefault="008D4EE5" w:rsidP="008D4EE5">
      <w:pPr>
        <w:numPr>
          <w:ilvl w:val="0"/>
          <w:numId w:val="19"/>
        </w:numPr>
        <w:spacing w:after="60"/>
      </w:pPr>
      <w:r>
        <w:rPr>
          <w:rFonts w:cs="Tahoma"/>
        </w:rPr>
        <w:t>Step Up-Lizenz: 1 Lizenz</w:t>
      </w:r>
    </w:p>
    <w:p w:rsidR="008D4EE5" w:rsidRPr="0062435A" w:rsidRDefault="008D4EE5" w:rsidP="008D4EE5">
      <w:pPr>
        <w:numPr>
          <w:ilvl w:val="0"/>
          <w:numId w:val="19"/>
        </w:numPr>
        <w:spacing w:after="60"/>
      </w:pPr>
      <w:r>
        <w:rPr>
          <w:rFonts w:cs="Tahoma"/>
        </w:rPr>
        <w:t>Gebühren: 1 Lizenz</w:t>
      </w:r>
    </w:p>
    <w:p w:rsidR="008D4EE5" w:rsidRPr="0062435A" w:rsidRDefault="008D4EE5" w:rsidP="008D4EE5">
      <w:pPr>
        <w:numPr>
          <w:ilvl w:val="0"/>
          <w:numId w:val="19"/>
        </w:numPr>
        <w:spacing w:after="60"/>
      </w:pPr>
      <w:r>
        <w:rPr>
          <w:rFonts w:cs="Tahoma"/>
        </w:rPr>
        <w:t>Abonnementlizenz: 1 Lizenz</w:t>
      </w:r>
    </w:p>
    <w:p w:rsidR="008D4EE5" w:rsidRPr="0062435A" w:rsidRDefault="008D4EE5" w:rsidP="008D4EE5">
      <w:pPr>
        <w:pStyle w:val="Heading2"/>
        <w:ind w:left="0"/>
      </w:pPr>
    </w:p>
    <w:p w:rsidR="008D4EE5" w:rsidRPr="0062435A" w:rsidRDefault="008D4EE5" w:rsidP="008D4EE5">
      <w:pPr>
        <w:pStyle w:val="Heading2"/>
        <w:ind w:left="0"/>
      </w:pPr>
      <w:bookmarkStart w:id="612" w:name="_Toc336338191"/>
      <w:bookmarkStart w:id="613" w:name="_Toc363998928"/>
      <w:bookmarkStart w:id="614" w:name="_Toc323159726"/>
      <w:r>
        <w:rPr>
          <w:rFonts w:ascii="Tahoma" w:hAnsi="Tahoma" w:cs="Tahoma"/>
        </w:rPr>
        <w:t>Mindestbestellanforderungen</w:t>
      </w:r>
      <w:bookmarkEnd w:id="612"/>
      <w:bookmarkEnd w:id="613"/>
    </w:p>
    <w:bookmarkEnd w:id="614"/>
    <w:p w:rsidR="008D4EE5" w:rsidRPr="0062435A" w:rsidRDefault="008D4EE5" w:rsidP="008D4EE5"/>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90"/>
        <w:gridCol w:w="6426"/>
      </w:tblGrid>
      <w:tr w:rsidR="008D4EE5" w:rsidRPr="002171C3" w:rsidTr="007E0DFB">
        <w:trPr>
          <w:tblHeader/>
        </w:trPr>
        <w:tc>
          <w:tcPr>
            <w:tcW w:w="2790" w:type="dxa"/>
            <w:shd w:val="clear" w:color="auto" w:fill="FABF8F"/>
          </w:tcPr>
          <w:p w:rsidR="008D4EE5" w:rsidRPr="00E64551" w:rsidRDefault="008D4EE5" w:rsidP="00A67771">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Programme</w:t>
            </w:r>
          </w:p>
        </w:tc>
        <w:tc>
          <w:tcPr>
            <w:tcW w:w="6426" w:type="dxa"/>
            <w:shd w:val="clear" w:color="auto" w:fill="FABF8F"/>
          </w:tcPr>
          <w:p w:rsidR="008D4EE5" w:rsidRPr="00E64551" w:rsidRDefault="008D4EE5" w:rsidP="00A67771">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Mindestbestellanforderungen</w:t>
            </w:r>
          </w:p>
        </w:tc>
      </w:tr>
      <w:tr w:rsidR="008D4EE5" w:rsidRPr="00FB51BA" w:rsidTr="007E0DFB">
        <w:tc>
          <w:tcPr>
            <w:tcW w:w="2790" w:type="dxa"/>
            <w:shd w:val="clear" w:color="auto" w:fill="auto"/>
          </w:tcPr>
          <w:p w:rsidR="008D4EE5" w:rsidRPr="00E64551" w:rsidRDefault="008D4EE5" w:rsidP="00A67771">
            <w:pPr>
              <w:pStyle w:val="AppendixBodyText"/>
              <w:spacing w:before="60"/>
              <w:ind w:right="720"/>
              <w:rPr>
                <w:rFonts w:ascii="Tahoma" w:hAnsi="Tahoma" w:cs="Tahoma"/>
                <w:b/>
                <w:color w:val="000000"/>
                <w:sz w:val="18"/>
                <w:szCs w:val="18"/>
                <w:lang w:eastAsia="ja-JP"/>
              </w:rPr>
            </w:pPr>
            <w:r>
              <w:rPr>
                <w:rFonts w:ascii="Tahoma" w:hAnsi="Tahoma" w:cs="Tahoma"/>
                <w:b/>
                <w:color w:val="000000"/>
                <w:szCs w:val="18"/>
              </w:rPr>
              <w:t>Open-Lizenz, Open Value und Open Value Subscription (Commercial und Verwaltung)</w:t>
            </w:r>
          </w:p>
        </w:tc>
        <w:tc>
          <w:tcPr>
            <w:tcW w:w="6426" w:type="dxa"/>
            <w:shd w:val="clear" w:color="auto" w:fill="auto"/>
          </w:tcPr>
          <w:p w:rsidR="008D4EE5" w:rsidRPr="009123CB" w:rsidRDefault="008D4EE5" w:rsidP="00A67771">
            <w:pPr>
              <w:pStyle w:val="AppendixBodyText"/>
              <w:spacing w:before="60"/>
              <w:ind w:right="720"/>
              <w:rPr>
                <w:lang w:val="de-DE"/>
              </w:rPr>
            </w:pPr>
            <w:r w:rsidRPr="009123CB">
              <w:rPr>
                <w:rFonts w:ascii="Tahoma" w:hAnsi="Tahoma" w:cs="Tahoma"/>
                <w:b/>
                <w:sz w:val="18"/>
                <w:lang w:val="de-DE"/>
              </w:rPr>
              <w:t>Open-Lizenz</w:t>
            </w:r>
          </w:p>
          <w:p w:rsidR="008D4EE5" w:rsidRPr="009123CB" w:rsidRDefault="008D4EE5" w:rsidP="00EC0BAD">
            <w:pPr>
              <w:pStyle w:val="AppendixBodyText"/>
              <w:ind w:right="198"/>
              <w:rPr>
                <w:lang w:val="de-DE"/>
              </w:rPr>
            </w:pPr>
            <w:r w:rsidRPr="009123CB">
              <w:rPr>
                <w:rFonts w:ascii="Tahoma" w:hAnsi="Tahoma" w:cs="Tahoma"/>
                <w:sz w:val="18"/>
                <w:lang w:val="de-DE"/>
              </w:rPr>
              <w:t>Für Open-Lizenz ist eine Mindestbestellung von 5 Lizenzen, 5 SA oder eine</w:t>
            </w:r>
            <w:r w:rsidR="00EC0BAD">
              <w:rPr>
                <w:rFonts w:ascii="Tahoma" w:hAnsi="Tahoma" w:cs="Tahoma"/>
                <w:sz w:val="18"/>
                <w:lang w:val="de-DE"/>
              </w:rPr>
              <w:t> </w:t>
            </w:r>
            <w:r w:rsidRPr="009123CB">
              <w:rPr>
                <w:rFonts w:ascii="Tahoma" w:hAnsi="Tahoma" w:cs="Tahoma"/>
                <w:sz w:val="18"/>
                <w:lang w:val="de-DE"/>
              </w:rPr>
              <w:t>Kombination aus beidem erforderlich, um eine Autorisierungsnummer zu erhalten</w:t>
            </w:r>
            <w:r w:rsidR="006257A7">
              <w:rPr>
                <w:rFonts w:ascii="Tahoma" w:hAnsi="Tahoma" w:cs="Tahoma"/>
                <w:sz w:val="18"/>
                <w:lang w:val="de-DE"/>
              </w:rPr>
              <w:t xml:space="preserve">. </w:t>
            </w:r>
            <w:r w:rsidRPr="009123CB">
              <w:rPr>
                <w:rFonts w:ascii="Tahoma" w:hAnsi="Tahoma" w:cs="Tahoma"/>
                <w:sz w:val="18"/>
                <w:lang w:val="de-DE"/>
              </w:rPr>
              <w:t>Beispiel: 2 Lizenzen und Software Assurance und 1 Standardlizenz würden die für die Teilnahme an einem der Programme erforderliche Mindestbestellmenge von 5 Lizenzen erfüllen</w:t>
            </w:r>
            <w:r w:rsidR="006257A7">
              <w:rPr>
                <w:rFonts w:ascii="Tahoma" w:hAnsi="Tahoma" w:cs="Tahoma"/>
                <w:sz w:val="18"/>
                <w:lang w:val="de-DE"/>
              </w:rPr>
              <w:t xml:space="preserve">. </w:t>
            </w:r>
          </w:p>
          <w:p w:rsidR="008D4EE5" w:rsidRDefault="008D4EE5" w:rsidP="00A67771">
            <w:pPr>
              <w:pStyle w:val="AppendixBodyText"/>
              <w:spacing w:after="0"/>
              <w:ind w:right="720"/>
              <w:rPr>
                <w:lang w:val="de-DE"/>
              </w:rPr>
            </w:pPr>
          </w:p>
          <w:p w:rsidR="007E0DFB" w:rsidRDefault="007E0DFB" w:rsidP="00A67771">
            <w:pPr>
              <w:pStyle w:val="AppendixBodyText"/>
              <w:spacing w:after="0"/>
              <w:ind w:right="720"/>
              <w:rPr>
                <w:lang w:val="de-DE"/>
              </w:rPr>
            </w:pPr>
          </w:p>
          <w:p w:rsidR="007E0DFB" w:rsidRPr="009123CB" w:rsidRDefault="007E0DFB" w:rsidP="00A67771">
            <w:pPr>
              <w:pStyle w:val="AppendixBodyText"/>
              <w:spacing w:after="0"/>
              <w:ind w:right="720"/>
              <w:rPr>
                <w:lang w:val="de-DE"/>
              </w:rPr>
            </w:pPr>
          </w:p>
          <w:p w:rsidR="008D4EE5" w:rsidRPr="0062435A" w:rsidRDefault="008D4EE5" w:rsidP="00A67771">
            <w:pPr>
              <w:pStyle w:val="AppendixBodyText"/>
              <w:ind w:right="720"/>
            </w:pPr>
            <w:r>
              <w:rPr>
                <w:rFonts w:ascii="Tahoma" w:hAnsi="Tahoma" w:cs="Tahoma"/>
                <w:b/>
                <w:sz w:val="18"/>
              </w:rPr>
              <w:t>Open Value und Open Value Subscription</w:t>
            </w:r>
          </w:p>
          <w:p w:rsidR="008D4EE5" w:rsidRPr="009123CB" w:rsidRDefault="008D4EE5" w:rsidP="007E0DFB">
            <w:pPr>
              <w:pStyle w:val="AppendixBodyText"/>
              <w:ind w:right="198"/>
              <w:rPr>
                <w:lang w:val="de-DE"/>
              </w:rPr>
            </w:pPr>
            <w:r w:rsidRPr="009123CB">
              <w:rPr>
                <w:rFonts w:ascii="Tahoma" w:hAnsi="Tahoma" w:cs="Tahoma"/>
                <w:sz w:val="18"/>
                <w:lang w:val="de-DE"/>
              </w:rPr>
              <w:t>Für Open Value-Lizenz ist eine Mindestbestellung von 5 U&amp;SA, 5 L&amp;SA, 5</w:t>
            </w:r>
            <w:r w:rsidR="007E0DFB">
              <w:rPr>
                <w:rFonts w:ascii="Tahoma" w:hAnsi="Tahoma" w:cs="Tahoma"/>
                <w:sz w:val="18"/>
                <w:lang w:val="de-DE"/>
              </w:rPr>
              <w:t> </w:t>
            </w:r>
            <w:r w:rsidRPr="009123CB">
              <w:rPr>
                <w:rFonts w:ascii="Tahoma" w:hAnsi="Tahoma" w:cs="Tahoma"/>
                <w:sz w:val="18"/>
                <w:lang w:val="de-DE"/>
              </w:rPr>
              <w:t>SA, 5 Abonnementlizenzen oder eine Kombination daraus erforderlich, um einen Vertrag zu schließen</w:t>
            </w:r>
            <w:r w:rsidR="006257A7">
              <w:rPr>
                <w:rFonts w:ascii="Tahoma" w:hAnsi="Tahoma" w:cs="Tahoma"/>
                <w:sz w:val="18"/>
                <w:lang w:val="de-DE"/>
              </w:rPr>
              <w:t xml:space="preserve">. </w:t>
            </w:r>
          </w:p>
          <w:p w:rsidR="008D4EE5" w:rsidRPr="009123CB" w:rsidRDefault="008D4EE5" w:rsidP="00A67771">
            <w:pPr>
              <w:pStyle w:val="AppendixBodyText"/>
              <w:spacing w:after="0"/>
              <w:ind w:right="720"/>
              <w:rPr>
                <w:lang w:val="de-DE"/>
              </w:rPr>
            </w:pPr>
          </w:p>
          <w:p w:rsidR="008D4EE5" w:rsidRPr="009123CB" w:rsidRDefault="008D4EE5" w:rsidP="007E0DFB">
            <w:pPr>
              <w:pStyle w:val="AppendixBodyText"/>
              <w:tabs>
                <w:tab w:val="left" w:pos="6102"/>
              </w:tabs>
              <w:spacing w:after="0"/>
              <w:ind w:right="108"/>
              <w:rPr>
                <w:lang w:val="de-DE"/>
              </w:rPr>
            </w:pPr>
            <w:r w:rsidRPr="009123CB">
              <w:rPr>
                <w:rFonts w:ascii="Tahoma" w:hAnsi="Tahoma" w:cs="Tahoma"/>
                <w:b/>
                <w:sz w:val="18"/>
                <w:lang w:val="de-DE"/>
              </w:rPr>
              <w:t>Anmerkung:</w:t>
            </w:r>
            <w:r w:rsidRPr="009123CB">
              <w:rPr>
                <w:rFonts w:ascii="Tahoma" w:hAnsi="Tahoma" w:cs="Tahoma"/>
                <w:sz w:val="18"/>
                <w:lang w:val="de-DE"/>
              </w:rPr>
              <w:t xml:space="preserve"> Für bestimmte Produkte in Open und Open Value genügt eine einzelne Lizenz der Mindestanforderung von 5 Lizenzen</w:t>
            </w:r>
            <w:r w:rsidR="006257A7">
              <w:rPr>
                <w:rFonts w:ascii="Tahoma" w:hAnsi="Tahoma" w:cs="Tahoma"/>
                <w:sz w:val="18"/>
                <w:lang w:val="de-DE"/>
              </w:rPr>
              <w:t xml:space="preserve">. </w:t>
            </w:r>
            <w:r w:rsidRPr="009123CB">
              <w:rPr>
                <w:rFonts w:ascii="Tahoma" w:hAnsi="Tahoma" w:cs="Tahoma"/>
                <w:sz w:val="18"/>
                <w:lang w:val="de-DE"/>
              </w:rPr>
              <w:t>Welche Produkte für diese Ausnahme qualifiziert sind, erfahren Sie in den einzelnen Produkthinweisen</w:t>
            </w:r>
            <w:r w:rsidR="006257A7">
              <w:rPr>
                <w:rFonts w:ascii="Tahoma" w:hAnsi="Tahoma" w:cs="Tahoma"/>
                <w:sz w:val="18"/>
                <w:lang w:val="de-DE"/>
              </w:rPr>
              <w:t xml:space="preserve">. </w:t>
            </w:r>
          </w:p>
          <w:p w:rsidR="008D4EE5" w:rsidRPr="009123CB" w:rsidRDefault="008D4EE5" w:rsidP="00A67771">
            <w:pPr>
              <w:pStyle w:val="AppendixBodyText"/>
              <w:spacing w:after="0"/>
              <w:ind w:right="720"/>
              <w:rPr>
                <w:rFonts w:ascii="Tahoma" w:hAnsi="Tahoma" w:cs="Tahoma"/>
                <w:sz w:val="18"/>
                <w:lang w:val="de-DE" w:eastAsia="ja-JP"/>
              </w:rPr>
            </w:pPr>
          </w:p>
        </w:tc>
      </w:tr>
      <w:tr w:rsidR="008D4EE5" w:rsidRPr="00FB51BA" w:rsidTr="007E0DFB">
        <w:tc>
          <w:tcPr>
            <w:tcW w:w="2790" w:type="dxa"/>
            <w:shd w:val="clear" w:color="auto" w:fill="auto"/>
          </w:tcPr>
          <w:p w:rsidR="008D4EE5" w:rsidRPr="00E64551" w:rsidRDefault="008D4EE5" w:rsidP="00A67771">
            <w:pPr>
              <w:pStyle w:val="AppendixBodyText"/>
              <w:spacing w:before="60"/>
              <w:ind w:right="720"/>
              <w:rPr>
                <w:rFonts w:ascii="Tahoma" w:hAnsi="Tahoma" w:cs="Tahoma"/>
                <w:b/>
                <w:color w:val="000000"/>
                <w:szCs w:val="18"/>
                <w:lang w:eastAsia="ja-JP"/>
              </w:rPr>
            </w:pPr>
            <w:r>
              <w:rPr>
                <w:rFonts w:ascii="Tahoma" w:hAnsi="Tahoma" w:cs="Tahoma"/>
                <w:b/>
                <w:color w:val="000000"/>
                <w:szCs w:val="18"/>
              </w:rPr>
              <w:t>Open Value Subscription – ES</w:t>
            </w:r>
          </w:p>
        </w:tc>
        <w:tc>
          <w:tcPr>
            <w:tcW w:w="6426" w:type="dxa"/>
            <w:shd w:val="clear" w:color="auto" w:fill="auto"/>
          </w:tcPr>
          <w:p w:rsidR="008D4EE5" w:rsidRPr="009123CB" w:rsidRDefault="008D4EE5" w:rsidP="00A67771">
            <w:pPr>
              <w:spacing w:before="60"/>
              <w:rPr>
                <w:lang w:val="de-DE"/>
              </w:rPr>
            </w:pPr>
            <w:r w:rsidRPr="009123CB">
              <w:rPr>
                <w:rFonts w:cs="Tahoma"/>
                <w:szCs w:val="18"/>
                <w:lang w:val="de-DE"/>
              </w:rPr>
              <w:t>Für Open Value Subscription – ES erfordert mindestens ein Desktop-Plattformprodukt für eine Organisationsweite Anzahl von mindestens 5 ODER mindestens ein Desktop-Plattformprodukt für eine Studentenanzahl von mindestens 5</w:t>
            </w:r>
            <w:r w:rsidR="006257A7">
              <w:rPr>
                <w:rFonts w:cs="Tahoma"/>
                <w:szCs w:val="18"/>
                <w:lang w:val="de-DE"/>
              </w:rPr>
              <w:t xml:space="preserve">. </w:t>
            </w:r>
          </w:p>
          <w:p w:rsidR="008D4EE5" w:rsidRPr="009123CB" w:rsidRDefault="008D4EE5" w:rsidP="00A67771">
            <w:pPr>
              <w:rPr>
                <w:rFonts w:cs="Tahoma"/>
                <w:szCs w:val="18"/>
                <w:lang w:val="de-DE"/>
              </w:rPr>
            </w:pPr>
          </w:p>
        </w:tc>
      </w:tr>
      <w:tr w:rsidR="008D4EE5" w:rsidRPr="00FB51BA" w:rsidTr="007E0DFB">
        <w:tc>
          <w:tcPr>
            <w:tcW w:w="2790" w:type="dxa"/>
            <w:shd w:val="clear" w:color="auto" w:fill="auto"/>
          </w:tcPr>
          <w:p w:rsidR="008D4EE5" w:rsidRPr="00E64551" w:rsidRDefault="008D4EE5" w:rsidP="00A67771">
            <w:pPr>
              <w:pStyle w:val="AppendixBodyText"/>
              <w:spacing w:before="60"/>
              <w:ind w:right="720"/>
              <w:rPr>
                <w:rFonts w:ascii="Tahoma" w:hAnsi="Tahoma" w:cs="Tahoma"/>
                <w:b/>
                <w:color w:val="000000"/>
                <w:szCs w:val="18"/>
                <w:lang w:eastAsia="ja-JP"/>
              </w:rPr>
            </w:pPr>
            <w:r>
              <w:rPr>
                <w:rFonts w:ascii="Tahoma" w:hAnsi="Tahoma" w:cs="Tahoma"/>
                <w:b/>
                <w:color w:val="000000"/>
                <w:szCs w:val="18"/>
              </w:rPr>
              <w:t>Select</w:t>
            </w:r>
          </w:p>
        </w:tc>
        <w:tc>
          <w:tcPr>
            <w:tcW w:w="6426" w:type="dxa"/>
            <w:shd w:val="clear" w:color="auto" w:fill="auto"/>
          </w:tcPr>
          <w:p w:rsidR="008D4EE5" w:rsidRPr="009123CB" w:rsidRDefault="008D4EE5" w:rsidP="007E0DFB">
            <w:pPr>
              <w:pStyle w:val="AppendixBodyText"/>
              <w:spacing w:before="60" w:after="0"/>
              <w:ind w:right="108"/>
              <w:rPr>
                <w:lang w:val="de-DE"/>
              </w:rPr>
            </w:pPr>
            <w:r w:rsidRPr="009123CB">
              <w:rPr>
                <w:rFonts w:ascii="Tahoma" w:hAnsi="Tahoma" w:cs="Tahoma"/>
                <w:color w:val="000000"/>
                <w:sz w:val="18"/>
                <w:szCs w:val="18"/>
                <w:lang w:val="de-DE"/>
              </w:rPr>
              <w:t>Für Select ist eine Mindestbestellung von 1</w:t>
            </w:r>
            <w:r w:rsidR="00844B7C">
              <w:rPr>
                <w:rFonts w:ascii="Tahoma" w:hAnsi="Tahoma" w:cs="Tahoma"/>
                <w:color w:val="000000"/>
                <w:sz w:val="18"/>
                <w:szCs w:val="18"/>
                <w:lang w:val="de-DE"/>
              </w:rPr>
              <w:t>.</w:t>
            </w:r>
            <w:r w:rsidRPr="009123CB">
              <w:rPr>
                <w:rFonts w:ascii="Tahoma" w:hAnsi="Tahoma" w:cs="Tahoma"/>
                <w:color w:val="000000"/>
                <w:sz w:val="18"/>
                <w:szCs w:val="18"/>
                <w:lang w:val="de-DE"/>
              </w:rPr>
              <w:t>500 Punkten pro Pool über die Vertragslaufzeit erforderlich</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Wenn ein qualifizierender Vertrag bereitgestellt wird, kann auf Mindestbestellanforderungen verzichtet werden</w:t>
            </w:r>
            <w:r w:rsidR="006257A7">
              <w:rPr>
                <w:rFonts w:ascii="Tahoma" w:hAnsi="Tahoma" w:cs="Tahoma"/>
                <w:color w:val="000000"/>
                <w:sz w:val="18"/>
                <w:szCs w:val="18"/>
                <w:lang w:val="de-DE"/>
              </w:rPr>
              <w:t xml:space="preserve">. </w:t>
            </w:r>
          </w:p>
          <w:p w:rsidR="008D4EE5" w:rsidRPr="009123CB" w:rsidRDefault="008D4EE5" w:rsidP="00A67771">
            <w:pPr>
              <w:pStyle w:val="AppendixBodyText"/>
              <w:spacing w:after="0"/>
              <w:ind w:right="720"/>
              <w:rPr>
                <w:rFonts w:ascii="Tahoma" w:hAnsi="Tahoma" w:cs="Tahoma"/>
                <w:color w:val="000000"/>
                <w:sz w:val="18"/>
                <w:szCs w:val="18"/>
                <w:lang w:val="de-DE" w:eastAsia="ja-JP"/>
              </w:rPr>
            </w:pPr>
          </w:p>
        </w:tc>
      </w:tr>
      <w:tr w:rsidR="008D4EE5" w:rsidRPr="00DC4771" w:rsidTr="007E0DFB">
        <w:tc>
          <w:tcPr>
            <w:tcW w:w="2790" w:type="dxa"/>
            <w:shd w:val="clear" w:color="auto" w:fill="auto"/>
          </w:tcPr>
          <w:p w:rsidR="008D4EE5" w:rsidRPr="00E64551" w:rsidRDefault="008D4EE5" w:rsidP="00A67771">
            <w:pPr>
              <w:pStyle w:val="AppendixBodyText"/>
              <w:spacing w:before="60"/>
              <w:ind w:right="720"/>
              <w:rPr>
                <w:rFonts w:ascii="Tahoma" w:hAnsi="Tahoma" w:cs="Tahoma"/>
                <w:b/>
                <w:color w:val="000000"/>
                <w:szCs w:val="18"/>
                <w:lang w:eastAsia="ja-JP"/>
              </w:rPr>
            </w:pPr>
            <w:r>
              <w:rPr>
                <w:rFonts w:ascii="Tahoma" w:hAnsi="Tahoma" w:cs="Tahoma"/>
                <w:b/>
                <w:color w:val="000000"/>
                <w:szCs w:val="18"/>
              </w:rPr>
              <w:t>Select Plus</w:t>
            </w:r>
          </w:p>
        </w:tc>
        <w:tc>
          <w:tcPr>
            <w:tcW w:w="6426" w:type="dxa"/>
            <w:shd w:val="clear" w:color="auto" w:fill="auto"/>
          </w:tcPr>
          <w:p w:rsidR="008D4EE5" w:rsidRPr="009123CB" w:rsidRDefault="008D4EE5" w:rsidP="00ED50C8">
            <w:pPr>
              <w:pStyle w:val="AppendixBodyText"/>
              <w:spacing w:before="60"/>
              <w:ind w:right="108"/>
              <w:rPr>
                <w:lang w:val="de-DE"/>
              </w:rPr>
            </w:pPr>
            <w:r w:rsidRPr="009123CB">
              <w:rPr>
                <w:rFonts w:ascii="Tahoma" w:hAnsi="Tahoma" w:cs="Tahoma"/>
                <w:color w:val="000000"/>
                <w:sz w:val="18"/>
                <w:szCs w:val="18"/>
                <w:lang w:val="de-DE"/>
              </w:rPr>
              <w:t>Für Select Plus ist während des ersten Jahres eine Mindestbestellmenge von</w:t>
            </w:r>
            <w:r w:rsidR="00ED50C8">
              <w:rPr>
                <w:rFonts w:ascii="Tahoma" w:hAnsi="Tahoma" w:cs="Tahoma"/>
                <w:color w:val="000000"/>
                <w:sz w:val="18"/>
                <w:szCs w:val="18"/>
                <w:lang w:val="de-DE"/>
              </w:rPr>
              <w:t> </w:t>
            </w:r>
            <w:r w:rsidRPr="009123CB">
              <w:rPr>
                <w:rFonts w:ascii="Tahoma" w:hAnsi="Tahoma" w:cs="Tahoma"/>
                <w:color w:val="000000"/>
                <w:sz w:val="18"/>
                <w:szCs w:val="18"/>
                <w:lang w:val="de-DE"/>
              </w:rPr>
              <w:t>500 Punkten pro Pool erforderlich</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Wenn ein qualifizierender Vertrag bereitgestellt wird, kann auf diese Mindestbestellmenge verzichtet werden</w:t>
            </w:r>
            <w:r w:rsidR="006257A7">
              <w:rPr>
                <w:rFonts w:ascii="Tahoma" w:hAnsi="Tahoma" w:cs="Tahoma"/>
                <w:color w:val="000000"/>
                <w:sz w:val="18"/>
                <w:szCs w:val="18"/>
                <w:lang w:val="de-DE"/>
              </w:rPr>
              <w:t xml:space="preserve">. </w:t>
            </w:r>
          </w:p>
          <w:p w:rsidR="008D4EE5" w:rsidRPr="009123CB" w:rsidRDefault="008D4EE5" w:rsidP="00A67771">
            <w:pPr>
              <w:pStyle w:val="AppendixBodyText"/>
              <w:spacing w:after="0"/>
              <w:ind w:right="720"/>
              <w:rPr>
                <w:lang w:val="de-DE"/>
              </w:rPr>
            </w:pPr>
          </w:p>
          <w:p w:rsidR="008D4EE5" w:rsidRPr="009123CB" w:rsidRDefault="008D4EE5" w:rsidP="00A67771">
            <w:pPr>
              <w:spacing w:after="60"/>
              <w:rPr>
                <w:lang w:val="de-DE"/>
              </w:rPr>
            </w:pPr>
            <w:bookmarkStart w:id="615" w:name="_Toc323159727"/>
            <w:r w:rsidRPr="009123CB">
              <w:rPr>
                <w:b/>
                <w:lang w:val="de-DE"/>
              </w:rPr>
              <w:t>Preislevels für Select Plus</w:t>
            </w:r>
            <w:bookmarkEnd w:id="615"/>
          </w:p>
          <w:p w:rsidR="008D4EE5" w:rsidRPr="009123CB" w:rsidRDefault="008D4EE5" w:rsidP="00A67771">
            <w:pPr>
              <w:rPr>
                <w:lang w:val="de-DE"/>
              </w:rPr>
            </w:pPr>
            <w:r w:rsidRPr="009123CB">
              <w:rPr>
                <w:rFonts w:cs="Tahoma"/>
                <w:szCs w:val="18"/>
                <w:lang w:val="de-DE"/>
              </w:rPr>
              <w:t xml:space="preserve">Kunden sind für das Select Plus-Programm qualifiziert, wenn sie eines der drei folgenden Kriterien erfüllen: </w:t>
            </w:r>
          </w:p>
          <w:p w:rsidR="008D4EE5" w:rsidRPr="009123CB" w:rsidRDefault="008D4EE5" w:rsidP="00A67771">
            <w:pPr>
              <w:rPr>
                <w:lang w:val="de-DE"/>
              </w:rPr>
            </w:pPr>
          </w:p>
          <w:p w:rsidR="008D4EE5" w:rsidRPr="009123CB" w:rsidRDefault="008D4EE5" w:rsidP="00A67771">
            <w:pPr>
              <w:numPr>
                <w:ilvl w:val="0"/>
                <w:numId w:val="64"/>
              </w:numPr>
              <w:spacing w:after="60"/>
              <w:rPr>
                <w:lang w:val="de-DE"/>
              </w:rPr>
            </w:pPr>
            <w:r w:rsidRPr="009123CB">
              <w:rPr>
                <w:lang w:val="de-DE"/>
              </w:rPr>
              <w:t>Der Kunde verfügt über einen aktiven Konzernbeitritt unter einem separaten Konzernvertrag oder einen Konzern-Abonnement-Beitritt unter einem Konzern-Abonnement-Vertrag (Kunden aus Forschung &amp; Lehre können einen aktiven Campus- oder School-Vertrag oder einen aktiven Beitritt für Bildungslösungen als qualifizierenden Vertrag verwenden)</w:t>
            </w:r>
            <w:r w:rsidR="006257A7">
              <w:rPr>
                <w:lang w:val="de-DE"/>
              </w:rPr>
              <w:t xml:space="preserve">. </w:t>
            </w:r>
          </w:p>
          <w:p w:rsidR="008D4EE5" w:rsidRPr="009123CB" w:rsidRDefault="008D4EE5" w:rsidP="00A67771">
            <w:pPr>
              <w:numPr>
                <w:ilvl w:val="0"/>
                <w:numId w:val="64"/>
              </w:numPr>
              <w:spacing w:after="60"/>
              <w:rPr>
                <w:lang w:val="de-DE"/>
              </w:rPr>
            </w:pPr>
            <w:r w:rsidRPr="009123CB">
              <w:rPr>
                <w:lang w:val="de-DE"/>
              </w:rPr>
              <w:t>Der Kunde gibt eine Bestellung ab, die für jeden vom Kunden während des ersten Jahres ausgewählten Produktpool mindestens 500 Punkten entspricht</w:t>
            </w:r>
            <w:r w:rsidR="006257A7">
              <w:rPr>
                <w:lang w:val="de-DE"/>
              </w:rPr>
              <w:t xml:space="preserve">. </w:t>
            </w:r>
          </w:p>
          <w:p w:rsidR="008D4EE5" w:rsidRPr="009123CB" w:rsidRDefault="008D4EE5" w:rsidP="00A67771">
            <w:pPr>
              <w:numPr>
                <w:ilvl w:val="0"/>
                <w:numId w:val="64"/>
              </w:numPr>
              <w:spacing w:after="60"/>
              <w:rPr>
                <w:lang w:val="de-DE"/>
              </w:rPr>
            </w:pPr>
            <w:r w:rsidRPr="009123CB">
              <w:rPr>
                <w:lang w:val="de-DE"/>
              </w:rPr>
              <w:t>Der Kunde gibt einen Vertrag an, bei dem während der 12 Monate vor dem Wirksamkeitsdatum des Select Plus-Vertrages des Kunden die Mindestbestellmenge erfüllt war</w:t>
            </w:r>
            <w:r w:rsidR="006257A7">
              <w:rPr>
                <w:lang w:val="de-DE"/>
              </w:rPr>
              <w:t xml:space="preserve">. </w:t>
            </w:r>
          </w:p>
          <w:p w:rsidR="008D4EE5" w:rsidRPr="009123CB" w:rsidRDefault="008D4EE5" w:rsidP="00A67771">
            <w:pPr>
              <w:rPr>
                <w:lang w:val="de-DE"/>
              </w:rPr>
            </w:pPr>
          </w:p>
          <w:p w:rsidR="008D4EE5" w:rsidRPr="009123CB" w:rsidRDefault="008D4EE5" w:rsidP="007E0DFB">
            <w:pPr>
              <w:rPr>
                <w:lang w:val="de-DE"/>
              </w:rPr>
            </w:pPr>
            <w:r w:rsidRPr="009123CB">
              <w:rPr>
                <w:rFonts w:cs="Tahoma"/>
                <w:szCs w:val="18"/>
                <w:lang w:val="de-DE"/>
              </w:rPr>
              <w:t>Bei den Optionen 2 und 3 oben ist der Kunde verpflichtet, zum Zeitpunkt der</w:t>
            </w:r>
            <w:r w:rsidR="007E0DFB">
              <w:rPr>
                <w:rFonts w:cs="Tahoma"/>
                <w:szCs w:val="18"/>
                <w:lang w:val="de-DE"/>
              </w:rPr>
              <w:t> </w:t>
            </w:r>
            <w:r w:rsidRPr="009123CB">
              <w:rPr>
                <w:rFonts w:cs="Tahoma"/>
                <w:szCs w:val="18"/>
                <w:lang w:val="de-DE"/>
              </w:rPr>
              <w:t>Einhaltungsprüfung in jedem vom Kunden gewählten Produktpool über mindestens 500 Punkte zu verfügen</w:t>
            </w:r>
            <w:r w:rsidR="006257A7">
              <w:rPr>
                <w:rFonts w:cs="Tahoma"/>
                <w:szCs w:val="18"/>
                <w:lang w:val="de-DE"/>
              </w:rPr>
              <w:t xml:space="preserve">. </w:t>
            </w:r>
          </w:p>
          <w:p w:rsidR="008D4EE5" w:rsidRDefault="008D4EE5" w:rsidP="00A67771">
            <w:pPr>
              <w:rPr>
                <w:lang w:val="de-DE"/>
              </w:rPr>
            </w:pPr>
          </w:p>
          <w:p w:rsidR="007E0DFB" w:rsidRDefault="007E0DFB" w:rsidP="00A67771">
            <w:pPr>
              <w:rPr>
                <w:lang w:val="de-DE"/>
              </w:rPr>
            </w:pPr>
          </w:p>
          <w:p w:rsidR="007E0DFB" w:rsidRDefault="007E0DFB" w:rsidP="00A67771">
            <w:pPr>
              <w:rPr>
                <w:lang w:val="de-DE"/>
              </w:rPr>
            </w:pPr>
          </w:p>
          <w:p w:rsidR="007E0DFB" w:rsidRDefault="007E0DFB" w:rsidP="00A67771">
            <w:pPr>
              <w:rPr>
                <w:lang w:val="de-DE"/>
              </w:rPr>
            </w:pPr>
          </w:p>
          <w:p w:rsidR="007E0DFB" w:rsidRDefault="007E0DFB" w:rsidP="00A67771">
            <w:pPr>
              <w:rPr>
                <w:lang w:val="de-DE"/>
              </w:rPr>
            </w:pPr>
          </w:p>
          <w:p w:rsidR="007E0DFB" w:rsidRDefault="007E0DFB" w:rsidP="00A67771">
            <w:pPr>
              <w:rPr>
                <w:lang w:val="de-DE"/>
              </w:rPr>
            </w:pPr>
          </w:p>
          <w:p w:rsidR="007E0DFB" w:rsidRDefault="007E0DFB" w:rsidP="00A67771">
            <w:pPr>
              <w:rPr>
                <w:lang w:val="de-DE"/>
              </w:rPr>
            </w:pPr>
          </w:p>
          <w:p w:rsidR="007E0DFB" w:rsidRDefault="007E0DFB" w:rsidP="00A67771">
            <w:pPr>
              <w:rPr>
                <w:lang w:val="de-DE"/>
              </w:rPr>
            </w:pPr>
          </w:p>
          <w:p w:rsidR="007E0DFB" w:rsidRDefault="007E0DFB" w:rsidP="00A67771">
            <w:pPr>
              <w:rPr>
                <w:lang w:val="de-DE"/>
              </w:rPr>
            </w:pPr>
          </w:p>
          <w:p w:rsidR="007E0DFB" w:rsidRDefault="007E0DFB" w:rsidP="00A67771">
            <w:pPr>
              <w:rPr>
                <w:lang w:val="de-DE"/>
              </w:rPr>
            </w:pPr>
          </w:p>
          <w:p w:rsidR="007E0DFB" w:rsidRPr="009123CB" w:rsidRDefault="007E0DFB" w:rsidP="00A67771">
            <w:pPr>
              <w:rPr>
                <w:lang w:val="de-DE"/>
              </w:rPr>
            </w:pPr>
          </w:p>
          <w:p w:rsidR="008D4EE5" w:rsidRPr="009123CB" w:rsidRDefault="008D4EE5" w:rsidP="00A67771">
            <w:pPr>
              <w:rPr>
                <w:lang w:val="de-DE"/>
              </w:rPr>
            </w:pPr>
            <w:r w:rsidRPr="009123CB">
              <w:rPr>
                <w:rFonts w:cs="Tahoma"/>
                <w:szCs w:val="18"/>
                <w:lang w:val="de-DE"/>
              </w:rPr>
              <w:t>Die Preise des Kunden basieren auf einem Vertrag zwischen dem Kunden und dem Handelspartner des Kunden</w:t>
            </w:r>
            <w:r w:rsidR="006257A7">
              <w:rPr>
                <w:rFonts w:cs="Tahoma"/>
                <w:szCs w:val="18"/>
                <w:lang w:val="de-DE"/>
              </w:rPr>
              <w:t xml:space="preserve">. </w:t>
            </w:r>
            <w:r w:rsidRPr="009123CB">
              <w:rPr>
                <w:rFonts w:cs="Tahoma"/>
                <w:szCs w:val="18"/>
                <w:lang w:val="de-DE"/>
              </w:rPr>
              <w:t>Microsoft stellt jedoch dem Handelspartner die folgenden Kriterien für Preise und Punkte als Orientierungshilfe für Endkundenpreise zur Verfügung:</w:t>
            </w:r>
          </w:p>
          <w:p w:rsidR="008D4EE5" w:rsidRPr="009123CB" w:rsidRDefault="008D4EE5" w:rsidP="00A67771">
            <w:pPr>
              <w:rPr>
                <w:lang w:val="de-DE"/>
              </w:rPr>
            </w:pPr>
          </w:p>
          <w:tbl>
            <w:tblPr>
              <w:tblW w:w="0" w:type="auto"/>
              <w:jc w:val="center"/>
              <w:tblCellMar>
                <w:left w:w="0" w:type="dxa"/>
                <w:right w:w="0" w:type="dxa"/>
              </w:tblCellMar>
              <w:tblLook w:val="04A0" w:firstRow="1" w:lastRow="0" w:firstColumn="1" w:lastColumn="0" w:noHBand="0" w:noVBand="1"/>
            </w:tblPr>
            <w:tblGrid>
              <w:gridCol w:w="2710"/>
              <w:gridCol w:w="2817"/>
            </w:tblGrid>
            <w:tr w:rsidR="007E0DFB" w:rsidRPr="00DC4771" w:rsidTr="007E0DFB">
              <w:trPr>
                <w:trHeight w:hRule="exact" w:val="866"/>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7E0DFB" w:rsidRPr="007E0DFB" w:rsidRDefault="007E0DFB" w:rsidP="00B33F60">
                  <w:pPr>
                    <w:jc w:val="center"/>
                    <w:rPr>
                      <w:rFonts w:cs="Tahoma"/>
                      <w:b/>
                      <w:sz w:val="20"/>
                      <w:szCs w:val="18"/>
                      <w:lang w:val="de-DE"/>
                    </w:rPr>
                  </w:pPr>
                  <w:r w:rsidRPr="007E0DFB">
                    <w:rPr>
                      <w:rFonts w:cs="Tahoma"/>
                      <w:b/>
                      <w:sz w:val="20"/>
                      <w:szCs w:val="18"/>
                      <w:lang w:val="de-DE"/>
                    </w:rPr>
                    <w:t>Select Plus-Preislevel –Commercial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7E0DFB" w:rsidRPr="007E0DFB" w:rsidRDefault="007E0DFB" w:rsidP="007E0DFB">
                  <w:pPr>
                    <w:jc w:val="center"/>
                    <w:rPr>
                      <w:rFonts w:cs="Tahoma"/>
                      <w:b/>
                      <w:sz w:val="20"/>
                      <w:szCs w:val="18"/>
                      <w:lang w:val="de-DE"/>
                    </w:rPr>
                  </w:pPr>
                  <w:r w:rsidRPr="007E0DFB">
                    <w:rPr>
                      <w:rFonts w:cs="Tahoma"/>
                      <w:b/>
                      <w:sz w:val="20"/>
                      <w:szCs w:val="18"/>
                      <w:lang w:val="de-DE"/>
                    </w:rPr>
                    <w:t>Jährliche Mindestpunktanzahl pro</w:t>
                  </w:r>
                  <w:r>
                    <w:rPr>
                      <w:rFonts w:cs="Tahoma"/>
                      <w:b/>
                      <w:sz w:val="20"/>
                      <w:szCs w:val="18"/>
                      <w:lang w:val="de-DE"/>
                    </w:rPr>
                    <w:t> </w:t>
                  </w:r>
                  <w:r w:rsidRPr="007E0DFB">
                    <w:rPr>
                      <w:rFonts w:cs="Tahoma"/>
                      <w:b/>
                      <w:sz w:val="20"/>
                      <w:szCs w:val="18"/>
                      <w:lang w:val="de-DE"/>
                    </w:rPr>
                    <w:t>Pool</w:t>
                  </w:r>
                </w:p>
              </w:tc>
            </w:tr>
            <w:tr w:rsidR="007E0DFB" w:rsidRPr="00DC4771" w:rsidTr="00B33F6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E0DFB" w:rsidRPr="007E0DFB" w:rsidRDefault="007E0DFB" w:rsidP="00B33F60">
                  <w:pPr>
                    <w:jc w:val="center"/>
                    <w:rPr>
                      <w:rFonts w:cs="Tahoma"/>
                      <w:szCs w:val="18"/>
                      <w:lang w:val="de-DE"/>
                    </w:rPr>
                  </w:pPr>
                  <w:r w:rsidRPr="007E0DFB">
                    <w:rPr>
                      <w:rFonts w:cs="Tahoma"/>
                      <w:szCs w:val="18"/>
                      <w:lang w:val="de-DE"/>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E0DFB" w:rsidRPr="007E0DFB" w:rsidRDefault="007E0DFB" w:rsidP="00B33F60">
                  <w:pPr>
                    <w:jc w:val="center"/>
                    <w:rPr>
                      <w:rFonts w:cs="Tahoma"/>
                      <w:szCs w:val="18"/>
                      <w:lang w:val="de-DE"/>
                    </w:rPr>
                  </w:pPr>
                  <w:r w:rsidRPr="007E0DFB">
                    <w:rPr>
                      <w:rFonts w:cs="Tahoma"/>
                      <w:szCs w:val="18"/>
                      <w:lang w:val="de-DE"/>
                    </w:rPr>
                    <w:t>500</w:t>
                  </w:r>
                </w:p>
              </w:tc>
            </w:tr>
            <w:tr w:rsidR="007E0DFB" w:rsidRPr="00DC4771" w:rsidTr="00B33F6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E0DFB" w:rsidRPr="007E0DFB" w:rsidRDefault="007E0DFB" w:rsidP="00B33F60">
                  <w:pPr>
                    <w:jc w:val="center"/>
                    <w:rPr>
                      <w:rFonts w:cs="Tahoma"/>
                      <w:szCs w:val="18"/>
                      <w:lang w:val="de-DE"/>
                    </w:rPr>
                  </w:pPr>
                  <w:r w:rsidRPr="007E0DFB">
                    <w:rPr>
                      <w:rFonts w:cs="Tahoma"/>
                      <w:szCs w:val="18"/>
                      <w:lang w:val="de-DE"/>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E0DFB" w:rsidRPr="007E0DFB" w:rsidRDefault="007E0DFB" w:rsidP="007E0DFB">
                  <w:pPr>
                    <w:jc w:val="center"/>
                    <w:rPr>
                      <w:rFonts w:cs="Tahoma"/>
                      <w:szCs w:val="18"/>
                      <w:lang w:val="de-DE"/>
                    </w:rPr>
                  </w:pPr>
                  <w:r w:rsidRPr="007E0DFB">
                    <w:rPr>
                      <w:rFonts w:cs="Tahoma"/>
                      <w:szCs w:val="18"/>
                      <w:lang w:val="de-DE"/>
                    </w:rPr>
                    <w:t>4</w:t>
                  </w:r>
                  <w:r w:rsidR="00B11E09">
                    <w:rPr>
                      <w:rFonts w:cs="Tahoma"/>
                      <w:szCs w:val="18"/>
                      <w:lang w:val="de-DE"/>
                    </w:rPr>
                    <w:t>.</w:t>
                  </w:r>
                  <w:r w:rsidRPr="007E0DFB">
                    <w:rPr>
                      <w:rFonts w:cs="Tahoma"/>
                      <w:szCs w:val="18"/>
                      <w:lang w:val="de-DE"/>
                    </w:rPr>
                    <w:t>000</w:t>
                  </w:r>
                </w:p>
              </w:tc>
            </w:tr>
            <w:tr w:rsidR="007E0DFB" w:rsidRPr="00DC4771" w:rsidTr="00B33F6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E0DFB" w:rsidRPr="007E0DFB" w:rsidRDefault="007E0DFB" w:rsidP="00B33F60">
                  <w:pPr>
                    <w:jc w:val="center"/>
                    <w:rPr>
                      <w:rFonts w:cs="Tahoma"/>
                      <w:szCs w:val="18"/>
                      <w:lang w:val="de-DE"/>
                    </w:rPr>
                  </w:pPr>
                  <w:r w:rsidRPr="007E0DFB">
                    <w:rPr>
                      <w:rFonts w:cs="Tahoma"/>
                      <w:szCs w:val="18"/>
                      <w:lang w:val="de-DE"/>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E0DFB" w:rsidRPr="007E0DFB" w:rsidRDefault="007E0DFB" w:rsidP="007E0DFB">
                  <w:pPr>
                    <w:jc w:val="center"/>
                    <w:rPr>
                      <w:rFonts w:cs="Tahoma"/>
                      <w:szCs w:val="18"/>
                      <w:lang w:val="de-DE"/>
                    </w:rPr>
                  </w:pPr>
                  <w:r w:rsidRPr="007E0DFB">
                    <w:rPr>
                      <w:rFonts w:cs="Tahoma"/>
                      <w:szCs w:val="18"/>
                      <w:lang w:val="de-DE"/>
                    </w:rPr>
                    <w:t>10</w:t>
                  </w:r>
                  <w:r w:rsidR="00B11E09">
                    <w:rPr>
                      <w:rFonts w:cs="Tahoma"/>
                      <w:szCs w:val="18"/>
                      <w:lang w:val="de-DE"/>
                    </w:rPr>
                    <w:t>.</w:t>
                  </w:r>
                  <w:r w:rsidRPr="007E0DFB">
                    <w:rPr>
                      <w:rFonts w:cs="Tahoma"/>
                      <w:szCs w:val="18"/>
                      <w:lang w:val="de-DE"/>
                    </w:rPr>
                    <w:t>000</w:t>
                  </w:r>
                </w:p>
              </w:tc>
            </w:tr>
            <w:tr w:rsidR="007E0DFB" w:rsidRPr="00DC4771" w:rsidTr="00B33F6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E0DFB" w:rsidRPr="007E0DFB" w:rsidRDefault="007E0DFB" w:rsidP="00B33F60">
                  <w:pPr>
                    <w:jc w:val="center"/>
                    <w:rPr>
                      <w:rFonts w:cs="Tahoma"/>
                      <w:szCs w:val="18"/>
                      <w:lang w:val="de-DE"/>
                    </w:rPr>
                  </w:pPr>
                  <w:r w:rsidRPr="007E0DFB">
                    <w:rPr>
                      <w:rFonts w:cs="Tahoma"/>
                      <w:szCs w:val="18"/>
                      <w:lang w:val="de-DE"/>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E0DFB" w:rsidRPr="007E0DFB" w:rsidRDefault="007E0DFB" w:rsidP="007E0DFB">
                  <w:pPr>
                    <w:jc w:val="center"/>
                    <w:rPr>
                      <w:rFonts w:cs="Tahoma"/>
                      <w:szCs w:val="18"/>
                      <w:lang w:val="de-DE"/>
                    </w:rPr>
                  </w:pPr>
                  <w:r w:rsidRPr="007E0DFB">
                    <w:rPr>
                      <w:rFonts w:cs="Tahoma"/>
                      <w:szCs w:val="18"/>
                      <w:lang w:val="de-DE"/>
                    </w:rPr>
                    <w:t>25</w:t>
                  </w:r>
                  <w:r w:rsidR="00B11E09">
                    <w:rPr>
                      <w:rFonts w:cs="Tahoma"/>
                      <w:szCs w:val="18"/>
                      <w:lang w:val="de-DE"/>
                    </w:rPr>
                    <w:t>.</w:t>
                  </w:r>
                  <w:r w:rsidRPr="007E0DFB">
                    <w:rPr>
                      <w:rFonts w:cs="Tahoma"/>
                      <w:szCs w:val="18"/>
                      <w:lang w:val="de-DE"/>
                    </w:rPr>
                    <w:t>000</w:t>
                  </w:r>
                </w:p>
              </w:tc>
            </w:tr>
          </w:tbl>
          <w:p w:rsidR="008D4EE5" w:rsidRPr="009123CB" w:rsidRDefault="008D4EE5" w:rsidP="00306AAF">
            <w:pPr>
              <w:pStyle w:val="AppendixBodyText"/>
              <w:spacing w:after="0"/>
              <w:ind w:left="342" w:right="108"/>
              <w:rPr>
                <w:lang w:val="de-DE"/>
              </w:rPr>
            </w:pPr>
            <w:r w:rsidRPr="009123CB">
              <w:rPr>
                <w:rFonts w:ascii="Tahoma" w:hAnsi="Tahoma" w:cs="Times New Roman"/>
                <w:i/>
                <w:sz w:val="16"/>
                <w:lang w:val="de-DE"/>
              </w:rPr>
              <w:t>Anmerkung: Wenn der Kunde Punkte besitzt, die die Mindestpunktanzahl des Preislevels übersteigen, werden diese auf das nächste Jahr übertragen und bei der Einhaltungsprüfung für das Jahr berücksichtigt</w:t>
            </w:r>
            <w:r w:rsidR="006257A7">
              <w:rPr>
                <w:rFonts w:ascii="Tahoma" w:hAnsi="Tahoma" w:cs="Times New Roman"/>
                <w:i/>
                <w:sz w:val="16"/>
                <w:lang w:val="de-DE"/>
              </w:rPr>
              <w:t xml:space="preserve">. </w:t>
            </w:r>
            <w:r w:rsidRPr="009123CB">
              <w:rPr>
                <w:rFonts w:ascii="Tahoma" w:hAnsi="Tahoma" w:cs="Times New Roman"/>
                <w:i/>
                <w:sz w:val="16"/>
                <w:lang w:val="de-DE"/>
              </w:rPr>
              <w:t>Wenn der Kunde beispielsweise bei der jährlichen Einhaltungsprüfung 4</w:t>
            </w:r>
            <w:r w:rsidR="00844B7C">
              <w:rPr>
                <w:rFonts w:ascii="Tahoma" w:hAnsi="Tahoma" w:cs="Times New Roman"/>
                <w:i/>
                <w:sz w:val="16"/>
                <w:lang w:val="de-DE"/>
              </w:rPr>
              <w:t>.</w:t>
            </w:r>
            <w:r w:rsidRPr="009123CB">
              <w:rPr>
                <w:rFonts w:ascii="Tahoma" w:hAnsi="Tahoma" w:cs="Times New Roman"/>
                <w:i/>
                <w:sz w:val="16"/>
                <w:lang w:val="de-DE"/>
              </w:rPr>
              <w:t>500 Punkte besitzt, werden 500 Punkte auf das nächste Jahr übertragen und bei der Einhaltung für das Jahr berücksichtigt</w:t>
            </w:r>
            <w:r w:rsidR="006257A7">
              <w:rPr>
                <w:rFonts w:ascii="Tahoma" w:hAnsi="Tahoma" w:cs="Times New Roman"/>
                <w:i/>
                <w:sz w:val="16"/>
                <w:lang w:val="de-DE"/>
              </w:rPr>
              <w:t xml:space="preserve">. </w:t>
            </w:r>
          </w:p>
          <w:p w:rsidR="008D4EE5" w:rsidRPr="009123CB" w:rsidRDefault="008D4EE5" w:rsidP="00A67771">
            <w:pPr>
              <w:pStyle w:val="AppendixBodyText"/>
              <w:spacing w:after="0"/>
              <w:ind w:left="605" w:right="720"/>
              <w:rPr>
                <w:rFonts w:ascii="Tahoma" w:hAnsi="Tahoma" w:cs="Tahoma"/>
                <w:color w:val="000000"/>
                <w:sz w:val="18"/>
                <w:szCs w:val="18"/>
                <w:lang w:val="de-DE" w:eastAsia="ja-JP"/>
              </w:rPr>
            </w:pPr>
          </w:p>
        </w:tc>
      </w:tr>
      <w:tr w:rsidR="008D4EE5" w:rsidRPr="00DC4771" w:rsidTr="007E0DFB">
        <w:tc>
          <w:tcPr>
            <w:tcW w:w="2790" w:type="dxa"/>
            <w:shd w:val="clear" w:color="auto" w:fill="auto"/>
          </w:tcPr>
          <w:p w:rsidR="008D4EE5" w:rsidRPr="00E64551" w:rsidRDefault="008D4EE5" w:rsidP="00A67771">
            <w:pPr>
              <w:pStyle w:val="AppendixBodyText"/>
              <w:spacing w:before="60"/>
              <w:ind w:right="720"/>
              <w:rPr>
                <w:rFonts w:ascii="Tahoma" w:hAnsi="Tahoma" w:cs="Tahoma"/>
                <w:b/>
                <w:color w:val="000000"/>
                <w:szCs w:val="18"/>
                <w:lang w:eastAsia="ja-JP"/>
              </w:rPr>
            </w:pPr>
            <w:r>
              <w:rPr>
                <w:rFonts w:ascii="Tahoma" w:hAnsi="Tahoma" w:cs="Tahoma"/>
                <w:b/>
                <w:color w:val="000000"/>
                <w:szCs w:val="18"/>
              </w:rPr>
              <w:t>School-Vertrag</w:t>
            </w:r>
          </w:p>
        </w:tc>
        <w:tc>
          <w:tcPr>
            <w:tcW w:w="6426" w:type="dxa"/>
            <w:shd w:val="clear" w:color="auto" w:fill="auto"/>
          </w:tcPr>
          <w:p w:rsidR="008D4EE5" w:rsidRPr="009123CB" w:rsidRDefault="008D4EE5" w:rsidP="007E0DFB">
            <w:pPr>
              <w:pStyle w:val="AppendixBodyText"/>
              <w:spacing w:before="60"/>
              <w:ind w:right="108"/>
              <w:rPr>
                <w:lang w:val="de-DE"/>
              </w:rPr>
            </w:pPr>
            <w:r w:rsidRPr="009123CB">
              <w:rPr>
                <w:lang w:val="de-DE"/>
              </w:rPr>
              <w:t xml:space="preserve">Für </w:t>
            </w:r>
            <w:r w:rsidRPr="009123CB">
              <w:rPr>
                <w:rFonts w:ascii="Tahoma" w:hAnsi="Tahoma" w:cs="Tahoma"/>
                <w:sz w:val="18"/>
                <w:lang w:val="de-DE"/>
              </w:rPr>
              <w:t>den School-</w:t>
            </w:r>
            <w:r w:rsidRPr="009123CB">
              <w:rPr>
                <w:rFonts w:ascii="Tahoma" w:hAnsi="Tahoma" w:cs="Tahoma"/>
                <w:b/>
                <w:sz w:val="18"/>
                <w:lang w:val="de-DE"/>
              </w:rPr>
              <w:t xml:space="preserve"> </w:t>
            </w:r>
            <w:r w:rsidRPr="009123CB">
              <w:rPr>
                <w:rFonts w:ascii="Tahoma" w:hAnsi="Tahoma" w:cs="Tahoma"/>
                <w:sz w:val="18"/>
                <w:lang w:val="de-DE"/>
              </w:rPr>
              <w:t>Vertrag ist eine Mindestbestellmenge von 300 Einheiten erforderlich</w:t>
            </w:r>
            <w:r w:rsidR="006257A7">
              <w:rPr>
                <w:rFonts w:ascii="Tahoma" w:hAnsi="Tahoma" w:cs="Tahoma"/>
                <w:sz w:val="18"/>
                <w:lang w:val="de-DE"/>
              </w:rPr>
              <w:t xml:space="preserve">. </w:t>
            </w:r>
            <w:r w:rsidRPr="009123CB">
              <w:rPr>
                <w:rFonts w:ascii="Tahoma" w:hAnsi="Tahoma" w:cs="Tahoma"/>
                <w:sz w:val="18"/>
                <w:lang w:val="de-DE"/>
              </w:rPr>
              <w:t>Die Einheiten werden durch Multiplizieren der Gesamtzahl der ausgewählten Anwendungs-, System- und CAL-Produkte mit der Gesamtzahl der berechtigten PCs bzw</w:t>
            </w:r>
            <w:r w:rsidR="006257A7">
              <w:rPr>
                <w:rFonts w:ascii="Tahoma" w:hAnsi="Tahoma" w:cs="Tahoma"/>
                <w:sz w:val="18"/>
                <w:lang w:val="de-DE"/>
              </w:rPr>
              <w:t xml:space="preserve">. </w:t>
            </w:r>
            <w:r w:rsidRPr="009123CB">
              <w:rPr>
                <w:rFonts w:ascii="Tahoma" w:hAnsi="Tahoma" w:cs="Tahoma"/>
                <w:sz w:val="18"/>
                <w:lang w:val="de-DE"/>
              </w:rPr>
              <w:t>berechtigten FTE-Nutzer/Mitarbeiter bestimmt</w:t>
            </w:r>
            <w:r w:rsidR="006257A7">
              <w:rPr>
                <w:rFonts w:ascii="Tahoma" w:hAnsi="Tahoma" w:cs="Tahoma"/>
                <w:sz w:val="18"/>
                <w:lang w:val="de-DE"/>
              </w:rPr>
              <w:t xml:space="preserve">. </w:t>
            </w:r>
            <w:r w:rsidRPr="009123CB">
              <w:rPr>
                <w:rFonts w:ascii="Tahoma" w:hAnsi="Tahoma" w:cs="Tahoma"/>
                <w:sz w:val="18"/>
                <w:lang w:val="de-DE"/>
              </w:rPr>
              <w:t>Beachten Sie, dass die Mindestbestellanforderung nach geografischer Region variieren kann</w:t>
            </w:r>
            <w:r w:rsidR="006257A7">
              <w:rPr>
                <w:rFonts w:ascii="Tahoma" w:hAnsi="Tahoma" w:cs="Tahoma"/>
                <w:sz w:val="18"/>
                <w:lang w:val="de-DE"/>
              </w:rPr>
              <w:t xml:space="preserve">. </w:t>
            </w:r>
          </w:p>
          <w:p w:rsidR="008D4EE5" w:rsidRPr="009123CB" w:rsidRDefault="008D4EE5" w:rsidP="00A67771">
            <w:pPr>
              <w:pStyle w:val="AppendixBodyText"/>
              <w:spacing w:after="0"/>
              <w:ind w:right="720"/>
              <w:rPr>
                <w:lang w:val="de-DE"/>
              </w:rPr>
            </w:pPr>
          </w:p>
          <w:p w:rsidR="008D4EE5" w:rsidRPr="009123CB" w:rsidRDefault="008D4EE5" w:rsidP="007E0DFB">
            <w:pPr>
              <w:tabs>
                <w:tab w:val="left" w:pos="8640"/>
              </w:tabs>
              <w:ind w:right="18"/>
              <w:rPr>
                <w:lang w:val="de-DE"/>
              </w:rPr>
            </w:pPr>
            <w:r w:rsidRPr="009123CB">
              <w:rPr>
                <w:rFonts w:cs="Tahoma"/>
                <w:b/>
                <w:bCs/>
                <w:color w:val="000000"/>
                <w:szCs w:val="20"/>
                <w:lang w:val="de-DE"/>
              </w:rPr>
              <w:t>Anmerkung:</w:t>
            </w:r>
            <w:r w:rsidRPr="009123CB">
              <w:rPr>
                <w:rFonts w:cs="Tahoma"/>
                <w:color w:val="000000"/>
                <w:szCs w:val="20"/>
                <w:lang w:val="de-DE"/>
              </w:rPr>
              <w:t xml:space="preserve"> Kunden mit School-Vertrag sind nicht berechtigt, </w:t>
            </w:r>
            <w:r w:rsidR="00306AAF">
              <w:rPr>
                <w:rFonts w:cs="Tahoma"/>
                <w:color w:val="000000"/>
                <w:szCs w:val="20"/>
                <w:lang w:val="de-DE"/>
              </w:rPr>
              <w:br/>
            </w:r>
            <w:r w:rsidRPr="009123CB">
              <w:rPr>
                <w:rFonts w:cs="Tahoma"/>
                <w:color w:val="000000"/>
                <w:szCs w:val="20"/>
                <w:lang w:val="de-DE"/>
              </w:rPr>
              <w:t xml:space="preserve">Anwendungs-, System-, Abonnementlizenz- (Nutzer/Gerät) und CAL-Produkte nur für einen Teil der im Abonnement enthaltenen PCs auszuwählen, </w:t>
            </w:r>
            <w:r w:rsidRPr="009123CB">
              <w:rPr>
                <w:rFonts w:cs="Tahoma"/>
                <w:color w:val="000000"/>
                <w:szCs w:val="18"/>
                <w:lang w:val="de-DE"/>
              </w:rPr>
              <w:t>sofern dies nicht ausdrücklich in der Produktliste in den Hinweisen auf die Produktbedingungen angegeben ist</w:t>
            </w:r>
            <w:r w:rsidR="006257A7">
              <w:rPr>
                <w:rFonts w:cs="Tahoma"/>
                <w:color w:val="000000"/>
                <w:szCs w:val="20"/>
                <w:lang w:val="de-DE"/>
              </w:rPr>
              <w:t xml:space="preserve">. </w:t>
            </w:r>
            <w:r w:rsidRPr="009123CB">
              <w:rPr>
                <w:rFonts w:cs="Tahoma"/>
                <w:color w:val="000000"/>
                <w:szCs w:val="20"/>
                <w:lang w:val="de-DE"/>
              </w:rPr>
              <w:t>Wenn beispielsweise das Abonnement für insgesamt 100 PCs gilt, gelten die ausgewählten Anwendungs-, System-, Abonnementlizenz- (Nutzer/Gerät) und CAL-Produkte für alle 100 PCs, selbst wenn ein bestimmtes Produkt nur auf einem Teil dieser PCs ausgeführt wird</w:t>
            </w:r>
            <w:r w:rsidR="006257A7">
              <w:rPr>
                <w:rFonts w:cs="Tahoma"/>
                <w:color w:val="000000"/>
                <w:szCs w:val="20"/>
                <w:lang w:val="de-DE"/>
              </w:rPr>
              <w:t xml:space="preserve">. </w:t>
            </w:r>
          </w:p>
          <w:p w:rsidR="008D4EE5" w:rsidRPr="009123CB" w:rsidRDefault="008D4EE5" w:rsidP="00A67771">
            <w:pPr>
              <w:tabs>
                <w:tab w:val="left" w:pos="8640"/>
              </w:tabs>
              <w:ind w:right="720"/>
              <w:rPr>
                <w:rFonts w:cs="Tahoma"/>
                <w:color w:val="000000"/>
                <w:szCs w:val="20"/>
                <w:lang w:val="de-DE" w:eastAsia="ja-JP"/>
              </w:rPr>
            </w:pPr>
          </w:p>
        </w:tc>
      </w:tr>
      <w:tr w:rsidR="008D4EE5" w:rsidRPr="00FB51BA" w:rsidTr="007E0DFB">
        <w:tc>
          <w:tcPr>
            <w:tcW w:w="2790" w:type="dxa"/>
            <w:shd w:val="clear" w:color="auto" w:fill="auto"/>
          </w:tcPr>
          <w:p w:rsidR="008D4EE5" w:rsidRPr="009123CB" w:rsidRDefault="008D4EE5" w:rsidP="00A67771">
            <w:pPr>
              <w:pStyle w:val="AppendixBodyText"/>
              <w:spacing w:before="60"/>
              <w:ind w:right="720"/>
              <w:rPr>
                <w:rFonts w:ascii="Tahoma" w:hAnsi="Tahoma" w:cs="Tahoma"/>
                <w:b/>
                <w:color w:val="000000"/>
                <w:sz w:val="18"/>
                <w:szCs w:val="18"/>
                <w:lang w:val="de-DE" w:eastAsia="ja-JP"/>
              </w:rPr>
            </w:pPr>
            <w:r w:rsidRPr="009123CB">
              <w:rPr>
                <w:rFonts w:ascii="Tahoma" w:hAnsi="Tahoma" w:cs="Tahoma"/>
                <w:b/>
                <w:lang w:val="de-DE"/>
              </w:rPr>
              <w:t>Konzernvertrag und Konzern-Abonnement-Vertrag</w:t>
            </w:r>
          </w:p>
        </w:tc>
        <w:tc>
          <w:tcPr>
            <w:tcW w:w="6426" w:type="dxa"/>
            <w:shd w:val="clear" w:color="auto" w:fill="auto"/>
          </w:tcPr>
          <w:p w:rsidR="008D4EE5" w:rsidRPr="009123CB" w:rsidRDefault="008D4EE5" w:rsidP="00A67771">
            <w:pPr>
              <w:spacing w:before="60"/>
              <w:rPr>
                <w:lang w:val="de-DE"/>
              </w:rPr>
            </w:pPr>
            <w:r w:rsidRPr="009123CB">
              <w:rPr>
                <w:lang w:val="de-DE"/>
              </w:rPr>
              <w:t>Für den für Konzernvertrag (EA) und den Konzern-Abonnement-Vertrag (ESA) sind mindestens 250 Qualifizierte Geräte/Desktops oder Qualifizierte Nutzer erforderlich</w:t>
            </w:r>
            <w:r w:rsidR="006257A7">
              <w:rPr>
                <w:lang w:val="de-DE"/>
              </w:rPr>
              <w:t xml:space="preserve">. </w:t>
            </w:r>
          </w:p>
          <w:p w:rsidR="008D4EE5" w:rsidRPr="009123CB" w:rsidRDefault="008D4EE5" w:rsidP="00A67771">
            <w:pPr>
              <w:rPr>
                <w:lang w:val="de-DE"/>
              </w:rPr>
            </w:pPr>
          </w:p>
          <w:p w:rsidR="008D4EE5" w:rsidRPr="009123CB" w:rsidRDefault="008D4EE5" w:rsidP="00A67771">
            <w:pPr>
              <w:spacing w:after="60"/>
              <w:rPr>
                <w:lang w:val="de-DE"/>
              </w:rPr>
            </w:pPr>
            <w:r w:rsidRPr="009123CB">
              <w:rPr>
                <w:b/>
                <w:lang w:val="de-DE"/>
              </w:rPr>
              <w:t>Qualifiziertes Gerät/Qualifizierter Desktop</w:t>
            </w:r>
          </w:p>
          <w:p w:rsidR="008D4EE5" w:rsidRPr="009123CB" w:rsidRDefault="008D4EE5" w:rsidP="00A67771">
            <w:pPr>
              <w:rPr>
                <w:lang w:val="de-DE"/>
              </w:rPr>
            </w:pPr>
            <w:bookmarkStart w:id="616" w:name="_Toc323159729"/>
            <w:bookmarkStart w:id="617" w:name="_Toc325313134"/>
            <w:bookmarkStart w:id="618" w:name="_Toc325609169"/>
            <w:r w:rsidRPr="009123CB">
              <w:rPr>
                <w:lang w:val="de-DE"/>
              </w:rPr>
              <w:t xml:space="preserve">Ungeachtet gegenteiliger Bestimmungen in Ihrem Volumenlizenzvertrag umfassen Qualifizierte Geräte/Desktops keine </w:t>
            </w:r>
            <w:r w:rsidRPr="009123CB">
              <w:rPr>
                <w:iCs/>
                <w:lang w:val="de-DE"/>
              </w:rPr>
              <w:t>qualifizierenden Geräte Dritter,</w:t>
            </w:r>
            <w:r w:rsidRPr="009123CB">
              <w:rPr>
                <w:lang w:val="de-DE"/>
              </w:rPr>
              <w:t xml:space="preserve"> von denen Ihre Nutzer unter Roaming-Nutzungsrechten ausschließlich für folgende Zwecke auf die Software zugreifen und sie nutzen:</w:t>
            </w:r>
            <w:bookmarkEnd w:id="616"/>
            <w:bookmarkEnd w:id="617"/>
            <w:bookmarkEnd w:id="618"/>
          </w:p>
          <w:p w:rsidR="008D4EE5" w:rsidRPr="009123CB" w:rsidRDefault="008D4EE5" w:rsidP="00A67771">
            <w:pPr>
              <w:rPr>
                <w:lang w:val="de-DE"/>
              </w:rPr>
            </w:pPr>
          </w:p>
          <w:p w:rsidR="008D4EE5" w:rsidRPr="0062435A" w:rsidRDefault="008D4EE5" w:rsidP="00A67771">
            <w:pPr>
              <w:numPr>
                <w:ilvl w:val="0"/>
                <w:numId w:val="64"/>
              </w:numPr>
              <w:spacing w:after="60"/>
            </w:pPr>
            <w:r>
              <w:t xml:space="preserve">Windows Software Assurance, </w:t>
            </w:r>
          </w:p>
          <w:p w:rsidR="008D4EE5" w:rsidRPr="0062435A" w:rsidRDefault="008D4EE5" w:rsidP="00A67771">
            <w:pPr>
              <w:numPr>
                <w:ilvl w:val="0"/>
                <w:numId w:val="64"/>
              </w:numPr>
              <w:spacing w:after="60"/>
            </w:pPr>
            <w:r>
              <w:t xml:space="preserve">Windows Virtual Desktop Access, </w:t>
            </w:r>
          </w:p>
          <w:p w:rsidR="008D4EE5" w:rsidRPr="0062435A" w:rsidRDefault="008D4EE5" w:rsidP="00A67771">
            <w:pPr>
              <w:numPr>
                <w:ilvl w:val="0"/>
                <w:numId w:val="64"/>
              </w:numPr>
              <w:spacing w:after="60"/>
            </w:pPr>
            <w:r>
              <w:t xml:space="preserve">Virtual Desktop Infrastructure Suites, </w:t>
            </w:r>
          </w:p>
          <w:p w:rsidR="008D4EE5" w:rsidRPr="0062435A" w:rsidRDefault="008D4EE5" w:rsidP="00A67771">
            <w:pPr>
              <w:numPr>
                <w:ilvl w:val="0"/>
                <w:numId w:val="64"/>
              </w:numPr>
              <w:spacing w:after="60"/>
            </w:pPr>
            <w:r>
              <w:t xml:space="preserve">MDOP für Software Assurance und </w:t>
            </w:r>
          </w:p>
          <w:p w:rsidR="008D4EE5" w:rsidRPr="009123CB" w:rsidRDefault="008D4EE5" w:rsidP="00A67771">
            <w:pPr>
              <w:numPr>
                <w:ilvl w:val="0"/>
                <w:numId w:val="64"/>
              </w:numPr>
              <w:spacing w:after="60"/>
              <w:rPr>
                <w:lang w:val="de-DE"/>
              </w:rPr>
            </w:pPr>
            <w:r w:rsidRPr="009123CB">
              <w:rPr>
                <w:lang w:val="de-DE"/>
              </w:rPr>
              <w:t>Software Assurance für alle Editionen von Office, Project und Visio einschließlich Roaming-Nutzungsrechten</w:t>
            </w:r>
            <w:r w:rsidR="006257A7">
              <w:rPr>
                <w:lang w:val="de-DE"/>
              </w:rPr>
              <w:t xml:space="preserve">. </w:t>
            </w:r>
          </w:p>
          <w:p w:rsidR="008D4EE5" w:rsidRPr="009123CB" w:rsidRDefault="008D4EE5" w:rsidP="007E0DFB">
            <w:pPr>
              <w:rPr>
                <w:lang w:val="de-DE"/>
              </w:rPr>
            </w:pPr>
            <w:bookmarkStart w:id="619" w:name="_Toc323159730"/>
            <w:bookmarkStart w:id="620" w:name="_Toc325313135"/>
            <w:bookmarkStart w:id="621" w:name="_Toc325609170"/>
            <w:r w:rsidRPr="009123CB">
              <w:rPr>
                <w:lang w:val="de-DE"/>
              </w:rPr>
              <w:t>Ein „qualifizierendes Gerät Dritter“ ist ein Gerät, das weder direkt noch indirekt von Ihnen oder Ihren verbundenen Unternehmen kontrolliert wird (z</w:t>
            </w:r>
            <w:r w:rsidR="006257A7">
              <w:rPr>
                <w:lang w:val="de-DE"/>
              </w:rPr>
              <w:t xml:space="preserve">. </w:t>
            </w:r>
            <w:r w:rsidRPr="009123CB">
              <w:rPr>
                <w:lang w:val="de-DE"/>
              </w:rPr>
              <w:t>B</w:t>
            </w:r>
            <w:r w:rsidR="006257A7">
              <w:rPr>
                <w:lang w:val="de-DE"/>
              </w:rPr>
              <w:t xml:space="preserve">. </w:t>
            </w:r>
            <w:r w:rsidRPr="009123CB">
              <w:rPr>
                <w:lang w:val="de-DE"/>
              </w:rPr>
              <w:t>, ein öffentlicher Kiosk eines Dritten)</w:t>
            </w:r>
            <w:r w:rsidR="006257A7">
              <w:rPr>
                <w:lang w:val="de-DE"/>
              </w:rPr>
              <w:t xml:space="preserve">. </w:t>
            </w:r>
            <w:r w:rsidRPr="009123CB">
              <w:rPr>
                <w:lang w:val="de-DE"/>
              </w:rPr>
              <w:t>Weitere Informationen finden Sie</w:t>
            </w:r>
            <w:r w:rsidR="007E0DFB">
              <w:rPr>
                <w:lang w:val="de-DE"/>
              </w:rPr>
              <w:t> </w:t>
            </w:r>
            <w:r w:rsidRPr="009123CB">
              <w:rPr>
                <w:lang w:val="de-DE"/>
              </w:rPr>
              <w:t>in den Produktbenutzungsrechten</w:t>
            </w:r>
            <w:r w:rsidR="006257A7">
              <w:rPr>
                <w:lang w:val="de-DE"/>
              </w:rPr>
              <w:t xml:space="preserve">. </w:t>
            </w:r>
            <w:bookmarkEnd w:id="619"/>
            <w:bookmarkEnd w:id="620"/>
            <w:bookmarkEnd w:id="621"/>
          </w:p>
          <w:p w:rsidR="008D4EE5" w:rsidRPr="009123CB" w:rsidRDefault="008D4EE5" w:rsidP="00A67771">
            <w:pPr>
              <w:pStyle w:val="Heading3"/>
              <w:ind w:left="70"/>
              <w:rPr>
                <w:lang w:val="de-DE"/>
              </w:rPr>
            </w:pPr>
          </w:p>
          <w:p w:rsidR="008D4EE5" w:rsidRPr="009123CB" w:rsidRDefault="008D4EE5" w:rsidP="00A67771">
            <w:pPr>
              <w:spacing w:after="60"/>
              <w:rPr>
                <w:lang w:val="de-DE"/>
              </w:rPr>
            </w:pPr>
            <w:r w:rsidRPr="009123CB">
              <w:rPr>
                <w:b/>
                <w:lang w:val="de-DE"/>
              </w:rPr>
              <w:t xml:space="preserve">Ausnahmen Qualifizierter Nutzer </w:t>
            </w:r>
          </w:p>
          <w:p w:rsidR="008D4EE5" w:rsidRPr="009123CB" w:rsidRDefault="008D4EE5" w:rsidP="007E0DFB">
            <w:pPr>
              <w:pStyle w:val="AppendixBodyText"/>
              <w:ind w:right="108"/>
              <w:rPr>
                <w:lang w:val="de-DE"/>
              </w:rPr>
            </w:pPr>
            <w:r w:rsidRPr="009123CB">
              <w:rPr>
                <w:rFonts w:ascii="Tahoma" w:hAnsi="Tahoma" w:cs="Tahoma"/>
                <w:sz w:val="18"/>
                <w:lang w:val="de-DE"/>
              </w:rPr>
              <w:t>Eine Person, die ausschließlich unter den in der folgenden Liste aufgeführten Lizenzen auf Serversoftware oder Onlinedienste zugreift, ist davon ausgenommen, als Qualifizierter Nutzer gezählt zu werden:</w:t>
            </w:r>
          </w:p>
          <w:p w:rsidR="008D4EE5" w:rsidRPr="009123CB" w:rsidRDefault="008D4EE5" w:rsidP="00A67771">
            <w:pPr>
              <w:pStyle w:val="AppendixBodyText"/>
              <w:spacing w:after="0"/>
              <w:ind w:right="720"/>
              <w:rPr>
                <w:lang w:val="de-DE"/>
              </w:rPr>
            </w:pPr>
          </w:p>
          <w:p w:rsidR="008D4EE5" w:rsidRPr="009123CB" w:rsidRDefault="008D4EE5" w:rsidP="00A67771">
            <w:pPr>
              <w:numPr>
                <w:ilvl w:val="0"/>
                <w:numId w:val="64"/>
              </w:numPr>
              <w:spacing w:after="60"/>
              <w:rPr>
                <w:lang w:val="de-DE"/>
              </w:rPr>
            </w:pPr>
            <w:r w:rsidRPr="009123CB">
              <w:rPr>
                <w:lang w:val="de-DE"/>
              </w:rPr>
              <w:t>Nutzer-Abonnementlizenz (Nutzer-AL) für Office 365 Enterprise K1</w:t>
            </w:r>
          </w:p>
          <w:p w:rsidR="008D4EE5" w:rsidRPr="009123CB" w:rsidRDefault="008D4EE5" w:rsidP="00A67771">
            <w:pPr>
              <w:numPr>
                <w:ilvl w:val="0"/>
                <w:numId w:val="64"/>
              </w:numPr>
              <w:spacing w:after="60"/>
              <w:rPr>
                <w:lang w:val="de-DE"/>
              </w:rPr>
            </w:pPr>
            <w:r w:rsidRPr="009123CB">
              <w:rPr>
                <w:lang w:val="de-DE"/>
              </w:rPr>
              <w:t>Nutzer-AL für SharePoint Online Kiosk</w:t>
            </w:r>
          </w:p>
          <w:p w:rsidR="008D4EE5" w:rsidRPr="009123CB" w:rsidRDefault="008D4EE5" w:rsidP="00A67771">
            <w:pPr>
              <w:numPr>
                <w:ilvl w:val="0"/>
                <w:numId w:val="64"/>
              </w:numPr>
              <w:spacing w:after="60"/>
              <w:rPr>
                <w:lang w:val="de-DE"/>
              </w:rPr>
            </w:pPr>
            <w:r w:rsidRPr="009123CB">
              <w:rPr>
                <w:lang w:val="de-DE"/>
              </w:rPr>
              <w:t>Nutzer-AL für Exchange Online Kiosk</w:t>
            </w:r>
          </w:p>
          <w:p w:rsidR="008D4EE5" w:rsidRPr="009123CB" w:rsidRDefault="008D4EE5" w:rsidP="00A67771">
            <w:pPr>
              <w:numPr>
                <w:ilvl w:val="0"/>
                <w:numId w:val="64"/>
              </w:numPr>
              <w:spacing w:after="60"/>
              <w:rPr>
                <w:lang w:val="de-DE"/>
              </w:rPr>
            </w:pPr>
            <w:r w:rsidRPr="009123CB">
              <w:rPr>
                <w:lang w:val="de-DE"/>
              </w:rPr>
              <w:t>Lizenzen für Server-Softwareprodukte oder Onlinedienste, die keine einzelnen Lizenzen für Nutzer oder Geräte, die auf diese Produkte bzw</w:t>
            </w:r>
            <w:r w:rsidR="006257A7">
              <w:rPr>
                <w:lang w:val="de-DE"/>
              </w:rPr>
              <w:t xml:space="preserve">. </w:t>
            </w:r>
            <w:r w:rsidRPr="009123CB">
              <w:rPr>
                <w:lang w:val="de-DE"/>
              </w:rPr>
              <w:t>Onlinedienste zugreifen, erfordern (wie Client-Zugriffslizenzen, Client-Management-Lizenzen, Nutzer-ALs und Geräte-ALs)</w:t>
            </w:r>
          </w:p>
          <w:p w:rsidR="008D4EE5" w:rsidRPr="0062435A" w:rsidRDefault="008D4EE5" w:rsidP="00A67771">
            <w:pPr>
              <w:numPr>
                <w:ilvl w:val="0"/>
                <w:numId w:val="64"/>
              </w:numPr>
              <w:spacing w:after="60"/>
            </w:pPr>
            <w:r>
              <w:t>Alle Externer Connector-Lizenzen</w:t>
            </w:r>
          </w:p>
          <w:p w:rsidR="008D4EE5" w:rsidRPr="0062435A" w:rsidRDefault="008D4EE5" w:rsidP="00A67771">
            <w:pPr>
              <w:pStyle w:val="AppendixBodyText"/>
              <w:spacing w:after="0"/>
              <w:ind w:right="720"/>
            </w:pPr>
          </w:p>
          <w:p w:rsidR="008D4EE5" w:rsidRPr="009123CB" w:rsidRDefault="008D4EE5" w:rsidP="007E0DFB">
            <w:pPr>
              <w:pStyle w:val="AppendixBodyText"/>
              <w:spacing w:after="0"/>
              <w:ind w:right="18"/>
              <w:rPr>
                <w:lang w:val="de-DE"/>
              </w:rPr>
            </w:pPr>
            <w:r w:rsidRPr="009123CB">
              <w:rPr>
                <w:rFonts w:ascii="Tahoma" w:hAnsi="Tahoma" w:cs="Tahoma"/>
                <w:sz w:val="18"/>
                <w:lang w:val="de-DE"/>
              </w:rPr>
              <w:t>Diese Ausnahmen Qualifizierter Nutzer gelten für alle Kunden mit Konzernvertrag und Konzern-Abonnement-Vertrag, unabhängig davon, ob</w:t>
            </w:r>
            <w:r w:rsidR="007E0DFB">
              <w:rPr>
                <w:rFonts w:ascii="Tahoma" w:hAnsi="Tahoma" w:cs="Tahoma"/>
                <w:sz w:val="18"/>
                <w:lang w:val="de-DE"/>
              </w:rPr>
              <w:t> </w:t>
            </w:r>
            <w:r w:rsidRPr="009123CB">
              <w:rPr>
                <w:rFonts w:ascii="Tahoma" w:hAnsi="Tahoma" w:cs="Tahoma"/>
                <w:sz w:val="18"/>
                <w:lang w:val="de-DE"/>
              </w:rPr>
              <w:t>Ausnahmen Qualifizierter Nutzer in den Bestimmungen der Verträge der</w:t>
            </w:r>
            <w:r w:rsidR="007E0DFB">
              <w:rPr>
                <w:rFonts w:ascii="Tahoma" w:hAnsi="Tahoma" w:cs="Tahoma"/>
                <w:sz w:val="18"/>
                <w:lang w:val="de-DE"/>
              </w:rPr>
              <w:t> </w:t>
            </w:r>
            <w:r w:rsidRPr="009123CB">
              <w:rPr>
                <w:rFonts w:ascii="Tahoma" w:hAnsi="Tahoma" w:cs="Tahoma"/>
                <w:sz w:val="18"/>
                <w:lang w:val="de-DE"/>
              </w:rPr>
              <w:t>Kunden ausdrücklich vorgesehen sind</w:t>
            </w:r>
            <w:r w:rsidR="006257A7">
              <w:rPr>
                <w:rFonts w:ascii="Tahoma" w:hAnsi="Tahoma" w:cs="Tahoma"/>
                <w:sz w:val="18"/>
                <w:lang w:val="de-DE"/>
              </w:rPr>
              <w:t xml:space="preserve">. </w:t>
            </w:r>
          </w:p>
          <w:p w:rsidR="008D4EE5" w:rsidRPr="009123CB" w:rsidRDefault="008D4EE5" w:rsidP="00A67771">
            <w:pPr>
              <w:pStyle w:val="AppendixBodyText"/>
              <w:spacing w:after="0"/>
              <w:ind w:right="720"/>
              <w:rPr>
                <w:rFonts w:ascii="Tahoma" w:hAnsi="Tahoma" w:cs="Tahoma"/>
                <w:sz w:val="18"/>
                <w:lang w:val="de-DE" w:eastAsia="ja-JP"/>
              </w:rPr>
            </w:pPr>
          </w:p>
        </w:tc>
      </w:tr>
      <w:tr w:rsidR="008D4EE5" w:rsidRPr="00FB51BA" w:rsidTr="007E0DFB">
        <w:tc>
          <w:tcPr>
            <w:tcW w:w="2790" w:type="dxa"/>
            <w:shd w:val="clear" w:color="auto" w:fill="auto"/>
          </w:tcPr>
          <w:p w:rsidR="008D4EE5" w:rsidRPr="00E64551" w:rsidRDefault="008D4EE5" w:rsidP="00A67771">
            <w:pPr>
              <w:pStyle w:val="AppendixBodyText"/>
              <w:spacing w:before="60"/>
              <w:ind w:right="720"/>
              <w:rPr>
                <w:rFonts w:ascii="Tahoma" w:hAnsi="Tahoma" w:cs="Tahoma"/>
                <w:b/>
                <w:lang w:eastAsia="ja-JP"/>
              </w:rPr>
            </w:pPr>
            <w:r>
              <w:rPr>
                <w:rFonts w:ascii="Tahoma" w:hAnsi="Tahoma" w:cs="Tahoma"/>
                <w:b/>
                <w:color w:val="000000"/>
                <w:szCs w:val="18"/>
              </w:rPr>
              <w:t>EES</w:t>
            </w:r>
          </w:p>
        </w:tc>
        <w:tc>
          <w:tcPr>
            <w:tcW w:w="6426" w:type="dxa"/>
            <w:shd w:val="clear" w:color="auto" w:fill="auto"/>
          </w:tcPr>
          <w:p w:rsidR="008D4EE5" w:rsidRPr="009123CB" w:rsidRDefault="008D4EE5" w:rsidP="00A67771">
            <w:pPr>
              <w:pStyle w:val="ListParagraph"/>
              <w:spacing w:before="60"/>
              <w:ind w:left="0"/>
              <w:contextualSpacing w:val="0"/>
              <w:rPr>
                <w:lang w:val="de-DE"/>
              </w:rPr>
            </w:pPr>
            <w:r w:rsidRPr="009123CB">
              <w:rPr>
                <w:rFonts w:ascii="Tahoma" w:hAnsi="Tahoma" w:cs="Tahoma"/>
                <w:sz w:val="18"/>
                <w:szCs w:val="18"/>
                <w:lang w:val="de-DE"/>
              </w:rPr>
              <w:t>Für EES ist eine Mindestbestellung erforderlich, die eines der folgenden Kriterien erfüllt:</w:t>
            </w:r>
          </w:p>
          <w:p w:rsidR="008D4EE5" w:rsidRPr="009123CB" w:rsidRDefault="008D4EE5" w:rsidP="00A67771">
            <w:pPr>
              <w:pStyle w:val="ListParagraph"/>
              <w:ind w:left="0"/>
              <w:contextualSpacing w:val="0"/>
              <w:rPr>
                <w:lang w:val="de-DE"/>
              </w:rPr>
            </w:pPr>
          </w:p>
          <w:p w:rsidR="008D4EE5" w:rsidRPr="009123CB" w:rsidRDefault="008D4EE5" w:rsidP="00A67771">
            <w:pPr>
              <w:numPr>
                <w:ilvl w:val="0"/>
                <w:numId w:val="64"/>
              </w:numPr>
              <w:spacing w:after="60"/>
              <w:rPr>
                <w:lang w:val="de-DE"/>
              </w:rPr>
            </w:pPr>
            <w:r w:rsidRPr="009123CB">
              <w:rPr>
                <w:lang w:val="de-DE"/>
              </w:rPr>
              <w:t>mindestens ein Desktop-Plattformprodukt für eine Organisationsweite Anzahl von mindestens 1</w:t>
            </w:r>
            <w:r w:rsidR="00844B7C">
              <w:rPr>
                <w:lang w:val="de-DE"/>
              </w:rPr>
              <w:t>.</w:t>
            </w:r>
            <w:r w:rsidRPr="009123CB">
              <w:rPr>
                <w:lang w:val="de-DE"/>
              </w:rPr>
              <w:t>000 ODER</w:t>
            </w:r>
          </w:p>
          <w:p w:rsidR="008D4EE5" w:rsidRPr="009123CB" w:rsidRDefault="008D4EE5" w:rsidP="007E0DFB">
            <w:pPr>
              <w:numPr>
                <w:ilvl w:val="0"/>
                <w:numId w:val="64"/>
              </w:numPr>
              <w:spacing w:after="60"/>
              <w:rPr>
                <w:lang w:val="de-DE"/>
              </w:rPr>
            </w:pPr>
            <w:r w:rsidRPr="009123CB">
              <w:rPr>
                <w:lang w:val="de-DE"/>
              </w:rPr>
              <w:t>mindestens ein Plattform-Onlinedienst für Wissenschaftliche/Sonstige Mitarbeiter in einer Menge von 1</w:t>
            </w:r>
            <w:r w:rsidR="00844B7C">
              <w:rPr>
                <w:lang w:val="de-DE"/>
              </w:rPr>
              <w:t>.</w:t>
            </w:r>
            <w:r w:rsidRPr="009123CB">
              <w:rPr>
                <w:lang w:val="de-DE"/>
              </w:rPr>
              <w:t>000</w:t>
            </w:r>
            <w:r w:rsidR="007E0DFB">
              <w:rPr>
                <w:lang w:val="de-DE"/>
              </w:rPr>
              <w:t> </w:t>
            </w:r>
            <w:r w:rsidRPr="009123CB">
              <w:rPr>
                <w:lang w:val="de-DE"/>
              </w:rPr>
              <w:t>ODER</w:t>
            </w:r>
          </w:p>
          <w:p w:rsidR="008D4EE5" w:rsidRPr="009123CB" w:rsidRDefault="008D4EE5" w:rsidP="00A67771">
            <w:pPr>
              <w:numPr>
                <w:ilvl w:val="0"/>
                <w:numId w:val="64"/>
              </w:numPr>
              <w:spacing w:after="60"/>
              <w:rPr>
                <w:lang w:val="de-DE"/>
              </w:rPr>
            </w:pPr>
            <w:r w:rsidRPr="009123CB">
              <w:rPr>
                <w:lang w:val="de-DE"/>
              </w:rPr>
              <w:t>mindestens ein Desktop-Plattformprodukt für eine Studentenanzahl von mindestens 1</w:t>
            </w:r>
            <w:r w:rsidR="00844B7C">
              <w:rPr>
                <w:lang w:val="de-DE"/>
              </w:rPr>
              <w:t>.</w:t>
            </w:r>
            <w:r w:rsidRPr="009123CB">
              <w:rPr>
                <w:lang w:val="de-DE"/>
              </w:rPr>
              <w:t>000 ODER</w:t>
            </w:r>
          </w:p>
          <w:p w:rsidR="008D4EE5" w:rsidRPr="009123CB" w:rsidRDefault="008D4EE5" w:rsidP="00A67771">
            <w:pPr>
              <w:numPr>
                <w:ilvl w:val="0"/>
                <w:numId w:val="64"/>
              </w:numPr>
              <w:spacing w:after="60"/>
              <w:rPr>
                <w:lang w:val="de-DE"/>
              </w:rPr>
            </w:pPr>
            <w:r w:rsidRPr="009123CB">
              <w:rPr>
                <w:lang w:val="de-DE"/>
              </w:rPr>
              <w:t>mindestens ein Plattform-Onlinedienst für Studenten in einer Menge von 1</w:t>
            </w:r>
            <w:r w:rsidR="00844B7C">
              <w:rPr>
                <w:lang w:val="de-DE"/>
              </w:rPr>
              <w:t>.</w:t>
            </w:r>
            <w:r w:rsidRPr="009123CB">
              <w:rPr>
                <w:lang w:val="de-DE"/>
              </w:rPr>
              <w:t xml:space="preserve">000 </w:t>
            </w:r>
          </w:p>
          <w:p w:rsidR="008D4EE5" w:rsidRPr="009123CB" w:rsidRDefault="008D4EE5" w:rsidP="00A67771">
            <w:pPr>
              <w:rPr>
                <w:lang w:val="de-DE"/>
              </w:rPr>
            </w:pPr>
          </w:p>
          <w:p w:rsidR="008D4EE5" w:rsidRPr="009123CB" w:rsidRDefault="008D4EE5" w:rsidP="00AD4223">
            <w:pPr>
              <w:rPr>
                <w:lang w:val="de-DE"/>
              </w:rPr>
            </w:pPr>
            <w:r w:rsidRPr="009123CB">
              <w:rPr>
                <w:rFonts w:cs="Tahoma"/>
                <w:b/>
                <w:color w:val="000000"/>
                <w:szCs w:val="18"/>
                <w:lang w:val="de-DE"/>
              </w:rPr>
              <w:t>Anmerkung:</w:t>
            </w:r>
            <w:r w:rsidRPr="009123CB">
              <w:rPr>
                <w:rFonts w:cs="Tahoma"/>
                <w:color w:val="000000"/>
                <w:szCs w:val="18"/>
                <w:lang w:val="de-DE"/>
              </w:rPr>
              <w:t xml:space="preserve"> Wenn ein qualifizierender Beitritt bereitgestellt wird, kann auf</w:t>
            </w:r>
            <w:r w:rsidR="00AD4223">
              <w:rPr>
                <w:rFonts w:cs="Tahoma"/>
                <w:color w:val="000000"/>
                <w:szCs w:val="18"/>
                <w:lang w:val="de-DE"/>
              </w:rPr>
              <w:t> </w:t>
            </w:r>
            <w:r w:rsidRPr="009123CB">
              <w:rPr>
                <w:rFonts w:cs="Tahoma"/>
                <w:color w:val="000000"/>
                <w:szCs w:val="18"/>
                <w:lang w:val="de-DE"/>
              </w:rPr>
              <w:t>diese Mindestbestellmenge verzichtet werden</w:t>
            </w:r>
            <w:r w:rsidR="006257A7">
              <w:rPr>
                <w:rFonts w:cs="Tahoma"/>
                <w:color w:val="000000"/>
                <w:szCs w:val="18"/>
                <w:lang w:val="de-DE"/>
              </w:rPr>
              <w:t xml:space="preserve">. </w:t>
            </w:r>
          </w:p>
          <w:p w:rsidR="008D4EE5" w:rsidRPr="009123CB" w:rsidRDefault="008D4EE5" w:rsidP="00A67771">
            <w:pPr>
              <w:rPr>
                <w:lang w:val="de-DE"/>
              </w:rPr>
            </w:pPr>
          </w:p>
          <w:p w:rsidR="008D4EE5" w:rsidRPr="009123CB" w:rsidRDefault="008D4EE5" w:rsidP="00AD4223">
            <w:pPr>
              <w:rPr>
                <w:lang w:val="de-DE"/>
              </w:rPr>
            </w:pPr>
            <w:r w:rsidRPr="009123CB">
              <w:rPr>
                <w:rFonts w:cs="Tahoma"/>
                <w:b/>
                <w:color w:val="000000"/>
                <w:szCs w:val="18"/>
                <w:lang w:val="de-DE"/>
              </w:rPr>
              <w:t xml:space="preserve">Anmerkung: </w:t>
            </w:r>
            <w:r w:rsidRPr="009123CB">
              <w:rPr>
                <w:rFonts w:cs="Tahoma"/>
                <w:color w:val="000000"/>
                <w:szCs w:val="18"/>
                <w:lang w:val="de-DE"/>
              </w:rPr>
              <w:t>CALs (Client Access Licenses, Client-Zugriffslizenzen), die im</w:t>
            </w:r>
            <w:r w:rsidR="00AD4223">
              <w:rPr>
                <w:rFonts w:cs="Tahoma"/>
                <w:color w:val="000000"/>
                <w:szCs w:val="18"/>
                <w:lang w:val="de-DE"/>
              </w:rPr>
              <w:t> </w:t>
            </w:r>
            <w:r w:rsidRPr="009123CB">
              <w:rPr>
                <w:rFonts w:cs="Tahoma"/>
                <w:color w:val="000000"/>
                <w:szCs w:val="18"/>
                <w:lang w:val="de-DE"/>
              </w:rPr>
              <w:t>Rahmen des Beitritts für Bildungslösungen (EES) auf nicht unternehmensweiser Basis erworben wurden, können nach Ermessen der Einrichtung als Geräte-CALs oder als Nutzer-CALs zugewiesen und genutzt werden</w:t>
            </w:r>
            <w:r w:rsidR="006257A7">
              <w:rPr>
                <w:rFonts w:cs="Tahoma"/>
                <w:color w:val="000000"/>
                <w:szCs w:val="18"/>
                <w:lang w:val="de-DE"/>
              </w:rPr>
              <w:t xml:space="preserve">. </w:t>
            </w:r>
            <w:r w:rsidRPr="009123CB">
              <w:rPr>
                <w:rFonts w:cs="Tahoma"/>
                <w:color w:val="000000"/>
                <w:szCs w:val="18"/>
                <w:lang w:val="de-DE"/>
              </w:rPr>
              <w:t>Nutzer-CALs können nicht als Geräte-CALs neu zugewiesen werden, und Geräte-CALs können nicht als Nutzer-CALs neu zugewiesen werden, wobei die folgende Ausnahme gilt:Jede CAL, die auf nicht Organisationsweiter Basis bestellt wurde, kann entweder als Geräte-CAL oder als Nutzer-CAL neu zugewiesen und genutzt werden, wenn das Abonnement in einem neuen Vertrag verlängert wird</w:t>
            </w:r>
            <w:r w:rsidR="006257A7">
              <w:rPr>
                <w:rFonts w:cs="Tahoma"/>
                <w:color w:val="000000"/>
                <w:szCs w:val="18"/>
                <w:lang w:val="de-DE"/>
              </w:rPr>
              <w:t xml:space="preserve">. </w:t>
            </w:r>
          </w:p>
          <w:p w:rsidR="008D4EE5" w:rsidRPr="009123CB" w:rsidRDefault="008D4EE5" w:rsidP="00A67771">
            <w:pPr>
              <w:rPr>
                <w:rFonts w:cs="Tahoma"/>
                <w:color w:val="000000"/>
                <w:szCs w:val="18"/>
                <w:lang w:val="de-DE"/>
              </w:rPr>
            </w:pPr>
          </w:p>
        </w:tc>
      </w:tr>
    </w:tbl>
    <w:p w:rsidR="008D4EE5" w:rsidRDefault="008D4EE5" w:rsidP="008D4EE5">
      <w:pPr>
        <w:pStyle w:val="Heading3"/>
        <w:ind w:right="720"/>
        <w:rPr>
          <w:lang w:val="de-DE"/>
        </w:rPr>
      </w:pPr>
      <w:bookmarkStart w:id="622" w:name="_Toc323159731"/>
      <w:bookmarkStart w:id="623" w:name="_Toc325609171"/>
      <w:bookmarkStart w:id="624" w:name="_Toc336338192"/>
    </w:p>
    <w:p w:rsidR="00AD4223" w:rsidRPr="00AD4223" w:rsidRDefault="00AD4223" w:rsidP="00AD4223">
      <w:pPr>
        <w:rPr>
          <w:lang w:val="de-DE"/>
        </w:rPr>
      </w:pPr>
    </w:p>
    <w:p w:rsidR="008D4EE5" w:rsidRPr="0062435A" w:rsidRDefault="008D4EE5" w:rsidP="008D4EE5">
      <w:pPr>
        <w:pStyle w:val="Heading3"/>
        <w:ind w:right="720"/>
      </w:pPr>
      <w:bookmarkStart w:id="625" w:name="_Toc363998929"/>
      <w:r>
        <w:rPr>
          <w:rFonts w:ascii="Tahoma" w:hAnsi="Tahoma" w:cs="Tahoma"/>
          <w:sz w:val="24"/>
          <w:szCs w:val="22"/>
        </w:rPr>
        <w:t>Plattformen</w:t>
      </w:r>
      <w:bookmarkEnd w:id="622"/>
      <w:bookmarkEnd w:id="623"/>
      <w:bookmarkEnd w:id="624"/>
      <w:bookmarkEnd w:id="625"/>
    </w:p>
    <w:p w:rsidR="008D4EE5" w:rsidRPr="0062435A" w:rsidRDefault="008D4EE5" w:rsidP="008D4EE5"/>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0"/>
        <w:gridCol w:w="7128"/>
      </w:tblGrid>
      <w:tr w:rsidR="008D4EE5" w:rsidRPr="00E64551" w:rsidTr="00AD4223">
        <w:tc>
          <w:tcPr>
            <w:tcW w:w="2070" w:type="dxa"/>
            <w:shd w:val="clear" w:color="auto" w:fill="FABF8F"/>
          </w:tcPr>
          <w:p w:rsidR="008D4EE5" w:rsidRPr="00E64551" w:rsidRDefault="008D4EE5" w:rsidP="00A67771">
            <w:pPr>
              <w:rPr>
                <w:b/>
                <w:sz w:val="22"/>
                <w:lang w:eastAsia="ja-JP"/>
              </w:rPr>
            </w:pPr>
            <w:r>
              <w:rPr>
                <w:b/>
                <w:sz w:val="22"/>
              </w:rPr>
              <w:t>Programme</w:t>
            </w:r>
          </w:p>
        </w:tc>
        <w:tc>
          <w:tcPr>
            <w:tcW w:w="7128" w:type="dxa"/>
            <w:shd w:val="clear" w:color="auto" w:fill="FABF8F"/>
          </w:tcPr>
          <w:p w:rsidR="008D4EE5" w:rsidRPr="00E64551" w:rsidRDefault="008D4EE5" w:rsidP="00A67771">
            <w:pPr>
              <w:jc w:val="center"/>
              <w:rPr>
                <w:b/>
                <w:sz w:val="22"/>
                <w:lang w:eastAsia="ja-JP"/>
              </w:rPr>
            </w:pPr>
            <w:r>
              <w:rPr>
                <w:b/>
                <w:sz w:val="22"/>
              </w:rPr>
              <w:t>Plattformen</w:t>
            </w:r>
          </w:p>
        </w:tc>
      </w:tr>
      <w:tr w:rsidR="008D4EE5" w:rsidRPr="00FB51BA" w:rsidTr="00AD4223">
        <w:tc>
          <w:tcPr>
            <w:tcW w:w="2070" w:type="dxa"/>
            <w:shd w:val="clear" w:color="auto" w:fill="auto"/>
          </w:tcPr>
          <w:p w:rsidR="008D4EE5" w:rsidRPr="009123CB" w:rsidRDefault="008D4EE5" w:rsidP="00AD4223">
            <w:pPr>
              <w:spacing w:before="60"/>
              <w:rPr>
                <w:b/>
                <w:lang w:val="de-DE" w:eastAsia="ja-JP"/>
              </w:rPr>
            </w:pPr>
            <w:r w:rsidRPr="009123CB">
              <w:rPr>
                <w:rFonts w:cs="Tahoma"/>
                <w:b/>
                <w:lang w:val="de-DE"/>
              </w:rPr>
              <w:t>Konzernvertrag und</w:t>
            </w:r>
            <w:r w:rsidR="00AD4223">
              <w:rPr>
                <w:rFonts w:cs="Tahoma"/>
                <w:b/>
                <w:lang w:val="de-DE"/>
              </w:rPr>
              <w:t> </w:t>
            </w:r>
            <w:r w:rsidRPr="009123CB">
              <w:rPr>
                <w:rFonts w:cs="Tahoma"/>
                <w:b/>
                <w:lang w:val="de-DE"/>
              </w:rPr>
              <w:t>Konzern-Abonnement-Vertrag</w:t>
            </w:r>
          </w:p>
        </w:tc>
        <w:tc>
          <w:tcPr>
            <w:tcW w:w="7128" w:type="dxa"/>
            <w:shd w:val="clear" w:color="auto" w:fill="auto"/>
          </w:tcPr>
          <w:p w:rsidR="008D4EE5" w:rsidRPr="0062435A" w:rsidRDefault="008D4EE5" w:rsidP="00A67771">
            <w:pPr>
              <w:pStyle w:val="ListParagraph"/>
              <w:numPr>
                <w:ilvl w:val="0"/>
                <w:numId w:val="123"/>
              </w:numPr>
              <w:spacing w:before="60" w:after="60"/>
              <w:ind w:left="245"/>
            </w:pPr>
            <w:r>
              <w:rPr>
                <w:rFonts w:ascii="Tahoma" w:hAnsi="Tahoma" w:cs="Tahoma"/>
                <w:b/>
                <w:sz w:val="18"/>
              </w:rPr>
              <w:t>Produkte der Enterprise Desktop-Plattform</w:t>
            </w:r>
          </w:p>
          <w:p w:rsidR="008D4EE5" w:rsidRPr="009123CB" w:rsidRDefault="008D4EE5" w:rsidP="00A67771">
            <w:pPr>
              <w:rPr>
                <w:lang w:val="de-DE"/>
              </w:rPr>
            </w:pPr>
            <w:r>
              <w:rPr>
                <w:rFonts w:cs="Tahoma"/>
                <w:color w:val="000000"/>
                <w:szCs w:val="18"/>
              </w:rPr>
              <w:t xml:space="preserve">Die Enterprise Desktop-Plattformprodukte stehen Kunden mit Konzernvertrag zur Verfügung Die Enterprise Desktop-Plattform umfasst die aktuellste Version von Office </w:t>
            </w:r>
            <w:r>
              <w:rPr>
                <w:rFonts w:cs="Tahoma"/>
                <w:szCs w:val="18"/>
              </w:rPr>
              <w:t>Professional Plus</w:t>
            </w:r>
            <w:r>
              <w:rPr>
                <w:rFonts w:cs="Tahoma"/>
                <w:color w:val="000000"/>
                <w:szCs w:val="18"/>
              </w:rPr>
              <w:t>, Windows 8 Pro-Betriebssystem-Upgrade oder Windows Virtual Desktop Access (VDA) und die Client-Zugriffslizenz der Enterprise CAL Suite</w:t>
            </w:r>
            <w:r w:rsidR="006257A7">
              <w:rPr>
                <w:rFonts w:cs="Tahoma"/>
                <w:color w:val="000000"/>
                <w:szCs w:val="18"/>
              </w:rPr>
              <w:t xml:space="preserve">. </w:t>
            </w:r>
            <w:r w:rsidRPr="009123CB">
              <w:rPr>
                <w:rFonts w:cs="Tahoma"/>
                <w:color w:val="000000"/>
                <w:szCs w:val="18"/>
                <w:lang w:val="de-DE"/>
              </w:rPr>
              <w:t>Die Produkte der Enterprise Desktop-Plattform sind in der Spalte „Konzernvertrag“ mit einem „E“ gekennzeichnet</w:t>
            </w:r>
            <w:r w:rsidR="006257A7">
              <w:rPr>
                <w:rFonts w:cs="Tahoma"/>
                <w:color w:val="000000"/>
                <w:szCs w:val="18"/>
                <w:lang w:val="de-DE"/>
              </w:rPr>
              <w:t xml:space="preserve">. </w:t>
            </w:r>
            <w:r w:rsidRPr="009123CB">
              <w:rPr>
                <w:rFonts w:cs="Tahoma"/>
                <w:color w:val="000000"/>
                <w:szCs w:val="18"/>
                <w:lang w:val="de-DE"/>
              </w:rPr>
              <w:t>Kunden mit Konzern- und Konzern-Abonnement-Vertrag können die Enterprise Desktop-Plattform auch mit MDOP erwerben</w:t>
            </w:r>
            <w:r w:rsidR="006257A7">
              <w:rPr>
                <w:rFonts w:cs="Tahoma"/>
                <w:color w:val="000000"/>
                <w:szCs w:val="18"/>
                <w:lang w:val="de-DE"/>
              </w:rPr>
              <w:t xml:space="preserve">. </w:t>
            </w:r>
          </w:p>
          <w:p w:rsidR="008D4EE5" w:rsidRPr="009123CB" w:rsidRDefault="008D4EE5" w:rsidP="00A67771">
            <w:pPr>
              <w:rPr>
                <w:lang w:val="de-DE"/>
              </w:rPr>
            </w:pPr>
          </w:p>
          <w:p w:rsidR="008D4EE5" w:rsidRPr="0062435A" w:rsidRDefault="008D4EE5" w:rsidP="00A67771">
            <w:pPr>
              <w:pStyle w:val="ListParagraph"/>
              <w:numPr>
                <w:ilvl w:val="0"/>
                <w:numId w:val="123"/>
              </w:numPr>
              <w:spacing w:after="60"/>
              <w:ind w:left="252"/>
            </w:pPr>
            <w:r>
              <w:rPr>
                <w:rFonts w:ascii="Tahoma" w:hAnsi="Tahoma" w:cs="Tahoma"/>
                <w:b/>
                <w:sz w:val="18"/>
              </w:rPr>
              <w:t>Produkte der Professional Desktop-Plattform</w:t>
            </w:r>
          </w:p>
          <w:p w:rsidR="008D4EE5" w:rsidRPr="009123CB" w:rsidRDefault="008D4EE5" w:rsidP="00A67771">
            <w:pPr>
              <w:rPr>
                <w:lang w:val="de-DE"/>
              </w:rPr>
            </w:pPr>
            <w:r w:rsidRPr="009123CB">
              <w:rPr>
                <w:rFonts w:cs="Tahoma"/>
                <w:color w:val="000000"/>
                <w:szCs w:val="18"/>
                <w:lang w:val="de-DE"/>
              </w:rPr>
              <w:t>Die Produkte der Professional Desktop-Plattform stehen Kunden mit Konzernvertrag zur Verfügung</w:t>
            </w:r>
            <w:r w:rsidR="006257A7">
              <w:rPr>
                <w:rFonts w:cs="Tahoma"/>
                <w:color w:val="000000"/>
                <w:szCs w:val="18"/>
                <w:lang w:val="de-DE"/>
              </w:rPr>
              <w:t xml:space="preserve">. </w:t>
            </w:r>
            <w:r w:rsidRPr="009123CB">
              <w:rPr>
                <w:rFonts w:cs="Tahoma"/>
                <w:color w:val="000000"/>
                <w:szCs w:val="18"/>
                <w:lang w:val="de-DE"/>
              </w:rPr>
              <w:t>Die Professional Desktop-Plattform enthält die aktuellste Version von Office Professional Plus, Windows 8 Pro-Betriebssystem-Upgrade oder Windows Virtual Desktop Access (VDA) (nur für Konzernverträge) und die Client-Zugriffslizenz der Core CAL Suite</w:t>
            </w:r>
            <w:r w:rsidR="006257A7">
              <w:rPr>
                <w:rFonts w:cs="Tahoma"/>
                <w:color w:val="000000"/>
                <w:szCs w:val="18"/>
                <w:lang w:val="de-DE"/>
              </w:rPr>
              <w:t xml:space="preserve">. </w:t>
            </w:r>
            <w:r w:rsidRPr="009123CB">
              <w:rPr>
                <w:rFonts w:cs="Tahoma"/>
                <w:color w:val="000000"/>
                <w:szCs w:val="18"/>
                <w:lang w:val="de-DE"/>
              </w:rPr>
              <w:t>Die Produkte der Professional Desktop-Plattform sind in der Spalte „Konzernvertrag“ mit einem „E“ gekennzeichnet</w:t>
            </w:r>
            <w:r w:rsidR="006257A7">
              <w:rPr>
                <w:rFonts w:cs="Tahoma"/>
                <w:color w:val="000000"/>
                <w:szCs w:val="18"/>
                <w:lang w:val="de-DE"/>
              </w:rPr>
              <w:t xml:space="preserve">. </w:t>
            </w:r>
            <w:r w:rsidRPr="009123CB">
              <w:rPr>
                <w:rFonts w:cs="Tahoma"/>
                <w:color w:val="000000"/>
                <w:szCs w:val="18"/>
                <w:lang w:val="de-DE"/>
              </w:rPr>
              <w:t>Kunden mit Konzern- und Konzern-Abonnement-Vertrag können die Professional Desktop-Plattform auch mit MDOP erwerben</w:t>
            </w:r>
            <w:r w:rsidR="006257A7">
              <w:rPr>
                <w:rFonts w:cs="Tahoma"/>
                <w:color w:val="000000"/>
                <w:szCs w:val="18"/>
                <w:lang w:val="de-DE"/>
              </w:rPr>
              <w:t xml:space="preserve">. </w:t>
            </w:r>
          </w:p>
          <w:p w:rsidR="008D4EE5" w:rsidRPr="009123CB" w:rsidRDefault="008D4EE5" w:rsidP="00A67771">
            <w:pPr>
              <w:rPr>
                <w:rFonts w:cs="Tahoma"/>
                <w:szCs w:val="18"/>
                <w:lang w:val="de-DE" w:eastAsia="ja-JP"/>
              </w:rPr>
            </w:pPr>
          </w:p>
        </w:tc>
      </w:tr>
      <w:tr w:rsidR="008D4EE5" w:rsidRPr="00FB51BA" w:rsidTr="00AD4223">
        <w:trPr>
          <w:trHeight w:val="278"/>
        </w:trPr>
        <w:tc>
          <w:tcPr>
            <w:tcW w:w="2070" w:type="dxa"/>
            <w:shd w:val="clear" w:color="auto" w:fill="auto"/>
          </w:tcPr>
          <w:p w:rsidR="008D4EE5" w:rsidRPr="00E64551" w:rsidRDefault="008D4EE5" w:rsidP="00A67771">
            <w:pPr>
              <w:spacing w:before="60"/>
              <w:rPr>
                <w:b/>
                <w:lang w:eastAsia="ja-JP"/>
              </w:rPr>
            </w:pPr>
            <w:r>
              <w:rPr>
                <w:b/>
                <w:sz w:val="20"/>
              </w:rPr>
              <w:t>Open Value und Open Value Subscription (Commercial und Verwaltung)</w:t>
            </w:r>
          </w:p>
        </w:tc>
        <w:tc>
          <w:tcPr>
            <w:tcW w:w="7128" w:type="dxa"/>
            <w:shd w:val="clear" w:color="auto" w:fill="auto"/>
          </w:tcPr>
          <w:p w:rsidR="008D4EE5" w:rsidRPr="0062435A" w:rsidRDefault="008D4EE5" w:rsidP="00A67771">
            <w:pPr>
              <w:pStyle w:val="ListParagraph"/>
              <w:numPr>
                <w:ilvl w:val="0"/>
                <w:numId w:val="123"/>
              </w:numPr>
              <w:spacing w:before="60" w:after="60"/>
              <w:ind w:left="245"/>
            </w:pPr>
            <w:r>
              <w:rPr>
                <w:rFonts w:ascii="Tahoma" w:hAnsi="Tahoma" w:cs="Tahoma"/>
                <w:b/>
                <w:sz w:val="18"/>
              </w:rPr>
              <w:t>Produkte der angepassten Desktop-Plattform</w:t>
            </w:r>
          </w:p>
          <w:p w:rsidR="008D4EE5" w:rsidRPr="009123CB" w:rsidRDefault="008D4EE5" w:rsidP="00AD4223">
            <w:pPr>
              <w:rPr>
                <w:lang w:val="de-DE"/>
              </w:rPr>
            </w:pPr>
            <w:r w:rsidRPr="009123CB">
              <w:rPr>
                <w:rFonts w:cs="Tahoma"/>
                <w:color w:val="000000"/>
                <w:szCs w:val="18"/>
                <w:lang w:val="de-DE"/>
              </w:rPr>
              <w:t>Produkte der angepassten Desktop-Plattform stehen Open Value- und Open</w:t>
            </w:r>
            <w:r w:rsidR="00AD4223">
              <w:rPr>
                <w:rFonts w:cs="Tahoma"/>
                <w:color w:val="000000"/>
                <w:szCs w:val="18"/>
                <w:lang w:val="de-DE"/>
              </w:rPr>
              <w:t> </w:t>
            </w:r>
            <w:r w:rsidRPr="009123CB">
              <w:rPr>
                <w:rFonts w:cs="Tahoma"/>
                <w:color w:val="000000"/>
                <w:szCs w:val="18"/>
                <w:lang w:val="de-DE"/>
              </w:rPr>
              <w:t>Value</w:t>
            </w:r>
            <w:r w:rsidR="00AD4223">
              <w:rPr>
                <w:rFonts w:cs="Tahoma"/>
                <w:color w:val="000000"/>
                <w:szCs w:val="18"/>
                <w:lang w:val="de-DE"/>
              </w:rPr>
              <w:t> </w:t>
            </w:r>
            <w:r w:rsidRPr="009123CB">
              <w:rPr>
                <w:rFonts w:cs="Tahoma"/>
                <w:color w:val="000000"/>
                <w:szCs w:val="18"/>
                <w:lang w:val="de-DE"/>
              </w:rPr>
              <w:t xml:space="preserve">Subscription-Kunden zur Verfügung, wenn sie die </w:t>
            </w:r>
            <w:r w:rsidRPr="009123CB">
              <w:rPr>
                <w:rFonts w:cs="Tahoma"/>
                <w:szCs w:val="18"/>
                <w:lang w:val="de-DE"/>
              </w:rPr>
              <w:t>Organisationsweite/Unternehmensweite</w:t>
            </w:r>
            <w:r w:rsidRPr="009123CB">
              <w:rPr>
                <w:rFonts w:cs="Tahoma"/>
                <w:color w:val="000000"/>
                <w:szCs w:val="18"/>
                <w:lang w:val="de-DE"/>
              </w:rPr>
              <w:t xml:space="preserve"> Option auswählen</w:t>
            </w:r>
            <w:r w:rsidR="006257A7">
              <w:rPr>
                <w:rFonts w:cs="Tahoma"/>
                <w:color w:val="000000"/>
                <w:szCs w:val="18"/>
                <w:lang w:val="de-DE"/>
              </w:rPr>
              <w:t xml:space="preserve">. </w:t>
            </w:r>
            <w:r w:rsidRPr="009123CB">
              <w:rPr>
                <w:rFonts w:cs="Tahoma"/>
                <w:color w:val="000000"/>
                <w:szCs w:val="18"/>
                <w:lang w:val="de-DE"/>
              </w:rPr>
              <w:t>Die angepasste Desktop-Plattform enthält aktuelle Versionen von Office Professional Plus, Windows 8 Pro-Betriebssystem-Upgrade*, die Client-Zugriffslizenz für Enterprise CAL Suite, Core CAL Suite, die Essential Business Server-CAL-Suite oder die Small Business Server-CAL-Suite</w:t>
            </w:r>
            <w:r w:rsidR="006257A7">
              <w:rPr>
                <w:rFonts w:cs="Tahoma"/>
                <w:color w:val="000000"/>
                <w:szCs w:val="18"/>
                <w:lang w:val="de-DE"/>
              </w:rPr>
              <w:t xml:space="preserve">. </w:t>
            </w:r>
            <w:r w:rsidRPr="009123CB">
              <w:rPr>
                <w:rFonts w:cs="Tahoma"/>
                <w:color w:val="000000"/>
                <w:szCs w:val="18"/>
                <w:lang w:val="de-DE"/>
              </w:rPr>
              <w:t>Die Produkte der angepassten Desktop-Plattform sind in den Open Value-Spalten mit einem „E“ gekennzeichnet</w:t>
            </w:r>
            <w:r w:rsidR="006257A7">
              <w:rPr>
                <w:rFonts w:cs="Tahoma"/>
                <w:color w:val="000000"/>
                <w:szCs w:val="18"/>
                <w:lang w:val="de-DE"/>
              </w:rPr>
              <w:t xml:space="preserve">. </w:t>
            </w:r>
          </w:p>
          <w:p w:rsidR="008D4EE5" w:rsidRPr="009123CB" w:rsidRDefault="008D4EE5" w:rsidP="00A67771">
            <w:pPr>
              <w:rPr>
                <w:rFonts w:cs="Tahoma"/>
                <w:szCs w:val="18"/>
                <w:lang w:val="de-DE" w:eastAsia="ja-JP"/>
              </w:rPr>
            </w:pPr>
          </w:p>
        </w:tc>
      </w:tr>
      <w:tr w:rsidR="008D4EE5" w:rsidRPr="00FB51BA" w:rsidTr="00AD4223">
        <w:trPr>
          <w:trHeight w:val="278"/>
        </w:trPr>
        <w:tc>
          <w:tcPr>
            <w:tcW w:w="2070" w:type="dxa"/>
            <w:shd w:val="clear" w:color="auto" w:fill="auto"/>
          </w:tcPr>
          <w:p w:rsidR="008D4EE5" w:rsidRPr="009123CB" w:rsidRDefault="008D4EE5" w:rsidP="00A67771">
            <w:pPr>
              <w:spacing w:before="60"/>
              <w:rPr>
                <w:b/>
                <w:lang w:val="de-DE" w:eastAsia="ja-JP"/>
              </w:rPr>
            </w:pPr>
            <w:r w:rsidRPr="009123CB">
              <w:rPr>
                <w:b/>
                <w:sz w:val="20"/>
                <w:lang w:val="de-DE"/>
              </w:rPr>
              <w:t>Plattformen für Forschung &amp; Lehre (EES, OVS-ES und School-Vertrag)</w:t>
            </w:r>
          </w:p>
        </w:tc>
        <w:tc>
          <w:tcPr>
            <w:tcW w:w="7128" w:type="dxa"/>
            <w:shd w:val="clear" w:color="auto" w:fill="auto"/>
          </w:tcPr>
          <w:p w:rsidR="008D4EE5" w:rsidRPr="009123CB" w:rsidRDefault="008D4EE5" w:rsidP="00A67771">
            <w:pPr>
              <w:pStyle w:val="ListParagraph"/>
              <w:numPr>
                <w:ilvl w:val="0"/>
                <w:numId w:val="123"/>
              </w:numPr>
              <w:spacing w:before="60" w:after="60"/>
              <w:ind w:left="245"/>
              <w:contextualSpacing w:val="0"/>
              <w:rPr>
                <w:lang w:val="de-DE"/>
              </w:rPr>
            </w:pPr>
            <w:r w:rsidRPr="009123CB">
              <w:rPr>
                <w:rFonts w:ascii="Tahoma" w:hAnsi="Tahoma" w:cs="Tahoma"/>
                <w:b/>
                <w:sz w:val="18"/>
                <w:lang w:val="de-DE"/>
              </w:rPr>
              <w:t>Produkte der Education Desktop-Plattform und der School Desktop-Plattform mit Enterprise CAL Suite</w:t>
            </w:r>
          </w:p>
          <w:p w:rsidR="008D4EE5" w:rsidRPr="009123CB" w:rsidRDefault="008D4EE5" w:rsidP="00A67771">
            <w:pPr>
              <w:pStyle w:val="ListParagraph"/>
              <w:numPr>
                <w:ilvl w:val="0"/>
                <w:numId w:val="123"/>
              </w:numPr>
              <w:spacing w:after="60"/>
              <w:ind w:left="252"/>
              <w:rPr>
                <w:lang w:val="de-DE"/>
              </w:rPr>
            </w:pPr>
            <w:r w:rsidRPr="009123CB">
              <w:rPr>
                <w:rFonts w:ascii="Tahoma" w:hAnsi="Tahoma" w:cs="Tahoma"/>
                <w:b/>
                <w:sz w:val="18"/>
                <w:lang w:val="de-DE"/>
              </w:rPr>
              <w:t>Produkte der Education Desktop-Plattform und der School Desktop-Plattform mit Core CAL Suite</w:t>
            </w:r>
          </w:p>
          <w:p w:rsidR="008D4EE5" w:rsidRPr="009123CB" w:rsidRDefault="008D4EE5" w:rsidP="00A67771">
            <w:pPr>
              <w:rPr>
                <w:lang w:val="de-DE"/>
              </w:rPr>
            </w:pPr>
            <w:r w:rsidRPr="009123CB">
              <w:rPr>
                <w:rFonts w:cs="Tahoma"/>
                <w:szCs w:val="18"/>
                <w:lang w:val="de-DE"/>
              </w:rPr>
              <w:t>Die Produkte der Education Desktop-Plattform stehen Kunden mit Beitritt für Bildungslösungen (EES) und Open Value Subscription – Bildungslösungen (OVS-ES) zur Verfügung</w:t>
            </w:r>
            <w:r w:rsidR="006257A7">
              <w:rPr>
                <w:rFonts w:cs="Tahoma"/>
                <w:szCs w:val="18"/>
                <w:lang w:val="de-DE"/>
              </w:rPr>
              <w:t xml:space="preserve">. </w:t>
            </w:r>
            <w:r w:rsidRPr="009123CB">
              <w:rPr>
                <w:rFonts w:cs="Tahoma"/>
                <w:szCs w:val="18"/>
                <w:lang w:val="de-DE"/>
              </w:rPr>
              <w:t>Die Produkte der School Desktop-Plattform stehen Kunden mit School-Vertrag zur Verfügung</w:t>
            </w:r>
            <w:r w:rsidR="006257A7">
              <w:rPr>
                <w:rFonts w:cs="Tahoma"/>
                <w:szCs w:val="18"/>
                <w:lang w:val="de-DE"/>
              </w:rPr>
              <w:t xml:space="preserve">. </w:t>
            </w:r>
            <w:r w:rsidRPr="009123CB">
              <w:rPr>
                <w:rFonts w:cs="Tahoma"/>
                <w:szCs w:val="18"/>
                <w:lang w:val="de-DE"/>
              </w:rPr>
              <w:t>Die Education Desktop-Plattform mit Enterprise CAL Suite und die School Desktop-Plattform mit Enterprise CAL Suite enthalten die aktuellste Version von Office Professional Plus oder Office für Mac, Windows 8 Pro-Betriebssystem-Upgrade und die Client-Zugriffslizenz für Enterprise CAL Suite</w:t>
            </w:r>
            <w:r w:rsidR="006257A7">
              <w:rPr>
                <w:rFonts w:cs="Tahoma"/>
                <w:szCs w:val="18"/>
                <w:lang w:val="de-DE"/>
              </w:rPr>
              <w:t xml:space="preserve">. </w:t>
            </w:r>
          </w:p>
          <w:p w:rsidR="008D4EE5" w:rsidRPr="009123CB" w:rsidRDefault="008D4EE5" w:rsidP="00A67771">
            <w:pPr>
              <w:ind w:left="360"/>
              <w:rPr>
                <w:lang w:val="de-DE"/>
              </w:rPr>
            </w:pPr>
          </w:p>
          <w:p w:rsidR="008D4EE5" w:rsidRPr="009123CB" w:rsidRDefault="008D4EE5" w:rsidP="00A67771">
            <w:pPr>
              <w:rPr>
                <w:lang w:val="de-DE"/>
              </w:rPr>
            </w:pPr>
            <w:r w:rsidRPr="009123CB">
              <w:rPr>
                <w:rFonts w:cs="Tahoma"/>
                <w:iCs/>
                <w:szCs w:val="18"/>
                <w:lang w:val="de-DE"/>
              </w:rPr>
              <w:t>Das Produkt der School Desktop-Plattform auf der Preisliste zählt als 3 Einheiten</w:t>
            </w:r>
            <w:r w:rsidR="006257A7">
              <w:rPr>
                <w:rFonts w:cs="Tahoma"/>
                <w:iCs/>
                <w:szCs w:val="18"/>
                <w:lang w:val="de-DE"/>
              </w:rPr>
              <w:t xml:space="preserve">. </w:t>
            </w:r>
          </w:p>
          <w:p w:rsidR="008D4EE5" w:rsidRPr="009123CB" w:rsidRDefault="008D4EE5" w:rsidP="00A67771">
            <w:pPr>
              <w:rPr>
                <w:lang w:val="de-DE"/>
              </w:rPr>
            </w:pPr>
          </w:p>
          <w:p w:rsidR="008D4EE5" w:rsidRPr="009123CB" w:rsidRDefault="008D4EE5" w:rsidP="00AD4223">
            <w:pPr>
              <w:tabs>
                <w:tab w:val="left" w:pos="8640"/>
              </w:tabs>
              <w:rPr>
                <w:lang w:val="de-DE"/>
              </w:rPr>
            </w:pPr>
            <w:r w:rsidRPr="009123CB">
              <w:rPr>
                <w:rFonts w:cs="Tahoma"/>
                <w:b/>
                <w:bCs/>
                <w:color w:val="000000"/>
                <w:szCs w:val="18"/>
                <w:lang w:val="de-DE"/>
              </w:rPr>
              <w:t xml:space="preserve">Anmerkung: </w:t>
            </w:r>
            <w:r w:rsidRPr="009123CB">
              <w:rPr>
                <w:rFonts w:cs="Tahoma"/>
                <w:bCs/>
                <w:color w:val="000000"/>
                <w:szCs w:val="18"/>
                <w:lang w:val="de-DE"/>
              </w:rPr>
              <w:t>EES- und OVS-ES-Kunden sind nicht berechtigt, Produkte der Desktop-Plattform und einzelne CAL-Produkte, die in der Core CAL Suite oder der Enterprise CAL Suite enthalten sind, nur für einen Teil ihrer organisationsweiten Anzahl und/oder Anzahl für Studenten auszuwählen</w:t>
            </w:r>
            <w:r w:rsidR="006257A7">
              <w:rPr>
                <w:rFonts w:cs="Tahoma"/>
                <w:bCs/>
                <w:color w:val="000000"/>
                <w:szCs w:val="18"/>
                <w:lang w:val="de-DE"/>
              </w:rPr>
              <w:t xml:space="preserve">. </w:t>
            </w:r>
            <w:r w:rsidRPr="009123CB">
              <w:rPr>
                <w:rFonts w:cs="Tahoma"/>
                <w:bCs/>
                <w:color w:val="000000"/>
                <w:szCs w:val="18"/>
                <w:lang w:val="de-DE"/>
              </w:rPr>
              <w:t>Wenn zum Beispiel das Abonnement für eine organisationsweite Anzahl von 1</w:t>
            </w:r>
            <w:r w:rsidR="00844B7C">
              <w:rPr>
                <w:rFonts w:cs="Tahoma"/>
                <w:bCs/>
                <w:color w:val="000000"/>
                <w:szCs w:val="18"/>
                <w:lang w:val="de-DE"/>
              </w:rPr>
              <w:t>.</w:t>
            </w:r>
            <w:r w:rsidRPr="009123CB">
              <w:rPr>
                <w:rFonts w:cs="Tahoma"/>
                <w:bCs/>
                <w:color w:val="000000"/>
                <w:szCs w:val="18"/>
                <w:lang w:val="de-DE"/>
              </w:rPr>
              <w:t>200 Vollzeitbeschäftigte Mitarbeiter gilt, gelten die</w:t>
            </w:r>
            <w:r w:rsidR="00AD4223">
              <w:rPr>
                <w:rFonts w:cs="Tahoma"/>
                <w:bCs/>
                <w:color w:val="000000"/>
                <w:szCs w:val="18"/>
                <w:lang w:val="de-DE"/>
              </w:rPr>
              <w:t> </w:t>
            </w:r>
            <w:r w:rsidRPr="009123CB">
              <w:rPr>
                <w:rFonts w:cs="Tahoma"/>
                <w:bCs/>
                <w:color w:val="000000"/>
                <w:szCs w:val="18"/>
                <w:lang w:val="de-DE"/>
              </w:rPr>
              <w:t>ausgewählten Produkte der Desktop-Plattform und die ausgewählten CAL Suite-Komponentenprodukte für die organisationsweite Anzahl von 1</w:t>
            </w:r>
            <w:r w:rsidR="00844B7C">
              <w:rPr>
                <w:rFonts w:cs="Tahoma"/>
                <w:bCs/>
                <w:color w:val="000000"/>
                <w:szCs w:val="18"/>
                <w:lang w:val="de-DE"/>
              </w:rPr>
              <w:t>.</w:t>
            </w:r>
            <w:r w:rsidRPr="009123CB">
              <w:rPr>
                <w:rFonts w:cs="Tahoma"/>
                <w:bCs/>
                <w:color w:val="000000"/>
                <w:szCs w:val="18"/>
                <w:lang w:val="de-DE"/>
              </w:rPr>
              <w:t>000, selbst wenn ein</w:t>
            </w:r>
            <w:r w:rsidR="00AD4223">
              <w:rPr>
                <w:rFonts w:cs="Tahoma"/>
                <w:bCs/>
                <w:color w:val="000000"/>
                <w:szCs w:val="18"/>
                <w:lang w:val="de-DE"/>
              </w:rPr>
              <w:t> </w:t>
            </w:r>
            <w:r w:rsidRPr="009123CB">
              <w:rPr>
                <w:rFonts w:cs="Tahoma"/>
                <w:bCs/>
                <w:color w:val="000000"/>
                <w:szCs w:val="18"/>
                <w:lang w:val="de-DE"/>
              </w:rPr>
              <w:t>Teil dieser PCs ein bestimmtes Produkt der Desktop-Plattform oder ein CAL-Komponentenprodukt ausführt</w:t>
            </w:r>
            <w:r w:rsidR="006257A7">
              <w:rPr>
                <w:rFonts w:cs="Tahoma"/>
                <w:bCs/>
                <w:color w:val="000000"/>
                <w:szCs w:val="18"/>
                <w:lang w:val="de-DE"/>
              </w:rPr>
              <w:t xml:space="preserve">. </w:t>
            </w:r>
          </w:p>
          <w:p w:rsidR="008D4EE5" w:rsidRPr="009123CB" w:rsidRDefault="008D4EE5" w:rsidP="00A67771">
            <w:pPr>
              <w:rPr>
                <w:rFonts w:cs="Tahoma"/>
                <w:szCs w:val="18"/>
                <w:lang w:val="de-DE" w:eastAsia="ja-JP"/>
              </w:rPr>
            </w:pPr>
          </w:p>
        </w:tc>
      </w:tr>
    </w:tbl>
    <w:p w:rsidR="008D4EE5" w:rsidRPr="009123CB" w:rsidRDefault="008D4EE5" w:rsidP="008D4EE5">
      <w:pPr>
        <w:pStyle w:val="Heading3"/>
        <w:ind w:right="720"/>
        <w:rPr>
          <w:lang w:val="de-DE"/>
        </w:rPr>
      </w:pPr>
      <w:bookmarkStart w:id="626" w:name="_Toc336338193"/>
      <w:bookmarkStart w:id="627" w:name="_Toc363998930"/>
      <w:r w:rsidRPr="009123CB">
        <w:rPr>
          <w:rFonts w:ascii="Tahoma" w:hAnsi="Tahoma" w:cs="Tahoma"/>
          <w:sz w:val="24"/>
          <w:szCs w:val="22"/>
          <w:lang w:val="de-DE"/>
        </w:rPr>
        <w:t>Definition von Verwaltung für Qualifizierende Geräte</w:t>
      </w:r>
      <w:bookmarkEnd w:id="626"/>
      <w:bookmarkEnd w:id="627"/>
    </w:p>
    <w:p w:rsidR="008D4EE5" w:rsidRPr="009123CB" w:rsidRDefault="008D4EE5" w:rsidP="008D4EE5">
      <w:pPr>
        <w:rPr>
          <w:lang w:val="de-DE"/>
        </w:rPr>
      </w:pPr>
    </w:p>
    <w:p w:rsidR="008D4EE5" w:rsidRPr="00F83EE5" w:rsidRDefault="008D4EE5" w:rsidP="008D4EE5">
      <w:pPr>
        <w:rPr>
          <w:lang w:val="de-DE"/>
        </w:rPr>
      </w:pPr>
      <w:r w:rsidRPr="009123CB">
        <w:rPr>
          <w:rFonts w:cs="Tahoma"/>
          <w:lang w:val="de-DE"/>
        </w:rPr>
        <w:t>Ein Volumenlizenzkunde „verwaltet“ Geräte, auf denen er eine oder mehrere Betriebssystemumgebungen direkt oder indirekt kontrolliert</w:t>
      </w:r>
      <w:r w:rsidR="006257A7">
        <w:rPr>
          <w:rFonts w:cs="Tahoma"/>
          <w:lang w:val="de-DE"/>
        </w:rPr>
        <w:t xml:space="preserve">. </w:t>
      </w:r>
      <w:r w:rsidRPr="00F83EE5">
        <w:rPr>
          <w:rFonts w:cs="Tahoma"/>
          <w:lang w:val="de-DE"/>
        </w:rPr>
        <w:t>Beispielsweise verwaltet ein Volumenlizenzkunde Geräte,</w:t>
      </w:r>
    </w:p>
    <w:p w:rsidR="008D4EE5" w:rsidRPr="00F83EE5" w:rsidRDefault="008D4EE5" w:rsidP="008D4EE5">
      <w:pPr>
        <w:spacing w:after="60"/>
        <w:rPr>
          <w:lang w:val="de-DE"/>
        </w:rPr>
      </w:pPr>
    </w:p>
    <w:p w:rsidR="008D4EE5" w:rsidRPr="009123CB" w:rsidRDefault="008D4EE5" w:rsidP="008D4EE5">
      <w:pPr>
        <w:numPr>
          <w:ilvl w:val="0"/>
          <w:numId w:val="19"/>
        </w:numPr>
        <w:spacing w:after="60"/>
        <w:rPr>
          <w:lang w:val="de-DE"/>
        </w:rPr>
      </w:pPr>
      <w:r w:rsidRPr="009123CB">
        <w:rPr>
          <w:rFonts w:cs="Tahoma"/>
          <w:lang w:val="de-DE"/>
        </w:rPr>
        <w:t>denen er den Beitritt zu seiner Domäne erlaubt ODER</w:t>
      </w:r>
    </w:p>
    <w:p w:rsidR="008D4EE5" w:rsidRPr="009123CB" w:rsidRDefault="008D4EE5" w:rsidP="008D4EE5">
      <w:pPr>
        <w:numPr>
          <w:ilvl w:val="0"/>
          <w:numId w:val="19"/>
        </w:numPr>
        <w:spacing w:after="60"/>
        <w:rPr>
          <w:lang w:val="de-DE"/>
        </w:rPr>
      </w:pPr>
      <w:r w:rsidRPr="009123CB">
        <w:rPr>
          <w:rFonts w:cs="Tahoma"/>
          <w:lang w:val="de-DE"/>
        </w:rPr>
        <w:t>die er als Voraussetzung für die Verwendung von Anwendungen in seinen Geschäftsräumen authentifiziert ODER</w:t>
      </w:r>
    </w:p>
    <w:p w:rsidR="008D4EE5" w:rsidRPr="009123CB" w:rsidRDefault="008D4EE5" w:rsidP="00B33F60">
      <w:pPr>
        <w:numPr>
          <w:ilvl w:val="0"/>
          <w:numId w:val="19"/>
        </w:numPr>
        <w:spacing w:after="60"/>
        <w:rPr>
          <w:lang w:val="de-DE"/>
        </w:rPr>
      </w:pPr>
      <w:r w:rsidRPr="009123CB">
        <w:rPr>
          <w:rFonts w:cs="Tahoma"/>
          <w:lang w:val="de-DE"/>
        </w:rPr>
        <w:t>auf denen er Agents installiert (z</w:t>
      </w:r>
      <w:r w:rsidR="006257A7">
        <w:rPr>
          <w:rFonts w:cs="Tahoma"/>
          <w:lang w:val="de-DE"/>
        </w:rPr>
        <w:t xml:space="preserve">. </w:t>
      </w:r>
      <w:r w:rsidRPr="009123CB">
        <w:rPr>
          <w:rFonts w:cs="Tahoma"/>
          <w:lang w:val="de-DE"/>
        </w:rPr>
        <w:t>B</w:t>
      </w:r>
      <w:r w:rsidR="006257A7">
        <w:rPr>
          <w:rFonts w:cs="Tahoma"/>
          <w:lang w:val="de-DE"/>
        </w:rPr>
        <w:t xml:space="preserve">. </w:t>
      </w:r>
      <w:r w:rsidRPr="009123CB">
        <w:rPr>
          <w:rFonts w:cs="Tahoma"/>
          <w:lang w:val="de-DE"/>
        </w:rPr>
        <w:t>Antiviren-, Antimalware- oder sonstige Agents, die durch die</w:t>
      </w:r>
      <w:r w:rsidR="00B33F60">
        <w:rPr>
          <w:rFonts w:cs="Tahoma"/>
          <w:lang w:val="de-DE"/>
        </w:rPr>
        <w:t> </w:t>
      </w:r>
      <w:r w:rsidRPr="009123CB">
        <w:rPr>
          <w:rFonts w:cs="Tahoma"/>
          <w:lang w:val="de-DE"/>
        </w:rPr>
        <w:t>Richtlinie des Kunden vorgeschrieben sind) ODER</w:t>
      </w:r>
    </w:p>
    <w:p w:rsidR="008D4EE5" w:rsidRPr="009123CB" w:rsidRDefault="008D4EE5" w:rsidP="00B33F60">
      <w:pPr>
        <w:numPr>
          <w:ilvl w:val="0"/>
          <w:numId w:val="19"/>
        </w:numPr>
        <w:spacing w:after="60"/>
        <w:rPr>
          <w:lang w:val="de-DE"/>
        </w:rPr>
      </w:pPr>
      <w:r w:rsidRPr="009123CB">
        <w:rPr>
          <w:rFonts w:cs="Tahoma"/>
          <w:lang w:val="de-DE"/>
        </w:rPr>
        <w:t>auf die er direkt oder indirekt Gruppenrichtlinien anwendet oder auf denen er diese durchsetzt*</w:t>
      </w:r>
      <w:r w:rsidR="00B33F60">
        <w:rPr>
          <w:rFonts w:cs="Tahoma"/>
          <w:lang w:val="de-DE"/>
        </w:rPr>
        <w:t> </w:t>
      </w:r>
      <w:r w:rsidRPr="009123CB">
        <w:rPr>
          <w:rFonts w:cs="Tahoma"/>
          <w:lang w:val="de-DE"/>
        </w:rPr>
        <w:t>ODER</w:t>
      </w:r>
    </w:p>
    <w:p w:rsidR="008D4EE5" w:rsidRPr="009123CB" w:rsidRDefault="008D4EE5" w:rsidP="008D4EE5">
      <w:pPr>
        <w:numPr>
          <w:ilvl w:val="0"/>
          <w:numId w:val="19"/>
        </w:numPr>
        <w:spacing w:after="60"/>
        <w:rPr>
          <w:lang w:val="de-DE"/>
        </w:rPr>
      </w:pPr>
      <w:r w:rsidRPr="009123CB">
        <w:rPr>
          <w:rFonts w:cs="Tahoma"/>
          <w:lang w:val="de-DE"/>
        </w:rPr>
        <w:t>auf denen er Daten zu Hardware oder Software, die direkt oder indirekt mit einer Betriebssystemumgebung im Zusammenhang steht, anfordert oder erhält, diese Hardware oder Software konfiguriert oder Anweisungen dazu gibt ODER</w:t>
      </w:r>
    </w:p>
    <w:p w:rsidR="008D4EE5" w:rsidRPr="009123CB" w:rsidRDefault="008D4EE5" w:rsidP="00B33F60">
      <w:pPr>
        <w:numPr>
          <w:ilvl w:val="0"/>
          <w:numId w:val="19"/>
        </w:numPr>
        <w:spacing w:after="60"/>
        <w:rPr>
          <w:lang w:val="de-DE"/>
        </w:rPr>
      </w:pPr>
      <w:r w:rsidRPr="009123CB">
        <w:rPr>
          <w:rFonts w:cs="Tahoma"/>
          <w:lang w:val="de-DE"/>
        </w:rPr>
        <w:t>denen er den Zugriff auf eine Virtual Desktop-Infrastruktur (VDI) außerhalb von Windows Software</w:t>
      </w:r>
      <w:r w:rsidR="00B33F60">
        <w:rPr>
          <w:rFonts w:cs="Tahoma"/>
          <w:lang w:val="de-DE"/>
        </w:rPr>
        <w:t> </w:t>
      </w:r>
      <w:r w:rsidRPr="009123CB">
        <w:rPr>
          <w:rFonts w:cs="Tahoma"/>
          <w:lang w:val="de-DE"/>
        </w:rPr>
        <w:t>Assurance, Windows Intune (Pro Gerät) oder Windows Virtual Desktop Access-Roamingrechten erlaubt</w:t>
      </w:r>
      <w:r w:rsidR="006257A7">
        <w:rPr>
          <w:rFonts w:cs="Tahoma"/>
          <w:lang w:val="de-DE"/>
        </w:rPr>
        <w:t xml:space="preserve">. </w:t>
      </w:r>
    </w:p>
    <w:p w:rsidR="008D4EE5" w:rsidRPr="009123CB" w:rsidRDefault="008D4EE5" w:rsidP="008D4EE5">
      <w:pPr>
        <w:ind w:left="1440"/>
        <w:rPr>
          <w:lang w:val="de-DE"/>
        </w:rPr>
      </w:pPr>
    </w:p>
    <w:p w:rsidR="008D4EE5" w:rsidRPr="009123CB" w:rsidRDefault="008D4EE5" w:rsidP="00B33F60">
      <w:pPr>
        <w:rPr>
          <w:lang w:val="de-DE"/>
        </w:rPr>
      </w:pPr>
      <w:r w:rsidRPr="009123CB">
        <w:rPr>
          <w:rFonts w:cs="Tahoma"/>
          <w:lang w:val="de-DE"/>
        </w:rPr>
        <w:t>Ein Gerät, das unter Roamingrechten auf eine VDI zugreift oder Windows To Go auf einem Qualifizierenden Gerät Dritter nur außerhalb der Geschäftsräume des Kunden nutzt und nicht für andere Zwecke als die in diesem Dokument</w:t>
      </w:r>
      <w:r w:rsidR="00B33F60">
        <w:rPr>
          <w:rFonts w:cs="Tahoma"/>
          <w:lang w:val="de-DE"/>
        </w:rPr>
        <w:t> </w:t>
      </w:r>
      <w:r w:rsidRPr="009123CB">
        <w:rPr>
          <w:rFonts w:cs="Tahoma"/>
          <w:lang w:val="de-DE"/>
        </w:rPr>
        <w:t>beschriebenen verwaltet wird, gilt nicht als „verwaltet“ im Sinne dieser Definition</w:t>
      </w:r>
      <w:r w:rsidR="006257A7">
        <w:rPr>
          <w:rFonts w:cs="Tahoma"/>
          <w:lang w:val="de-DE"/>
        </w:rPr>
        <w:t xml:space="preserve">. </w:t>
      </w:r>
    </w:p>
    <w:p w:rsidR="008D4EE5" w:rsidRPr="009123CB" w:rsidRDefault="008D4EE5" w:rsidP="008D4EE5">
      <w:pPr>
        <w:rPr>
          <w:lang w:val="de-DE"/>
        </w:rPr>
      </w:pPr>
    </w:p>
    <w:p w:rsidR="008D4EE5" w:rsidRPr="009123CB" w:rsidRDefault="008D4EE5" w:rsidP="00B33F60">
      <w:pPr>
        <w:rPr>
          <w:lang w:val="de-DE"/>
        </w:rPr>
      </w:pPr>
      <w:r w:rsidRPr="009123CB">
        <w:rPr>
          <w:rFonts w:cs="Tahoma"/>
          <w:lang w:val="de-DE"/>
        </w:rPr>
        <w:t>*Ein Volumenlizenzkunde, der nach aktueller Betriebssystemsoftware oder Viren-/Sicherheitsupdates sucht und den</w:t>
      </w:r>
      <w:r w:rsidR="00B33F60">
        <w:rPr>
          <w:rFonts w:cs="Tahoma"/>
          <w:lang w:val="de-DE"/>
        </w:rPr>
        <w:t> </w:t>
      </w:r>
      <w:r w:rsidRPr="009123CB">
        <w:rPr>
          <w:rFonts w:cs="Tahoma"/>
          <w:lang w:val="de-DE"/>
        </w:rPr>
        <w:t>Nutzer nur dann informiert, wenn diese nicht aktuell sind, „setzt keine Gruppenrichtlinie“ im Sinne dieses Beispiels durch</w:t>
      </w:r>
      <w:r w:rsidR="006257A7">
        <w:rPr>
          <w:rFonts w:cs="Tahoma"/>
          <w:lang w:val="de-DE"/>
        </w:rPr>
        <w:t xml:space="preserve">. </w:t>
      </w:r>
    </w:p>
    <w:p w:rsidR="008D4EE5" w:rsidRPr="009123CB" w:rsidRDefault="008D4EE5" w:rsidP="008D4EE5">
      <w:pPr>
        <w:rPr>
          <w:lang w:val="de-DE"/>
        </w:rPr>
      </w:pPr>
    </w:p>
    <w:p w:rsidR="008D4EE5" w:rsidRPr="009123CB" w:rsidRDefault="008D4EE5" w:rsidP="008D4EE5">
      <w:pPr>
        <w:pStyle w:val="Heading3"/>
        <w:rPr>
          <w:lang w:val="de-DE"/>
        </w:rPr>
      </w:pPr>
      <w:bookmarkStart w:id="628" w:name="_Toc243157227"/>
      <w:bookmarkStart w:id="629" w:name="_Toc336338194"/>
      <w:bookmarkStart w:id="630" w:name="_Toc363998931"/>
      <w:r w:rsidRPr="009123CB">
        <w:rPr>
          <w:rFonts w:ascii="Tahoma" w:hAnsi="Tahoma"/>
          <w:sz w:val="24"/>
          <w:lang w:val="de-DE"/>
        </w:rPr>
        <w:t>Für Up-to-Date-Nachlass (UTD) qualifizierte Produkte</w:t>
      </w:r>
      <w:bookmarkEnd w:id="628"/>
      <w:bookmarkEnd w:id="629"/>
      <w:bookmarkEnd w:id="630"/>
    </w:p>
    <w:p w:rsidR="008D4EE5" w:rsidRPr="009123CB" w:rsidRDefault="008D4EE5" w:rsidP="008D4EE5">
      <w:pPr>
        <w:pStyle w:val="Heading3"/>
        <w:rPr>
          <w:lang w:val="de-DE"/>
        </w:rPr>
      </w:pPr>
    </w:p>
    <w:p w:rsidR="008D4EE5" w:rsidRPr="009123CB" w:rsidRDefault="008D4EE5" w:rsidP="00B33F60">
      <w:pPr>
        <w:rPr>
          <w:lang w:val="de-DE"/>
        </w:rPr>
      </w:pPr>
      <w:r w:rsidRPr="009123CB">
        <w:rPr>
          <w:lang w:val="de-DE"/>
        </w:rPr>
        <w:t>Open Value Subscription-Kunden haben im ersten Jahr ihres Abonnementvertrages Anspruch auf den UTD-Nachlass</w:t>
      </w:r>
      <w:r w:rsidR="006257A7">
        <w:rPr>
          <w:lang w:val="de-DE"/>
        </w:rPr>
        <w:t xml:space="preserve">. </w:t>
      </w:r>
      <w:r w:rsidRPr="009123CB">
        <w:rPr>
          <w:lang w:val="de-DE"/>
        </w:rPr>
        <w:t>Qualifizierte Kunden sind berechtigt, die unten genannten UTD-Lizenzen zu erwerben, wenn sie über OEM,</w:t>
      </w:r>
      <w:r w:rsidR="00B33F60">
        <w:rPr>
          <w:lang w:val="de-DE"/>
        </w:rPr>
        <w:t> </w:t>
      </w:r>
      <w:r w:rsidRPr="009123CB">
        <w:rPr>
          <w:lang w:val="de-DE"/>
        </w:rPr>
        <w:t>FPP oder Volumenlizenzierung für eine der entsprechenden qualifizierenden früheren oder aktuellen Versionen lizenziert sind</w:t>
      </w:r>
      <w:r w:rsidR="006257A7">
        <w:rPr>
          <w:lang w:val="de-DE"/>
        </w:rPr>
        <w:t xml:space="preserve">. </w:t>
      </w:r>
      <w:r w:rsidRPr="009123CB">
        <w:rPr>
          <w:color w:val="000000"/>
          <w:lang w:val="de-DE"/>
        </w:rPr>
        <w:t>Im Allgemeinen wird dieser Nachlass nur für die aktuelle Version des Produktes oder die unmittelbare Vorgängerversion gewährt</w:t>
      </w:r>
      <w:r w:rsidR="006257A7">
        <w:rPr>
          <w:color w:val="000000"/>
          <w:lang w:val="de-DE"/>
        </w:rPr>
        <w:t xml:space="preserve">. </w:t>
      </w:r>
      <w:r w:rsidRPr="009123CB">
        <w:rPr>
          <w:color w:val="000000"/>
          <w:lang w:val="de-DE"/>
        </w:rPr>
        <w:t>Der UTD-Nachlass ist plattformunabhängig, daher ist Mac ebenfalls für diesen Nachlass qualifiziert</w:t>
      </w:r>
      <w:r w:rsidR="006257A7">
        <w:rPr>
          <w:color w:val="000000"/>
          <w:lang w:val="de-DE"/>
        </w:rPr>
        <w:t xml:space="preserve">. </w:t>
      </w:r>
    </w:p>
    <w:p w:rsidR="008D4EE5" w:rsidRPr="009123CB" w:rsidRDefault="008D4EE5" w:rsidP="008D4EE5">
      <w:pPr>
        <w:pStyle w:val="FootnoteBulletLevel1"/>
        <w:ind w:left="360" w:right="720" w:firstLine="0"/>
        <w:rPr>
          <w:lang w:val="de-DE"/>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8D4EE5" w:rsidTr="00A67771">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8D4EE5" w:rsidRDefault="008D4EE5" w:rsidP="00A67771">
            <w:pPr>
              <w:ind w:right="720"/>
              <w:jc w:val="center"/>
              <w:rPr>
                <w:rFonts w:eastAsia="Calibri" w:cs="Tahoma"/>
                <w:b/>
                <w:bCs/>
                <w:color w:val="404040"/>
              </w:rPr>
            </w:pPr>
            <w:r>
              <w:rPr>
                <w:rFonts w:cs="Tahoma"/>
                <w:b/>
                <w:bCs/>
              </w:rPr>
              <w:t>UTD-Lizenz</w:t>
            </w:r>
          </w:p>
        </w:tc>
        <w:tc>
          <w:tcPr>
            <w:tcW w:w="4298" w:type="dxa"/>
            <w:tcBorders>
              <w:top w:val="single" w:sz="8" w:space="0" w:color="auto"/>
              <w:left w:val="nil"/>
              <w:bottom w:val="single" w:sz="8" w:space="0" w:color="auto"/>
              <w:right w:val="single" w:sz="8" w:space="0" w:color="auto"/>
            </w:tcBorders>
            <w:shd w:val="clear" w:color="auto" w:fill="FFCC99"/>
          </w:tcPr>
          <w:p w:rsidR="008D4EE5" w:rsidRDefault="008D4EE5" w:rsidP="00A67771">
            <w:pPr>
              <w:ind w:right="720"/>
              <w:jc w:val="center"/>
              <w:rPr>
                <w:rFonts w:eastAsia="Calibri" w:cs="Tahoma"/>
                <w:b/>
                <w:bCs/>
                <w:color w:val="404040"/>
              </w:rPr>
            </w:pPr>
            <w:r>
              <w:rPr>
                <w:rFonts w:cs="Tahoma"/>
                <w:b/>
                <w:bCs/>
              </w:rPr>
              <w:t>Qualifizierende Version</w:t>
            </w:r>
          </w:p>
        </w:tc>
      </w:tr>
      <w:tr w:rsidR="008D4EE5" w:rsidTr="00A67771">
        <w:trPr>
          <w:trHeight w:val="576"/>
        </w:trPr>
        <w:tc>
          <w:tcPr>
            <w:tcW w:w="3809" w:type="dxa"/>
            <w:tcBorders>
              <w:top w:val="nil"/>
              <w:left w:val="single" w:sz="8" w:space="0" w:color="auto"/>
              <w:bottom w:val="single" w:sz="8" w:space="0" w:color="auto"/>
              <w:right w:val="single" w:sz="8" w:space="0" w:color="auto"/>
            </w:tcBorders>
          </w:tcPr>
          <w:p w:rsidR="008D4EE5" w:rsidRPr="009123CB" w:rsidRDefault="008D4EE5" w:rsidP="00A67771">
            <w:pPr>
              <w:spacing w:before="60"/>
              <w:ind w:left="360" w:right="720"/>
              <w:jc w:val="center"/>
              <w:rPr>
                <w:rFonts w:eastAsia="Calibri" w:cs="Tahoma"/>
                <w:szCs w:val="18"/>
                <w:lang w:val="de-DE"/>
              </w:rPr>
            </w:pPr>
            <w:r w:rsidRPr="009123CB">
              <w:rPr>
                <w:rFonts w:cs="Tahoma"/>
                <w:szCs w:val="18"/>
                <w:lang w:val="de-DE"/>
              </w:rPr>
              <w:t>Core CAL (Gerät oder Nutzer)</w:t>
            </w:r>
          </w:p>
        </w:tc>
        <w:tc>
          <w:tcPr>
            <w:tcW w:w="4298" w:type="dxa"/>
            <w:tcBorders>
              <w:top w:val="nil"/>
              <w:left w:val="nil"/>
              <w:bottom w:val="single" w:sz="8" w:space="0" w:color="auto"/>
              <w:right w:val="single" w:sz="8" w:space="0" w:color="auto"/>
            </w:tcBorders>
          </w:tcPr>
          <w:p w:rsidR="008D4EE5" w:rsidRPr="0062435A" w:rsidRDefault="008D4EE5" w:rsidP="00A67771">
            <w:pPr>
              <w:pStyle w:val="Bulletedlistflush"/>
              <w:spacing w:before="60"/>
              <w:ind w:left="576" w:right="720" w:firstLine="0"/>
              <w:jc w:val="center"/>
            </w:pPr>
            <w:r>
              <w:rPr>
                <w:rFonts w:ascii="Tahoma" w:hAnsi="Tahoma" w:cs="Tahoma"/>
                <w:sz w:val="18"/>
                <w:szCs w:val="18"/>
              </w:rPr>
              <w:t>Jede Core CAL</w:t>
            </w:r>
          </w:p>
          <w:p w:rsidR="008D4EE5" w:rsidRDefault="008D4EE5" w:rsidP="00A67771">
            <w:pPr>
              <w:pStyle w:val="Bulletedlistflush"/>
              <w:ind w:left="576" w:right="720" w:firstLine="0"/>
              <w:jc w:val="center"/>
              <w:rPr>
                <w:rFonts w:ascii="Tahoma" w:hAnsi="Tahoma" w:cs="Tahoma"/>
                <w:sz w:val="18"/>
                <w:szCs w:val="18"/>
              </w:rPr>
            </w:pPr>
          </w:p>
        </w:tc>
      </w:tr>
      <w:tr w:rsidR="008D4EE5" w:rsidTr="00A67771">
        <w:trPr>
          <w:trHeight w:val="576"/>
        </w:trPr>
        <w:tc>
          <w:tcPr>
            <w:tcW w:w="3809" w:type="dxa"/>
            <w:tcBorders>
              <w:top w:val="nil"/>
              <w:left w:val="single" w:sz="8" w:space="0" w:color="auto"/>
              <w:bottom w:val="single" w:sz="8" w:space="0" w:color="auto"/>
              <w:right w:val="single" w:sz="8" w:space="0" w:color="auto"/>
            </w:tcBorders>
          </w:tcPr>
          <w:p w:rsidR="008D4EE5" w:rsidRPr="009123CB" w:rsidRDefault="008D4EE5" w:rsidP="00B33F60">
            <w:pPr>
              <w:spacing w:before="60"/>
              <w:ind w:left="360" w:right="720"/>
              <w:jc w:val="center"/>
              <w:rPr>
                <w:rFonts w:eastAsia="Calibri" w:cs="Tahoma"/>
                <w:szCs w:val="18"/>
                <w:lang w:val="de-DE"/>
              </w:rPr>
            </w:pPr>
            <w:r w:rsidRPr="009123CB">
              <w:rPr>
                <w:rFonts w:cs="Tahoma"/>
                <w:szCs w:val="18"/>
                <w:lang w:val="de-DE"/>
              </w:rPr>
              <w:t>Enterprise-CAL (Gerät</w:t>
            </w:r>
            <w:r w:rsidR="00B33F60">
              <w:rPr>
                <w:rFonts w:cs="Tahoma"/>
                <w:szCs w:val="18"/>
                <w:lang w:val="de-DE"/>
              </w:rPr>
              <w:t> </w:t>
            </w:r>
            <w:r w:rsidRPr="009123CB">
              <w:rPr>
                <w:rFonts w:cs="Tahoma"/>
                <w:szCs w:val="18"/>
                <w:lang w:val="de-DE"/>
              </w:rPr>
              <w:t>oder</w:t>
            </w:r>
            <w:r w:rsidR="00B33F60">
              <w:rPr>
                <w:rFonts w:cs="Tahoma"/>
                <w:szCs w:val="18"/>
                <w:lang w:val="de-DE"/>
              </w:rPr>
              <w:t> </w:t>
            </w:r>
            <w:r w:rsidRPr="009123CB">
              <w:rPr>
                <w:rFonts w:cs="Tahoma"/>
                <w:szCs w:val="18"/>
                <w:lang w:val="de-DE"/>
              </w:rPr>
              <w:t>Nutzer)</w:t>
            </w:r>
          </w:p>
        </w:tc>
        <w:tc>
          <w:tcPr>
            <w:tcW w:w="4298" w:type="dxa"/>
            <w:tcBorders>
              <w:top w:val="nil"/>
              <w:left w:val="nil"/>
              <w:bottom w:val="single" w:sz="8" w:space="0" w:color="auto"/>
              <w:right w:val="single" w:sz="8" w:space="0" w:color="auto"/>
            </w:tcBorders>
          </w:tcPr>
          <w:p w:rsidR="008D4EE5" w:rsidRDefault="008D4EE5" w:rsidP="00A67771">
            <w:pPr>
              <w:pStyle w:val="Bulletedlistflush"/>
              <w:spacing w:before="60"/>
              <w:ind w:left="576" w:right="720" w:firstLine="0"/>
              <w:jc w:val="center"/>
              <w:rPr>
                <w:rFonts w:ascii="Tahoma" w:hAnsi="Tahoma" w:cs="Tahoma"/>
                <w:sz w:val="18"/>
                <w:szCs w:val="18"/>
              </w:rPr>
            </w:pPr>
            <w:r>
              <w:rPr>
                <w:rFonts w:ascii="Tahoma" w:hAnsi="Tahoma" w:cs="Tahoma"/>
                <w:sz w:val="18"/>
                <w:szCs w:val="18"/>
              </w:rPr>
              <w:t>Jede Enterprise-CAL</w:t>
            </w:r>
          </w:p>
        </w:tc>
      </w:tr>
      <w:tr w:rsidR="008D4EE5" w:rsidTr="00A67771">
        <w:trPr>
          <w:trHeight w:val="576"/>
        </w:trPr>
        <w:tc>
          <w:tcPr>
            <w:tcW w:w="3809" w:type="dxa"/>
            <w:tcBorders>
              <w:top w:val="nil"/>
              <w:left w:val="single" w:sz="8" w:space="0" w:color="auto"/>
              <w:bottom w:val="single" w:sz="8" w:space="0" w:color="auto"/>
              <w:right w:val="single" w:sz="8" w:space="0" w:color="auto"/>
            </w:tcBorders>
          </w:tcPr>
          <w:p w:rsidR="008D4EE5" w:rsidRDefault="008D4EE5" w:rsidP="00A67771">
            <w:pPr>
              <w:spacing w:before="60"/>
              <w:ind w:left="360" w:right="720"/>
              <w:jc w:val="center"/>
              <w:rPr>
                <w:rFonts w:eastAsia="Calibri" w:cs="Tahoma"/>
                <w:szCs w:val="18"/>
              </w:rPr>
            </w:pPr>
            <w:r>
              <w:rPr>
                <w:rFonts w:cs="Tahoma"/>
                <w:szCs w:val="18"/>
              </w:rPr>
              <w:t>Office Professional Plus 2013</w:t>
            </w:r>
          </w:p>
        </w:tc>
        <w:tc>
          <w:tcPr>
            <w:tcW w:w="4298" w:type="dxa"/>
            <w:tcBorders>
              <w:top w:val="nil"/>
              <w:left w:val="nil"/>
              <w:bottom w:val="single" w:sz="8" w:space="0" w:color="auto"/>
              <w:right w:val="single" w:sz="8" w:space="0" w:color="auto"/>
            </w:tcBorders>
          </w:tcPr>
          <w:p w:rsidR="008D4EE5" w:rsidRPr="009123CB" w:rsidRDefault="008D4EE5" w:rsidP="00A67771">
            <w:pPr>
              <w:pStyle w:val="Bulletedlistflush"/>
              <w:spacing w:before="60"/>
              <w:ind w:left="576" w:right="720" w:firstLine="0"/>
              <w:jc w:val="center"/>
              <w:rPr>
                <w:lang w:val="fr-FR"/>
              </w:rPr>
            </w:pPr>
            <w:r w:rsidRPr="009123CB">
              <w:rPr>
                <w:rFonts w:ascii="Tahoma" w:hAnsi="Tahoma" w:cs="Tahoma"/>
                <w:sz w:val="18"/>
                <w:szCs w:val="18"/>
                <w:lang w:val="fr-FR"/>
              </w:rPr>
              <w:t>Office Professional Plus 2013</w:t>
            </w:r>
          </w:p>
          <w:p w:rsidR="008D4EE5" w:rsidRPr="009123CB" w:rsidRDefault="008D4EE5" w:rsidP="00A67771">
            <w:pPr>
              <w:pStyle w:val="Bulletedlistflush"/>
              <w:ind w:left="576" w:right="720" w:firstLine="0"/>
              <w:jc w:val="center"/>
              <w:rPr>
                <w:lang w:val="fr-FR"/>
              </w:rPr>
            </w:pPr>
            <w:r w:rsidRPr="009123CB">
              <w:rPr>
                <w:rFonts w:ascii="Tahoma" w:hAnsi="Tahoma" w:cs="Tahoma"/>
                <w:sz w:val="18"/>
                <w:szCs w:val="18"/>
                <w:lang w:val="fr-FR"/>
              </w:rPr>
              <w:t>Office Professional Plus 2010</w:t>
            </w:r>
          </w:p>
          <w:p w:rsidR="008D4EE5" w:rsidRPr="0062435A" w:rsidRDefault="008D4EE5" w:rsidP="00A67771">
            <w:pPr>
              <w:pStyle w:val="Bulletedlistflush"/>
              <w:ind w:left="576" w:right="720" w:firstLine="0"/>
              <w:jc w:val="center"/>
            </w:pPr>
            <w:r>
              <w:rPr>
                <w:rFonts w:ascii="Tahoma" w:hAnsi="Tahoma" w:cs="Tahoma"/>
                <w:sz w:val="18"/>
                <w:szCs w:val="18"/>
              </w:rPr>
              <w:t>Office 2013 Professional</w:t>
            </w:r>
          </w:p>
          <w:p w:rsidR="008D4EE5" w:rsidRPr="0062435A" w:rsidRDefault="008D4EE5" w:rsidP="00A67771">
            <w:pPr>
              <w:pStyle w:val="Bulletedlistflush"/>
              <w:ind w:left="576" w:right="720" w:firstLine="0"/>
              <w:jc w:val="center"/>
            </w:pPr>
            <w:r>
              <w:rPr>
                <w:rFonts w:ascii="Tahoma" w:hAnsi="Tahoma" w:cs="Tahoma"/>
                <w:sz w:val="18"/>
                <w:szCs w:val="18"/>
              </w:rPr>
              <w:t>Office 2010 Professional</w:t>
            </w:r>
          </w:p>
          <w:p w:rsidR="008D4EE5" w:rsidRDefault="008D4EE5" w:rsidP="00A67771">
            <w:pPr>
              <w:pStyle w:val="Bulletedlistflush"/>
              <w:ind w:left="576" w:right="720" w:firstLine="0"/>
              <w:jc w:val="center"/>
              <w:rPr>
                <w:rFonts w:ascii="Tahoma" w:hAnsi="Tahoma" w:cs="Tahoma"/>
                <w:sz w:val="18"/>
                <w:szCs w:val="18"/>
              </w:rPr>
            </w:pPr>
          </w:p>
        </w:tc>
      </w:tr>
      <w:tr w:rsidR="008D4EE5" w:rsidTr="00A67771">
        <w:trPr>
          <w:trHeight w:val="576"/>
        </w:trPr>
        <w:tc>
          <w:tcPr>
            <w:tcW w:w="3809" w:type="dxa"/>
            <w:tcBorders>
              <w:top w:val="nil"/>
              <w:left w:val="single" w:sz="8" w:space="0" w:color="auto"/>
              <w:bottom w:val="single" w:sz="8" w:space="0" w:color="auto"/>
              <w:right w:val="single" w:sz="8" w:space="0" w:color="auto"/>
            </w:tcBorders>
          </w:tcPr>
          <w:p w:rsidR="008D4EE5" w:rsidRPr="009123CB" w:rsidRDefault="008D4EE5" w:rsidP="00B33F60">
            <w:pPr>
              <w:spacing w:before="60"/>
              <w:ind w:left="360" w:right="720"/>
              <w:jc w:val="center"/>
              <w:rPr>
                <w:rFonts w:eastAsia="Calibri" w:cs="Tahoma"/>
                <w:color w:val="000000"/>
                <w:szCs w:val="18"/>
                <w:lang w:val="de-DE"/>
              </w:rPr>
            </w:pPr>
            <w:r w:rsidRPr="009123CB">
              <w:rPr>
                <w:rFonts w:cs="Tahoma"/>
                <w:color w:val="000000"/>
                <w:szCs w:val="18"/>
                <w:lang w:val="de-DE"/>
              </w:rPr>
              <w:t>CAL für Small Business Server Standard 2011 (Gerät</w:t>
            </w:r>
            <w:r w:rsidR="00B33F60">
              <w:rPr>
                <w:rFonts w:cs="Tahoma"/>
                <w:color w:val="000000"/>
                <w:szCs w:val="18"/>
                <w:lang w:val="de-DE"/>
              </w:rPr>
              <w:t> </w:t>
            </w:r>
            <w:r w:rsidRPr="009123CB">
              <w:rPr>
                <w:rFonts w:cs="Tahoma"/>
                <w:color w:val="000000"/>
                <w:szCs w:val="18"/>
                <w:lang w:val="de-DE"/>
              </w:rPr>
              <w:t>oder</w:t>
            </w:r>
            <w:r w:rsidR="00B33F60">
              <w:rPr>
                <w:rFonts w:cs="Tahoma"/>
                <w:color w:val="000000"/>
                <w:szCs w:val="18"/>
                <w:lang w:val="de-DE"/>
              </w:rPr>
              <w:t> </w:t>
            </w:r>
            <w:r w:rsidRPr="009123CB">
              <w:rPr>
                <w:rFonts w:cs="Tahoma"/>
                <w:color w:val="000000"/>
                <w:szCs w:val="18"/>
                <w:lang w:val="de-DE"/>
              </w:rPr>
              <w:t>Nutzer)</w:t>
            </w:r>
          </w:p>
        </w:tc>
        <w:tc>
          <w:tcPr>
            <w:tcW w:w="4298" w:type="dxa"/>
            <w:tcBorders>
              <w:top w:val="nil"/>
              <w:left w:val="nil"/>
              <w:bottom w:val="single" w:sz="8" w:space="0" w:color="auto"/>
              <w:right w:val="single" w:sz="8" w:space="0" w:color="auto"/>
            </w:tcBorders>
          </w:tcPr>
          <w:p w:rsidR="008D4EE5" w:rsidRPr="0062435A" w:rsidRDefault="008D4EE5" w:rsidP="00A67771">
            <w:pPr>
              <w:spacing w:before="60"/>
              <w:ind w:left="576" w:right="720"/>
              <w:jc w:val="center"/>
            </w:pPr>
            <w:r>
              <w:t>+</w:t>
            </w:r>
            <w:r>
              <w:rPr>
                <w:rFonts w:eastAsia="Calibri" w:cs="Tahoma"/>
                <w:color w:val="000000"/>
                <w:szCs w:val="18"/>
              </w:rPr>
              <w:t>CAL für Windows Small Business Server 2011</w:t>
            </w:r>
          </w:p>
          <w:p w:rsidR="008D4EE5" w:rsidRPr="0062435A" w:rsidRDefault="008D4EE5" w:rsidP="00A67771">
            <w:pPr>
              <w:pStyle w:val="Bulletedlistflush"/>
              <w:ind w:left="576" w:right="720" w:firstLine="0"/>
              <w:jc w:val="center"/>
            </w:pPr>
            <w:r>
              <w:rPr>
                <w:rFonts w:ascii="Tahoma" w:hAnsi="Tahoma" w:cs="Tahoma"/>
                <w:color w:val="000000"/>
                <w:sz w:val="18"/>
                <w:szCs w:val="18"/>
              </w:rPr>
              <w:t>CAL für Windows Small Business Server Standard 2008</w:t>
            </w:r>
          </w:p>
          <w:p w:rsidR="008D4EE5" w:rsidRPr="00FF0411" w:rsidRDefault="008D4EE5" w:rsidP="00A67771">
            <w:pPr>
              <w:pStyle w:val="Bulletedlistflush"/>
              <w:ind w:left="576" w:right="720" w:firstLine="0"/>
              <w:jc w:val="center"/>
              <w:rPr>
                <w:rFonts w:ascii="Tahoma" w:hAnsi="Tahoma" w:cs="Tahoma"/>
                <w:color w:val="000000"/>
                <w:sz w:val="18"/>
                <w:szCs w:val="18"/>
              </w:rPr>
            </w:pPr>
          </w:p>
        </w:tc>
      </w:tr>
      <w:tr w:rsidR="008D4EE5" w:rsidTr="00A67771">
        <w:trPr>
          <w:trHeight w:val="576"/>
        </w:trPr>
        <w:tc>
          <w:tcPr>
            <w:tcW w:w="3809" w:type="dxa"/>
            <w:tcBorders>
              <w:top w:val="nil"/>
              <w:left w:val="single" w:sz="8" w:space="0" w:color="auto"/>
              <w:bottom w:val="single" w:sz="8" w:space="0" w:color="auto"/>
              <w:right w:val="single" w:sz="8" w:space="0" w:color="auto"/>
            </w:tcBorders>
          </w:tcPr>
          <w:p w:rsidR="008D4EE5" w:rsidRPr="009123CB" w:rsidRDefault="008D4EE5" w:rsidP="00B33F60">
            <w:pPr>
              <w:spacing w:before="60"/>
              <w:ind w:left="360" w:right="720"/>
              <w:jc w:val="center"/>
              <w:rPr>
                <w:rFonts w:eastAsia="Calibri" w:cs="Tahoma"/>
                <w:szCs w:val="18"/>
                <w:lang w:val="de-DE"/>
              </w:rPr>
            </w:pPr>
            <w:r w:rsidRPr="009123CB">
              <w:rPr>
                <w:rFonts w:cs="Tahoma"/>
                <w:szCs w:val="18"/>
                <w:lang w:val="de-DE"/>
              </w:rPr>
              <w:t>CAL für Small Business Server Premium 2011 (Gerät</w:t>
            </w:r>
            <w:r w:rsidR="00B33F60">
              <w:rPr>
                <w:rFonts w:cs="Tahoma"/>
                <w:szCs w:val="18"/>
                <w:lang w:val="de-DE"/>
              </w:rPr>
              <w:t> </w:t>
            </w:r>
            <w:r w:rsidRPr="009123CB">
              <w:rPr>
                <w:rFonts w:cs="Tahoma"/>
                <w:szCs w:val="18"/>
                <w:lang w:val="de-DE"/>
              </w:rPr>
              <w:t>oder</w:t>
            </w:r>
            <w:r w:rsidR="00B33F60">
              <w:rPr>
                <w:rFonts w:cs="Tahoma"/>
                <w:szCs w:val="18"/>
                <w:lang w:val="de-DE"/>
              </w:rPr>
              <w:t> </w:t>
            </w:r>
            <w:r w:rsidRPr="009123CB">
              <w:rPr>
                <w:rFonts w:cs="Tahoma"/>
                <w:szCs w:val="18"/>
                <w:lang w:val="de-DE"/>
              </w:rPr>
              <w:t>Nutzer)</w:t>
            </w:r>
          </w:p>
        </w:tc>
        <w:tc>
          <w:tcPr>
            <w:tcW w:w="4298" w:type="dxa"/>
            <w:tcBorders>
              <w:top w:val="nil"/>
              <w:left w:val="nil"/>
              <w:bottom w:val="single" w:sz="8" w:space="0" w:color="auto"/>
              <w:right w:val="single" w:sz="8" w:space="0" w:color="auto"/>
            </w:tcBorders>
          </w:tcPr>
          <w:p w:rsidR="008D4EE5" w:rsidRPr="0062435A" w:rsidRDefault="008D4EE5" w:rsidP="00A67771">
            <w:pPr>
              <w:spacing w:before="60"/>
              <w:ind w:left="576" w:right="720"/>
              <w:jc w:val="center"/>
            </w:pPr>
            <w:r>
              <w:rPr>
                <w:rFonts w:eastAsia="Calibri" w:cs="Tahoma"/>
                <w:color w:val="000000"/>
                <w:szCs w:val="18"/>
              </w:rPr>
              <w:t>CAL für Windows Small Business Server Premium 2011</w:t>
            </w:r>
          </w:p>
          <w:p w:rsidR="008D4EE5" w:rsidRPr="0062435A" w:rsidRDefault="008D4EE5" w:rsidP="00A67771">
            <w:pPr>
              <w:pStyle w:val="Bulletedlistflush"/>
              <w:ind w:left="576" w:right="720" w:firstLine="0"/>
              <w:jc w:val="center"/>
            </w:pPr>
            <w:r>
              <w:rPr>
                <w:rFonts w:ascii="Tahoma" w:hAnsi="Tahoma" w:cs="Tahoma"/>
                <w:color w:val="000000"/>
                <w:sz w:val="18"/>
                <w:szCs w:val="18"/>
              </w:rPr>
              <w:t>CAL für Windows Small Business Server Premium 2008</w:t>
            </w:r>
          </w:p>
          <w:p w:rsidR="008D4EE5" w:rsidRDefault="008D4EE5" w:rsidP="00A67771">
            <w:pPr>
              <w:pStyle w:val="Bulletedlistflush"/>
              <w:ind w:left="576" w:right="720" w:firstLine="0"/>
              <w:jc w:val="center"/>
              <w:rPr>
                <w:rFonts w:ascii="Tahoma" w:hAnsi="Tahoma" w:cs="Tahoma"/>
                <w:sz w:val="18"/>
                <w:szCs w:val="18"/>
              </w:rPr>
            </w:pPr>
          </w:p>
        </w:tc>
      </w:tr>
      <w:tr w:rsidR="008D4EE5" w:rsidTr="00A67771">
        <w:trPr>
          <w:trHeight w:val="576"/>
        </w:trPr>
        <w:tc>
          <w:tcPr>
            <w:tcW w:w="3809" w:type="dxa"/>
            <w:tcBorders>
              <w:top w:val="nil"/>
              <w:left w:val="single" w:sz="8" w:space="0" w:color="auto"/>
              <w:bottom w:val="single" w:sz="8" w:space="0" w:color="auto"/>
              <w:right w:val="single" w:sz="8" w:space="0" w:color="auto"/>
            </w:tcBorders>
          </w:tcPr>
          <w:p w:rsidR="008D4EE5" w:rsidRPr="009123CB" w:rsidRDefault="008D4EE5" w:rsidP="00B33F60">
            <w:pPr>
              <w:spacing w:before="60"/>
              <w:ind w:left="360" w:right="720"/>
              <w:jc w:val="center"/>
              <w:rPr>
                <w:lang w:val="de-DE"/>
              </w:rPr>
            </w:pPr>
            <w:r w:rsidRPr="009123CB">
              <w:rPr>
                <w:rFonts w:cs="Tahoma"/>
                <w:szCs w:val="18"/>
                <w:lang w:val="de-DE"/>
              </w:rPr>
              <w:t>CAL für Essential Business Server Standard 2008 (Gerät</w:t>
            </w:r>
            <w:r w:rsidR="00B33F60">
              <w:rPr>
                <w:rFonts w:cs="Tahoma"/>
                <w:szCs w:val="18"/>
                <w:lang w:val="de-DE"/>
              </w:rPr>
              <w:t> </w:t>
            </w:r>
            <w:r w:rsidRPr="009123CB">
              <w:rPr>
                <w:rFonts w:cs="Tahoma"/>
                <w:szCs w:val="18"/>
                <w:lang w:val="de-DE"/>
              </w:rPr>
              <w:t>oder</w:t>
            </w:r>
            <w:r w:rsidR="00B33F60">
              <w:rPr>
                <w:rFonts w:cs="Tahoma"/>
                <w:szCs w:val="18"/>
                <w:lang w:val="de-DE"/>
              </w:rPr>
              <w:t> </w:t>
            </w:r>
            <w:r w:rsidRPr="009123CB">
              <w:rPr>
                <w:rFonts w:cs="Tahoma"/>
                <w:szCs w:val="18"/>
                <w:lang w:val="de-DE"/>
              </w:rPr>
              <w:t>Nutzer)</w:t>
            </w:r>
          </w:p>
          <w:p w:rsidR="008D4EE5" w:rsidRPr="009123CB" w:rsidRDefault="008D4EE5" w:rsidP="00A67771">
            <w:pPr>
              <w:ind w:left="360" w:right="720"/>
              <w:jc w:val="center"/>
              <w:rPr>
                <w:rFonts w:eastAsia="Calibri" w:cs="Tahoma"/>
                <w:szCs w:val="18"/>
                <w:lang w:val="de-DE"/>
              </w:rPr>
            </w:pPr>
          </w:p>
        </w:tc>
        <w:tc>
          <w:tcPr>
            <w:tcW w:w="4298" w:type="dxa"/>
            <w:tcBorders>
              <w:top w:val="nil"/>
              <w:left w:val="nil"/>
              <w:bottom w:val="single" w:sz="8" w:space="0" w:color="auto"/>
              <w:right w:val="single" w:sz="8" w:space="0" w:color="auto"/>
            </w:tcBorders>
          </w:tcPr>
          <w:p w:rsidR="008D4EE5" w:rsidRDefault="008D4EE5" w:rsidP="00A67771">
            <w:pPr>
              <w:pStyle w:val="Bulletedlistflush"/>
              <w:spacing w:before="60"/>
              <w:ind w:left="576" w:right="720" w:firstLine="0"/>
              <w:jc w:val="center"/>
              <w:rPr>
                <w:rFonts w:ascii="Tahoma" w:hAnsi="Tahoma" w:cs="Tahoma"/>
                <w:sz w:val="18"/>
                <w:szCs w:val="18"/>
              </w:rPr>
            </w:pPr>
            <w:r>
              <w:rPr>
                <w:rFonts w:ascii="Tahoma" w:hAnsi="Tahoma" w:cs="Tahoma"/>
                <w:sz w:val="18"/>
                <w:szCs w:val="18"/>
              </w:rPr>
              <w:t>CAL für Windows Essential Business Server Standard 2008</w:t>
            </w:r>
          </w:p>
        </w:tc>
      </w:tr>
      <w:tr w:rsidR="008D4EE5" w:rsidTr="00A67771">
        <w:trPr>
          <w:trHeight w:val="576"/>
        </w:trPr>
        <w:tc>
          <w:tcPr>
            <w:tcW w:w="3809" w:type="dxa"/>
            <w:tcBorders>
              <w:top w:val="nil"/>
              <w:left w:val="single" w:sz="8" w:space="0" w:color="auto"/>
              <w:bottom w:val="single" w:sz="8" w:space="0" w:color="auto"/>
              <w:right w:val="single" w:sz="8" w:space="0" w:color="auto"/>
            </w:tcBorders>
          </w:tcPr>
          <w:p w:rsidR="008D4EE5" w:rsidRPr="009123CB" w:rsidRDefault="008D4EE5" w:rsidP="00B33F60">
            <w:pPr>
              <w:spacing w:before="60"/>
              <w:ind w:left="360" w:right="720"/>
              <w:jc w:val="center"/>
              <w:rPr>
                <w:lang w:val="de-DE"/>
              </w:rPr>
            </w:pPr>
            <w:r w:rsidRPr="009123CB">
              <w:rPr>
                <w:rFonts w:cs="Tahoma"/>
                <w:szCs w:val="18"/>
                <w:lang w:val="de-DE"/>
              </w:rPr>
              <w:t>CAL für Essential Business Server Premium 2008 (Gerät</w:t>
            </w:r>
            <w:r w:rsidR="00B33F60">
              <w:rPr>
                <w:rFonts w:cs="Tahoma"/>
                <w:szCs w:val="18"/>
                <w:lang w:val="de-DE"/>
              </w:rPr>
              <w:t> </w:t>
            </w:r>
            <w:r w:rsidRPr="009123CB">
              <w:rPr>
                <w:rFonts w:cs="Tahoma"/>
                <w:szCs w:val="18"/>
                <w:lang w:val="de-DE"/>
              </w:rPr>
              <w:t>oder</w:t>
            </w:r>
            <w:r w:rsidR="00B33F60">
              <w:rPr>
                <w:rFonts w:cs="Tahoma"/>
                <w:szCs w:val="18"/>
                <w:lang w:val="de-DE"/>
              </w:rPr>
              <w:t> </w:t>
            </w:r>
            <w:r w:rsidRPr="009123CB">
              <w:rPr>
                <w:rFonts w:cs="Tahoma"/>
                <w:szCs w:val="18"/>
                <w:lang w:val="de-DE"/>
              </w:rPr>
              <w:t>Nutzer)</w:t>
            </w:r>
          </w:p>
          <w:p w:rsidR="008D4EE5" w:rsidRPr="009123CB" w:rsidRDefault="008D4EE5" w:rsidP="00A67771">
            <w:pPr>
              <w:ind w:left="360" w:right="720"/>
              <w:jc w:val="center"/>
              <w:rPr>
                <w:rFonts w:eastAsia="Calibri" w:cs="Tahoma"/>
                <w:szCs w:val="18"/>
                <w:lang w:val="de-DE"/>
              </w:rPr>
            </w:pPr>
          </w:p>
        </w:tc>
        <w:tc>
          <w:tcPr>
            <w:tcW w:w="4298" w:type="dxa"/>
            <w:tcBorders>
              <w:top w:val="nil"/>
              <w:left w:val="nil"/>
              <w:bottom w:val="single" w:sz="8" w:space="0" w:color="auto"/>
              <w:right w:val="single" w:sz="8" w:space="0" w:color="auto"/>
            </w:tcBorders>
          </w:tcPr>
          <w:p w:rsidR="008D4EE5" w:rsidRDefault="008D4EE5" w:rsidP="00A67771">
            <w:pPr>
              <w:pStyle w:val="Bulletedlistflush"/>
              <w:spacing w:before="60"/>
              <w:ind w:left="576" w:right="720" w:firstLine="0"/>
              <w:jc w:val="center"/>
              <w:rPr>
                <w:rFonts w:ascii="Tahoma" w:hAnsi="Tahoma" w:cs="Tahoma"/>
                <w:sz w:val="18"/>
                <w:szCs w:val="18"/>
              </w:rPr>
            </w:pPr>
            <w:r>
              <w:rPr>
                <w:rFonts w:ascii="Tahoma" w:hAnsi="Tahoma" w:cs="Tahoma"/>
                <w:sz w:val="18"/>
                <w:szCs w:val="18"/>
              </w:rPr>
              <w:t>CAL für Windows Essential Business Server Premium 2008</w:t>
            </w:r>
          </w:p>
        </w:tc>
      </w:tr>
      <w:tr w:rsidR="008D4EE5" w:rsidTr="00A67771">
        <w:trPr>
          <w:trHeight w:val="576"/>
        </w:trPr>
        <w:tc>
          <w:tcPr>
            <w:tcW w:w="3809" w:type="dxa"/>
            <w:tcBorders>
              <w:top w:val="nil"/>
              <w:left w:val="single" w:sz="8" w:space="0" w:color="auto"/>
              <w:bottom w:val="single" w:sz="8" w:space="0" w:color="auto"/>
              <w:right w:val="single" w:sz="8" w:space="0" w:color="auto"/>
            </w:tcBorders>
          </w:tcPr>
          <w:p w:rsidR="008D4EE5" w:rsidRDefault="008D4EE5" w:rsidP="00A67771">
            <w:pPr>
              <w:spacing w:before="60"/>
              <w:ind w:left="360" w:right="720"/>
              <w:jc w:val="center"/>
              <w:rPr>
                <w:rFonts w:eastAsia="Calibri" w:cs="Tahoma"/>
                <w:szCs w:val="18"/>
              </w:rPr>
            </w:pPr>
            <w:r>
              <w:rPr>
                <w:rFonts w:cs="Tahoma"/>
                <w:szCs w:val="18"/>
              </w:rPr>
              <w:t>Windows 8 Pro-Upgrade</w:t>
            </w:r>
          </w:p>
        </w:tc>
        <w:tc>
          <w:tcPr>
            <w:tcW w:w="4298" w:type="dxa"/>
            <w:tcBorders>
              <w:top w:val="nil"/>
              <w:left w:val="nil"/>
              <w:bottom w:val="single" w:sz="8" w:space="0" w:color="auto"/>
              <w:right w:val="single" w:sz="8" w:space="0" w:color="auto"/>
            </w:tcBorders>
          </w:tcPr>
          <w:p w:rsidR="008D4EE5" w:rsidRPr="0062435A" w:rsidRDefault="008D4EE5" w:rsidP="00A67771">
            <w:pPr>
              <w:pStyle w:val="Bulletedlistflush"/>
              <w:spacing w:before="60"/>
              <w:ind w:left="576" w:right="720" w:firstLine="0"/>
              <w:jc w:val="center"/>
            </w:pPr>
            <w:r>
              <w:rPr>
                <w:rFonts w:ascii="Tahoma" w:hAnsi="Tahoma" w:cs="Tahoma"/>
                <w:sz w:val="18"/>
                <w:szCs w:val="18"/>
              </w:rPr>
              <w:t>Windows 8 Pro</w:t>
            </w:r>
          </w:p>
          <w:p w:rsidR="008D4EE5" w:rsidRDefault="008D4EE5" w:rsidP="00A67771">
            <w:pPr>
              <w:pStyle w:val="Bulletedlistflush"/>
              <w:ind w:left="576" w:right="720" w:firstLine="0"/>
              <w:jc w:val="center"/>
              <w:rPr>
                <w:rFonts w:ascii="Tahoma" w:hAnsi="Tahoma" w:cs="Tahoma"/>
                <w:sz w:val="18"/>
                <w:szCs w:val="18"/>
              </w:rPr>
            </w:pPr>
            <w:r>
              <w:rPr>
                <w:rFonts w:ascii="Tahoma" w:hAnsi="Tahoma" w:cs="Tahoma"/>
                <w:sz w:val="18"/>
                <w:szCs w:val="18"/>
              </w:rPr>
              <w:t>Windows 7 Professional</w:t>
            </w:r>
          </w:p>
        </w:tc>
      </w:tr>
    </w:tbl>
    <w:p w:rsidR="008D4EE5" w:rsidRPr="0062435A" w:rsidRDefault="008D4EE5" w:rsidP="008D4EE5"/>
    <w:p w:rsidR="008D4EE5" w:rsidRPr="009123CB" w:rsidRDefault="008D4EE5" w:rsidP="008D4EE5">
      <w:pPr>
        <w:pStyle w:val="Heading2"/>
        <w:ind w:left="0"/>
        <w:rPr>
          <w:lang w:val="de-DE"/>
        </w:rPr>
      </w:pPr>
      <w:bookmarkStart w:id="631" w:name="_Toc336338195"/>
      <w:bookmarkStart w:id="632" w:name="_Toc363998932"/>
      <w:r w:rsidRPr="009123CB">
        <w:rPr>
          <w:rFonts w:ascii="Tahoma" w:hAnsi="Tahoma" w:cs="Tahoma"/>
          <w:lang w:val="de-DE"/>
        </w:rPr>
        <w:t>Aktualisierte Bestimmungen für das Konzernvertragsprogramm und das Abonnement-Vertragsprogramm</w:t>
      </w:r>
      <w:bookmarkEnd w:id="631"/>
      <w:bookmarkEnd w:id="632"/>
    </w:p>
    <w:p w:rsidR="008D4EE5" w:rsidRPr="009123CB" w:rsidRDefault="008D4EE5" w:rsidP="008D4EE5">
      <w:pPr>
        <w:tabs>
          <w:tab w:val="left" w:pos="360"/>
        </w:tabs>
        <w:rPr>
          <w:lang w:val="de-DE"/>
        </w:rPr>
      </w:pPr>
    </w:p>
    <w:p w:rsidR="008D4EE5" w:rsidRPr="009123CB" w:rsidRDefault="008D4EE5" w:rsidP="008D4EE5">
      <w:pPr>
        <w:keepNext/>
        <w:spacing w:after="60"/>
        <w:outlineLvl w:val="3"/>
        <w:rPr>
          <w:lang w:val="de-DE"/>
        </w:rPr>
      </w:pPr>
      <w:r w:rsidRPr="009123CB">
        <w:rPr>
          <w:rFonts w:cs="Tahoma"/>
          <w:b/>
          <w:szCs w:val="20"/>
          <w:lang w:val="de-DE"/>
        </w:rPr>
        <w:t>Konzern-Onlinedienste, die den Anforderungen für Konzernprodukte entsprechen</w:t>
      </w:r>
    </w:p>
    <w:p w:rsidR="008D4EE5" w:rsidRPr="009123CB" w:rsidRDefault="008D4EE5" w:rsidP="008D4EE5">
      <w:pPr>
        <w:tabs>
          <w:tab w:val="left" w:pos="360"/>
        </w:tabs>
        <w:rPr>
          <w:lang w:val="de-DE"/>
        </w:rPr>
      </w:pPr>
      <w:r w:rsidRPr="009123CB">
        <w:rPr>
          <w:rFonts w:cs="Tahoma"/>
          <w:b/>
          <w:szCs w:val="20"/>
          <w:lang w:val="de-DE"/>
        </w:rPr>
        <w:t>Anmerkung:</w:t>
      </w:r>
      <w:r w:rsidRPr="009123CB">
        <w:rPr>
          <w:rFonts w:cs="Tahoma"/>
          <w:szCs w:val="20"/>
          <w:lang w:val="de-DE"/>
        </w:rPr>
        <w:t xml:space="preserve"> Die folgenden Bestimmungen gelten für Kunden mit Konzern- und Konzern-Abonnement-Beitritt, die zum Erwerb von Konzern-Onlinediensten berechtigt sind</w:t>
      </w:r>
      <w:r w:rsidR="006257A7">
        <w:rPr>
          <w:rFonts w:cs="Tahoma"/>
          <w:szCs w:val="20"/>
          <w:lang w:val="de-DE"/>
        </w:rPr>
        <w:t xml:space="preserve">. </w:t>
      </w:r>
      <w:r w:rsidRPr="009123CB">
        <w:rPr>
          <w:rFonts w:cs="Tahoma"/>
          <w:szCs w:val="20"/>
          <w:lang w:val="de-DE"/>
        </w:rPr>
        <w:t>Kunden, die hinsichtlich der Berechtigung zum Erwerb von Konzern-Onlinediensten unsicher sind, erhalten von ihrem Software Advisor, Handelspartner oder Microsoft-Kundenbetreuer weitere Informationen</w:t>
      </w:r>
      <w:r w:rsidR="006257A7">
        <w:rPr>
          <w:rFonts w:cs="Tahoma"/>
          <w:szCs w:val="20"/>
          <w:lang w:val="de-DE"/>
        </w:rPr>
        <w:t xml:space="preserve">. </w:t>
      </w:r>
    </w:p>
    <w:p w:rsidR="008D4EE5" w:rsidRPr="009123CB" w:rsidRDefault="008D4EE5" w:rsidP="008D4EE5">
      <w:pPr>
        <w:tabs>
          <w:tab w:val="left" w:pos="360"/>
        </w:tabs>
        <w:rPr>
          <w:lang w:val="de-DE"/>
        </w:rPr>
      </w:pPr>
    </w:p>
    <w:p w:rsidR="008D4EE5" w:rsidRPr="009123CB" w:rsidRDefault="008D4EE5" w:rsidP="00B33F60">
      <w:pPr>
        <w:tabs>
          <w:tab w:val="left" w:pos="360"/>
        </w:tabs>
        <w:rPr>
          <w:lang w:val="de-DE"/>
        </w:rPr>
      </w:pPr>
      <w:r w:rsidRPr="009123CB">
        <w:rPr>
          <w:rFonts w:cs="Tahoma"/>
          <w:szCs w:val="20"/>
          <w:lang w:val="de-DE"/>
        </w:rPr>
        <w:t>Zur Erfüllung der konzernweiten Anforderung im Rahmen eines Konzern- bzw</w:t>
      </w:r>
      <w:r w:rsidR="006257A7">
        <w:rPr>
          <w:rFonts w:cs="Tahoma"/>
          <w:szCs w:val="20"/>
          <w:lang w:val="de-DE"/>
        </w:rPr>
        <w:t xml:space="preserve">. </w:t>
      </w:r>
      <w:r w:rsidRPr="009123CB">
        <w:rPr>
          <w:rFonts w:cs="Tahoma"/>
          <w:szCs w:val="20"/>
          <w:lang w:val="de-DE"/>
        </w:rPr>
        <w:t>Konzern-Abonnement-Beitritts kann</w:t>
      </w:r>
      <w:r w:rsidR="00B33F60">
        <w:rPr>
          <w:rFonts w:cs="Tahoma"/>
          <w:szCs w:val="20"/>
          <w:lang w:val="de-DE"/>
        </w:rPr>
        <w:t> </w:t>
      </w:r>
      <w:r w:rsidRPr="009123CB">
        <w:rPr>
          <w:rFonts w:cs="Tahoma"/>
          <w:szCs w:val="20"/>
          <w:lang w:val="de-DE"/>
        </w:rPr>
        <w:t>eine Kombination aus Konzernprodukten und Konzern-Onlinediensten verwendet werden</w:t>
      </w:r>
      <w:r w:rsidR="006257A7">
        <w:rPr>
          <w:rFonts w:cs="Tahoma"/>
          <w:szCs w:val="20"/>
          <w:lang w:val="de-DE"/>
        </w:rPr>
        <w:t xml:space="preserve">. </w:t>
      </w:r>
    </w:p>
    <w:p w:rsidR="008D4EE5" w:rsidRPr="009123CB" w:rsidRDefault="008D4EE5" w:rsidP="008D4EE5">
      <w:pPr>
        <w:tabs>
          <w:tab w:val="left" w:pos="360"/>
        </w:tabs>
        <w:rPr>
          <w:lang w:val="de-DE"/>
        </w:rPr>
      </w:pPr>
    </w:p>
    <w:p w:rsidR="008D4EE5" w:rsidRPr="009123CB" w:rsidRDefault="008D4EE5" w:rsidP="00B33F60">
      <w:pPr>
        <w:tabs>
          <w:tab w:val="left" w:pos="360"/>
        </w:tabs>
        <w:rPr>
          <w:lang w:val="de-DE"/>
        </w:rPr>
      </w:pPr>
      <w:r w:rsidRPr="009123CB">
        <w:rPr>
          <w:rFonts w:cs="Tahoma"/>
          <w:szCs w:val="20"/>
          <w:lang w:val="de-DE"/>
        </w:rPr>
        <w:t>In der Tabelle unten werden die Konzern-Onlinedienste und erforderlichen CALs (sofern zutreffend) aufgeführt, die</w:t>
      </w:r>
      <w:r w:rsidR="00B33F60">
        <w:rPr>
          <w:rFonts w:cs="Tahoma"/>
          <w:szCs w:val="20"/>
          <w:lang w:val="de-DE"/>
        </w:rPr>
        <w:t> </w:t>
      </w:r>
      <w:r w:rsidRPr="009123CB">
        <w:rPr>
          <w:rFonts w:cs="Tahoma"/>
          <w:szCs w:val="20"/>
          <w:lang w:val="de-DE"/>
        </w:rPr>
        <w:t>die konzernweite Anforderung für Konzernprodukte erfüllen</w:t>
      </w:r>
      <w:r w:rsidR="006257A7">
        <w:rPr>
          <w:rFonts w:cs="Tahoma"/>
          <w:szCs w:val="20"/>
          <w:lang w:val="de-DE"/>
        </w:rPr>
        <w:t xml:space="preserve">. </w:t>
      </w:r>
    </w:p>
    <w:p w:rsidR="008D4EE5" w:rsidRPr="009123CB" w:rsidRDefault="008D4EE5" w:rsidP="008D4EE5">
      <w:pPr>
        <w:ind w:left="720"/>
        <w:rPr>
          <w:lang w:val="de-DE"/>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8D4EE5" w:rsidRPr="0043735F" w:rsidTr="00A67771">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8D4EE5" w:rsidRPr="00631D01" w:rsidRDefault="008D4EE5" w:rsidP="00A67771">
            <w:pPr>
              <w:keepNext/>
              <w:jc w:val="center"/>
              <w:rPr>
                <w:rFonts w:cs="Tahoma"/>
                <w:b/>
              </w:rPr>
            </w:pPr>
            <w:r>
              <w:rPr>
                <w:rFonts w:cs="Tahoma"/>
                <w:b/>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8D4EE5" w:rsidRPr="00C80194" w:rsidRDefault="008D4EE5" w:rsidP="00A67771">
            <w:pPr>
              <w:keepNext/>
              <w:jc w:val="center"/>
              <w:rPr>
                <w:rFonts w:cs="Tahoma"/>
                <w:b/>
              </w:rPr>
            </w:pPr>
            <w:r>
              <w:rPr>
                <w:rFonts w:cs="Tahoma"/>
                <w:b/>
                <w:bCs/>
              </w:rPr>
              <w:t>Konzern-Onlinedienst***</w:t>
            </w:r>
          </w:p>
        </w:tc>
      </w:tr>
      <w:tr w:rsidR="008D4EE5" w:rsidRPr="0043735F" w:rsidTr="00A67771">
        <w:trPr>
          <w:trHeight w:val="497"/>
          <w:jc w:val="center"/>
        </w:trPr>
        <w:tc>
          <w:tcPr>
            <w:tcW w:w="3892" w:type="dxa"/>
            <w:tcBorders>
              <w:top w:val="nil"/>
              <w:left w:val="single" w:sz="8" w:space="0" w:color="auto"/>
              <w:bottom w:val="single" w:sz="4" w:space="0" w:color="auto"/>
              <w:right w:val="single" w:sz="8" w:space="0" w:color="auto"/>
            </w:tcBorders>
            <w:vAlign w:val="center"/>
          </w:tcPr>
          <w:p w:rsidR="008D4EE5" w:rsidRPr="0043735F" w:rsidRDefault="008D4EE5" w:rsidP="00A67771">
            <w:pPr>
              <w:ind w:left="144"/>
              <w:rPr>
                <w:rFonts w:cs="Tahoma"/>
                <w:szCs w:val="18"/>
              </w:rPr>
            </w:pPr>
            <w:r>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8D4EE5" w:rsidRPr="0062435A" w:rsidRDefault="008D4EE5" w:rsidP="00A67771">
            <w:pPr>
              <w:numPr>
                <w:ilvl w:val="0"/>
                <w:numId w:val="35"/>
              </w:numPr>
              <w:spacing w:after="60"/>
              <w:ind w:left="907"/>
            </w:pPr>
            <w:r>
              <w:rPr>
                <w:rFonts w:cs="Tahoma"/>
                <w:color w:val="000000"/>
                <w:szCs w:val="18"/>
              </w:rPr>
              <w:t>Office 365 (Enterprise E3)</w:t>
            </w:r>
          </w:p>
          <w:p w:rsidR="008D4EE5" w:rsidRPr="0062435A" w:rsidRDefault="008D4EE5" w:rsidP="00A67771">
            <w:pPr>
              <w:numPr>
                <w:ilvl w:val="0"/>
                <w:numId w:val="35"/>
              </w:numPr>
              <w:spacing w:after="60"/>
              <w:ind w:left="907"/>
            </w:pPr>
            <w:r>
              <w:rPr>
                <w:rFonts w:cs="Tahoma"/>
                <w:color w:val="000000"/>
                <w:szCs w:val="18"/>
              </w:rPr>
              <w:t xml:space="preserve">Office 365 (Enterprise E4) </w:t>
            </w:r>
          </w:p>
          <w:p w:rsidR="008D4EE5" w:rsidRPr="0062435A" w:rsidRDefault="008D4EE5" w:rsidP="00A67771">
            <w:pPr>
              <w:numPr>
                <w:ilvl w:val="0"/>
                <w:numId w:val="35"/>
              </w:numPr>
              <w:spacing w:after="60"/>
              <w:ind w:left="907"/>
            </w:pPr>
            <w:r>
              <w:rPr>
                <w:rFonts w:cs="Tahoma"/>
                <w:color w:val="000000"/>
                <w:szCs w:val="18"/>
              </w:rPr>
              <w:t>Office 365 (Government G3)</w:t>
            </w:r>
          </w:p>
          <w:p w:rsidR="008D4EE5" w:rsidRPr="0062435A" w:rsidRDefault="008D4EE5" w:rsidP="00A67771">
            <w:pPr>
              <w:numPr>
                <w:ilvl w:val="0"/>
                <w:numId w:val="35"/>
              </w:numPr>
              <w:spacing w:after="60"/>
              <w:ind w:left="907"/>
            </w:pPr>
            <w:r>
              <w:rPr>
                <w:rFonts w:cs="Tahoma"/>
                <w:color w:val="000000"/>
                <w:szCs w:val="18"/>
              </w:rPr>
              <w:t>Office 365 (Government G4)</w:t>
            </w:r>
          </w:p>
          <w:p w:rsidR="008D4EE5" w:rsidRPr="004441AA" w:rsidRDefault="008D4EE5" w:rsidP="00A67771">
            <w:pPr>
              <w:ind w:left="907"/>
              <w:rPr>
                <w:rFonts w:cs="Tahoma"/>
                <w:color w:val="000000"/>
                <w:szCs w:val="18"/>
              </w:rPr>
            </w:pPr>
          </w:p>
        </w:tc>
      </w:tr>
      <w:tr w:rsidR="008D4EE5" w:rsidRPr="0043735F" w:rsidTr="00A67771">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8D4EE5" w:rsidRPr="0043735F" w:rsidRDefault="008D4EE5" w:rsidP="00A67771">
            <w:pPr>
              <w:ind w:left="144"/>
              <w:rPr>
                <w:rFonts w:cs="Tahoma"/>
                <w:szCs w:val="18"/>
              </w:rPr>
            </w:pPr>
            <w:r>
              <w:rPr>
                <w:rFonts w:cs="Tahoma"/>
                <w:szCs w:val="18"/>
              </w:rPr>
              <w:t>Core-CAL-Suite</w:t>
            </w:r>
          </w:p>
        </w:tc>
        <w:tc>
          <w:tcPr>
            <w:tcW w:w="4157" w:type="dxa"/>
            <w:tcBorders>
              <w:top w:val="nil"/>
              <w:left w:val="nil"/>
              <w:bottom w:val="single" w:sz="4" w:space="0" w:color="auto"/>
              <w:right w:val="single" w:sz="8" w:space="0" w:color="auto"/>
            </w:tcBorders>
            <w:vAlign w:val="center"/>
          </w:tcPr>
          <w:p w:rsidR="008D4EE5" w:rsidRPr="0062435A" w:rsidRDefault="008D4EE5" w:rsidP="00A67771">
            <w:pPr>
              <w:numPr>
                <w:ilvl w:val="0"/>
                <w:numId w:val="35"/>
              </w:numPr>
              <w:spacing w:before="60" w:after="60"/>
              <w:ind w:left="907"/>
            </w:pPr>
            <w:r>
              <w:rPr>
                <w:rFonts w:cs="Tahoma"/>
                <w:color w:val="000000"/>
                <w:szCs w:val="18"/>
              </w:rPr>
              <w:t>Office 365 (Enterprise E1)*</w:t>
            </w:r>
          </w:p>
          <w:p w:rsidR="008D4EE5" w:rsidRPr="0062435A" w:rsidRDefault="008D4EE5" w:rsidP="00A67771">
            <w:pPr>
              <w:numPr>
                <w:ilvl w:val="0"/>
                <w:numId w:val="35"/>
              </w:numPr>
              <w:spacing w:after="60"/>
            </w:pPr>
            <w:r>
              <w:rPr>
                <w:rFonts w:cs="Tahoma"/>
                <w:color w:val="000000"/>
                <w:szCs w:val="18"/>
              </w:rPr>
              <w:t>Office 365 (Enterprise E3)*</w:t>
            </w:r>
          </w:p>
          <w:p w:rsidR="008D4EE5" w:rsidRPr="0062435A" w:rsidRDefault="008D4EE5" w:rsidP="00A67771">
            <w:pPr>
              <w:numPr>
                <w:ilvl w:val="0"/>
                <w:numId w:val="35"/>
              </w:numPr>
              <w:spacing w:after="60"/>
            </w:pPr>
            <w:r>
              <w:rPr>
                <w:rFonts w:cs="Tahoma"/>
                <w:color w:val="000000"/>
                <w:szCs w:val="18"/>
              </w:rPr>
              <w:t>Office 365 (Enterprise E4)*</w:t>
            </w:r>
          </w:p>
          <w:p w:rsidR="008D4EE5" w:rsidRPr="0062435A" w:rsidRDefault="008D4EE5" w:rsidP="00A67771">
            <w:pPr>
              <w:numPr>
                <w:ilvl w:val="0"/>
                <w:numId w:val="35"/>
              </w:numPr>
              <w:spacing w:after="60"/>
            </w:pPr>
            <w:r>
              <w:rPr>
                <w:rFonts w:cs="Tahoma"/>
                <w:color w:val="000000"/>
                <w:szCs w:val="18"/>
              </w:rPr>
              <w:t>Office 365 (Government G1)*</w:t>
            </w:r>
          </w:p>
          <w:p w:rsidR="008D4EE5" w:rsidRPr="0062435A" w:rsidRDefault="008D4EE5" w:rsidP="00A67771">
            <w:pPr>
              <w:numPr>
                <w:ilvl w:val="0"/>
                <w:numId w:val="35"/>
              </w:numPr>
              <w:spacing w:after="60"/>
            </w:pPr>
            <w:r>
              <w:rPr>
                <w:rFonts w:cs="Tahoma"/>
                <w:color w:val="000000"/>
                <w:szCs w:val="18"/>
              </w:rPr>
              <w:t>Office 365 (Government G3)*</w:t>
            </w:r>
          </w:p>
          <w:p w:rsidR="008D4EE5" w:rsidRPr="0062435A" w:rsidRDefault="008D4EE5" w:rsidP="00A67771">
            <w:pPr>
              <w:numPr>
                <w:ilvl w:val="0"/>
                <w:numId w:val="35"/>
              </w:numPr>
              <w:spacing w:after="60"/>
            </w:pPr>
            <w:r>
              <w:rPr>
                <w:rFonts w:cs="Tahoma"/>
                <w:color w:val="000000"/>
                <w:szCs w:val="18"/>
              </w:rPr>
              <w:t>Office 365 (Government G4)*</w:t>
            </w:r>
          </w:p>
          <w:p w:rsidR="008D4EE5" w:rsidRPr="0062435A" w:rsidRDefault="008D4EE5" w:rsidP="00A67771">
            <w:pPr>
              <w:numPr>
                <w:ilvl w:val="0"/>
                <w:numId w:val="35"/>
              </w:numPr>
              <w:spacing w:after="60"/>
            </w:pPr>
            <w:r>
              <w:rPr>
                <w:rFonts w:cs="Tahoma"/>
                <w:color w:val="000000"/>
                <w:szCs w:val="18"/>
              </w:rPr>
              <w:t xml:space="preserve">Windows Intune* </w:t>
            </w:r>
          </w:p>
          <w:p w:rsidR="008D4EE5" w:rsidRPr="00822871" w:rsidRDefault="008D4EE5" w:rsidP="00A67771">
            <w:pPr>
              <w:ind w:left="907"/>
              <w:rPr>
                <w:rFonts w:cs="Tahoma"/>
                <w:color w:val="000000"/>
                <w:szCs w:val="18"/>
              </w:rPr>
            </w:pPr>
          </w:p>
        </w:tc>
      </w:tr>
      <w:tr w:rsidR="008D4EE5" w:rsidRPr="0043735F" w:rsidTr="00B33F60">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8D4EE5" w:rsidRPr="0043735F" w:rsidRDefault="008D4EE5" w:rsidP="00A67771">
            <w:pPr>
              <w:ind w:left="144"/>
              <w:rPr>
                <w:rFonts w:cs="Tahoma"/>
                <w:szCs w:val="18"/>
              </w:rPr>
            </w:pPr>
            <w:r>
              <w:rPr>
                <w:rFonts w:cs="Tahoma"/>
                <w:szCs w:val="18"/>
              </w:rPr>
              <w:t>Enterprise-CAL-Suite</w:t>
            </w:r>
          </w:p>
        </w:tc>
        <w:tc>
          <w:tcPr>
            <w:tcW w:w="4157" w:type="dxa"/>
            <w:tcBorders>
              <w:top w:val="single" w:sz="4" w:space="0" w:color="auto"/>
              <w:left w:val="nil"/>
              <w:bottom w:val="single" w:sz="4" w:space="0" w:color="auto"/>
              <w:right w:val="single" w:sz="8" w:space="0" w:color="auto"/>
            </w:tcBorders>
            <w:vAlign w:val="center"/>
          </w:tcPr>
          <w:p w:rsidR="008D4EE5" w:rsidRPr="0062435A" w:rsidRDefault="008D4EE5" w:rsidP="00A67771">
            <w:pPr>
              <w:numPr>
                <w:ilvl w:val="0"/>
                <w:numId w:val="36"/>
              </w:numPr>
              <w:spacing w:before="60" w:after="60"/>
              <w:ind w:left="907"/>
            </w:pPr>
            <w:r>
              <w:rPr>
                <w:rFonts w:eastAsia="Calibri" w:cs="Tahoma"/>
                <w:color w:val="000000"/>
                <w:szCs w:val="18"/>
              </w:rPr>
              <w:t xml:space="preserve">Office 365 </w:t>
            </w:r>
            <w:r>
              <w:rPr>
                <w:rFonts w:cs="Tahoma"/>
                <w:color w:val="000000"/>
                <w:szCs w:val="18"/>
              </w:rPr>
              <w:t>(Enterprise E3)*</w:t>
            </w:r>
          </w:p>
          <w:p w:rsidR="008D4EE5" w:rsidRPr="0062435A" w:rsidRDefault="008D4EE5" w:rsidP="00A67771">
            <w:pPr>
              <w:numPr>
                <w:ilvl w:val="0"/>
                <w:numId w:val="36"/>
              </w:numPr>
              <w:spacing w:after="60"/>
            </w:pPr>
            <w:r>
              <w:rPr>
                <w:rFonts w:eastAsia="Calibri" w:cs="Tahoma"/>
                <w:color w:val="000000"/>
                <w:szCs w:val="18"/>
              </w:rPr>
              <w:t xml:space="preserve">Office 365 </w:t>
            </w:r>
            <w:r>
              <w:rPr>
                <w:rFonts w:cs="Tahoma"/>
                <w:color w:val="000000"/>
                <w:szCs w:val="18"/>
              </w:rPr>
              <w:t>(Enterprise E4)*</w:t>
            </w:r>
          </w:p>
          <w:p w:rsidR="008D4EE5" w:rsidRPr="0062435A" w:rsidRDefault="008D4EE5" w:rsidP="00A67771">
            <w:pPr>
              <w:numPr>
                <w:ilvl w:val="0"/>
                <w:numId w:val="36"/>
              </w:numPr>
              <w:spacing w:after="60"/>
            </w:pPr>
            <w:r>
              <w:rPr>
                <w:rFonts w:eastAsia="Calibri" w:cs="Tahoma"/>
                <w:color w:val="000000"/>
                <w:szCs w:val="18"/>
              </w:rPr>
              <w:t xml:space="preserve">Office 365 </w:t>
            </w:r>
            <w:r>
              <w:rPr>
                <w:rFonts w:cs="Tahoma"/>
                <w:color w:val="000000"/>
                <w:szCs w:val="18"/>
              </w:rPr>
              <w:t>(Government G3)*</w:t>
            </w:r>
          </w:p>
          <w:p w:rsidR="008D4EE5" w:rsidRPr="0062435A" w:rsidRDefault="008D4EE5" w:rsidP="00A67771">
            <w:pPr>
              <w:numPr>
                <w:ilvl w:val="0"/>
                <w:numId w:val="36"/>
              </w:numPr>
              <w:spacing w:after="60"/>
            </w:pPr>
            <w:r>
              <w:rPr>
                <w:rFonts w:eastAsia="Calibri" w:cs="Tahoma"/>
                <w:color w:val="000000"/>
                <w:szCs w:val="18"/>
              </w:rPr>
              <w:t xml:space="preserve">Office 365 </w:t>
            </w:r>
            <w:r>
              <w:rPr>
                <w:rFonts w:cs="Tahoma"/>
                <w:color w:val="000000"/>
                <w:szCs w:val="18"/>
              </w:rPr>
              <w:t>(Government G4)*</w:t>
            </w:r>
          </w:p>
          <w:p w:rsidR="008D4EE5" w:rsidRPr="0062435A" w:rsidRDefault="008D4EE5" w:rsidP="00A67771">
            <w:pPr>
              <w:numPr>
                <w:ilvl w:val="0"/>
                <w:numId w:val="36"/>
              </w:numPr>
              <w:spacing w:after="60"/>
            </w:pPr>
            <w:r>
              <w:rPr>
                <w:rFonts w:cs="Tahoma"/>
                <w:color w:val="000000"/>
                <w:szCs w:val="18"/>
              </w:rPr>
              <w:t>Windows Intune*</w:t>
            </w:r>
          </w:p>
          <w:p w:rsidR="008D4EE5" w:rsidRPr="00822871" w:rsidRDefault="008D4EE5" w:rsidP="00A67771">
            <w:pPr>
              <w:ind w:left="907"/>
              <w:rPr>
                <w:rFonts w:cs="Tahoma"/>
                <w:color w:val="000000"/>
                <w:szCs w:val="18"/>
              </w:rPr>
            </w:pPr>
          </w:p>
        </w:tc>
      </w:tr>
    </w:tbl>
    <w:p w:rsidR="008D4EE5" w:rsidRPr="009123CB" w:rsidRDefault="008D4EE5" w:rsidP="008D4EE5">
      <w:pPr>
        <w:tabs>
          <w:tab w:val="left" w:pos="360"/>
        </w:tabs>
        <w:ind w:left="720"/>
        <w:rPr>
          <w:lang w:val="de-DE"/>
        </w:rPr>
      </w:pPr>
      <w:r w:rsidRPr="009123CB">
        <w:rPr>
          <w:rFonts w:cs="Tahoma"/>
          <w:i/>
          <w:sz w:val="16"/>
          <w:szCs w:val="20"/>
          <w:lang w:val="de-DE"/>
        </w:rPr>
        <w:t>* Erfordert eine entsprechende CAL Suite Bridge</w:t>
      </w:r>
      <w:r w:rsidR="006257A7">
        <w:rPr>
          <w:rFonts w:cs="Tahoma"/>
          <w:i/>
          <w:sz w:val="16"/>
          <w:szCs w:val="20"/>
          <w:lang w:val="de-DE"/>
        </w:rPr>
        <w:t xml:space="preserve">. </w:t>
      </w:r>
      <w:r w:rsidRPr="009123CB">
        <w:rPr>
          <w:rFonts w:cs="Tahoma"/>
          <w:i/>
          <w:sz w:val="16"/>
          <w:szCs w:val="20"/>
          <w:lang w:val="de-DE"/>
        </w:rPr>
        <w:t>Weitere Informationen zu CAL Suite Bridge finden Sie im Abschnitt „Produkthinweise“ dieses Dokuments</w:t>
      </w:r>
      <w:r w:rsidR="006257A7">
        <w:rPr>
          <w:rFonts w:cs="Tahoma"/>
          <w:i/>
          <w:sz w:val="16"/>
          <w:szCs w:val="20"/>
          <w:lang w:val="de-DE"/>
        </w:rPr>
        <w:t xml:space="preserve">. </w:t>
      </w:r>
    </w:p>
    <w:p w:rsidR="008D4EE5" w:rsidRPr="009123CB" w:rsidRDefault="008D4EE5" w:rsidP="008D4EE5">
      <w:pPr>
        <w:tabs>
          <w:tab w:val="left" w:pos="360"/>
        </w:tabs>
        <w:ind w:left="720"/>
        <w:rPr>
          <w:lang w:val="de-DE"/>
        </w:rPr>
      </w:pPr>
      <w:r w:rsidRPr="009123CB">
        <w:rPr>
          <w:rFonts w:cs="Tahoma"/>
          <w:i/>
          <w:sz w:val="16"/>
          <w:szCs w:val="20"/>
          <w:lang w:val="de-DE"/>
        </w:rPr>
        <w:t>** Office 365 ProPlus und Windows VDA sind Konzernprodukte und entsprechen möglicherweise auch der Konzernweiten Anforderung</w:t>
      </w:r>
      <w:r w:rsidR="006257A7">
        <w:rPr>
          <w:rFonts w:cs="Tahoma"/>
          <w:i/>
          <w:sz w:val="16"/>
          <w:szCs w:val="20"/>
          <w:lang w:val="de-DE"/>
        </w:rPr>
        <w:t xml:space="preserve">. </w:t>
      </w:r>
    </w:p>
    <w:p w:rsidR="008D4EE5" w:rsidRPr="009123CB" w:rsidRDefault="008D4EE5" w:rsidP="008D4EE5">
      <w:pPr>
        <w:tabs>
          <w:tab w:val="left" w:pos="360"/>
        </w:tabs>
        <w:ind w:left="720"/>
        <w:rPr>
          <w:lang w:val="de-DE"/>
        </w:rPr>
      </w:pPr>
      <w:r w:rsidRPr="009123CB">
        <w:rPr>
          <w:rFonts w:cs="Tahoma"/>
          <w:i/>
          <w:sz w:val="16"/>
          <w:szCs w:val="20"/>
          <w:lang w:val="de-DE"/>
        </w:rPr>
        <w:t>*** Konzern-Onlinedienste umfassen nur Nutzer-ALs zur vollständigen Verwendung</w:t>
      </w:r>
      <w:r w:rsidR="006257A7">
        <w:rPr>
          <w:rFonts w:cs="Tahoma"/>
          <w:i/>
          <w:sz w:val="16"/>
          <w:szCs w:val="20"/>
          <w:lang w:val="de-DE"/>
        </w:rPr>
        <w:t xml:space="preserve">. </w:t>
      </w:r>
      <w:r w:rsidRPr="009123CB">
        <w:rPr>
          <w:rFonts w:cs="Tahoma"/>
          <w:i/>
          <w:sz w:val="16"/>
          <w:szCs w:val="20"/>
          <w:lang w:val="de-DE"/>
        </w:rPr>
        <w:t>Nutzer-ALs für Software Assurance, für deren Erwerb Core CAL oder Enterprise CAL erforderlich ist, sind keine Konzern-Onlinedienste</w:t>
      </w:r>
      <w:r w:rsidR="006257A7">
        <w:rPr>
          <w:rFonts w:cs="Tahoma"/>
          <w:i/>
          <w:sz w:val="16"/>
          <w:szCs w:val="20"/>
          <w:lang w:val="de-DE"/>
        </w:rPr>
        <w:t xml:space="preserve">. </w:t>
      </w:r>
    </w:p>
    <w:p w:rsidR="008D4EE5" w:rsidRPr="009123CB" w:rsidRDefault="008D4EE5" w:rsidP="008D4EE5">
      <w:pPr>
        <w:tabs>
          <w:tab w:val="left" w:pos="360"/>
        </w:tabs>
        <w:ind w:left="720"/>
        <w:rPr>
          <w:lang w:val="de-DE"/>
        </w:rPr>
      </w:pPr>
    </w:p>
    <w:p w:rsidR="008D4EE5" w:rsidRPr="009123CB" w:rsidRDefault="008D4EE5" w:rsidP="008D4EE5">
      <w:pPr>
        <w:tabs>
          <w:tab w:val="left" w:pos="360"/>
        </w:tabs>
        <w:spacing w:after="60"/>
        <w:rPr>
          <w:lang w:val="de-DE"/>
        </w:rPr>
      </w:pPr>
      <w:r w:rsidRPr="009123CB">
        <w:rPr>
          <w:rFonts w:cs="Tahoma"/>
          <w:b/>
          <w:szCs w:val="18"/>
          <w:lang w:val="de-DE"/>
        </w:rPr>
        <w:t>Zulässige Übergänge</w:t>
      </w:r>
    </w:p>
    <w:p w:rsidR="008D4EE5" w:rsidRPr="009123CB" w:rsidRDefault="008D4EE5" w:rsidP="00B33F60">
      <w:pPr>
        <w:tabs>
          <w:tab w:val="left" w:pos="360"/>
        </w:tabs>
        <w:rPr>
          <w:lang w:val="de-DE"/>
        </w:rPr>
      </w:pPr>
      <w:r w:rsidRPr="009123CB">
        <w:rPr>
          <w:rFonts w:cs="Tahoma"/>
          <w:b/>
          <w:szCs w:val="20"/>
          <w:lang w:val="de-DE"/>
        </w:rPr>
        <w:t xml:space="preserve">Anmerkung: </w:t>
      </w:r>
      <w:r w:rsidRPr="009123CB">
        <w:rPr>
          <w:rFonts w:cs="Tahoma"/>
          <w:szCs w:val="20"/>
          <w:lang w:val="de-DE"/>
        </w:rPr>
        <w:t>Die folgenden Bestimmungen gelten für Kunden mit Konzern- und Konzern-Abonnement-Beitritt, die</w:t>
      </w:r>
      <w:r w:rsidR="00B33F60">
        <w:rPr>
          <w:rFonts w:cs="Tahoma"/>
          <w:szCs w:val="20"/>
          <w:lang w:val="de-DE"/>
        </w:rPr>
        <w:t> </w:t>
      </w:r>
      <w:r w:rsidRPr="009123CB">
        <w:rPr>
          <w:rFonts w:cs="Tahoma"/>
          <w:szCs w:val="20"/>
          <w:lang w:val="de-DE"/>
        </w:rPr>
        <w:t>Übergangsrechte besitzen</w:t>
      </w:r>
      <w:r w:rsidR="006257A7">
        <w:rPr>
          <w:rFonts w:cs="Tahoma"/>
          <w:szCs w:val="20"/>
          <w:lang w:val="de-DE"/>
        </w:rPr>
        <w:t xml:space="preserve">. </w:t>
      </w:r>
      <w:r w:rsidRPr="009123CB">
        <w:rPr>
          <w:rFonts w:cs="Tahoma"/>
          <w:szCs w:val="20"/>
          <w:lang w:val="de-DE"/>
        </w:rPr>
        <w:t>Kunden, die hinsichtlich der Übergangsrechte im Rahmen ihres Beitritts unsicher sind,</w:t>
      </w:r>
      <w:r w:rsidR="00B33F60">
        <w:rPr>
          <w:rFonts w:cs="Tahoma"/>
          <w:szCs w:val="20"/>
          <w:lang w:val="de-DE"/>
        </w:rPr>
        <w:t> </w:t>
      </w:r>
      <w:r w:rsidRPr="009123CB">
        <w:rPr>
          <w:rFonts w:cs="Tahoma"/>
          <w:szCs w:val="20"/>
          <w:lang w:val="de-DE"/>
        </w:rPr>
        <w:t>erhalten von ihrem Software Advisor, Handelspartner oder Microsoft-Kundenbetreuer weitere Informationen</w:t>
      </w:r>
      <w:r w:rsidR="006257A7">
        <w:rPr>
          <w:rFonts w:cs="Tahoma"/>
          <w:szCs w:val="20"/>
          <w:lang w:val="de-DE"/>
        </w:rPr>
        <w:t xml:space="preserve">. </w:t>
      </w:r>
    </w:p>
    <w:p w:rsidR="008D4EE5" w:rsidRPr="009123CB" w:rsidRDefault="008D4EE5" w:rsidP="008D4EE5">
      <w:pPr>
        <w:tabs>
          <w:tab w:val="left" w:pos="360"/>
        </w:tabs>
        <w:rPr>
          <w:lang w:val="de-DE"/>
        </w:rPr>
      </w:pPr>
    </w:p>
    <w:p w:rsidR="008D4EE5" w:rsidRPr="009123CB" w:rsidRDefault="008D4EE5" w:rsidP="00B33F60">
      <w:pPr>
        <w:tabs>
          <w:tab w:val="left" w:pos="360"/>
        </w:tabs>
        <w:rPr>
          <w:lang w:val="de-DE"/>
        </w:rPr>
      </w:pPr>
      <w:r w:rsidRPr="009123CB">
        <w:rPr>
          <w:rFonts w:cs="Tahoma"/>
          <w:szCs w:val="20"/>
          <w:lang w:val="de-DE"/>
        </w:rPr>
        <w:t>In der Tabelle unten sind Produkte, die für einen Übergang berechtigt sind, sowie zulässige Übergänge aufgeführt</w:t>
      </w:r>
      <w:r w:rsidR="006257A7">
        <w:rPr>
          <w:rFonts w:cs="Tahoma"/>
          <w:szCs w:val="20"/>
          <w:lang w:val="de-DE"/>
        </w:rPr>
        <w:t xml:space="preserve">. </w:t>
      </w:r>
      <w:r w:rsidRPr="009123CB">
        <w:rPr>
          <w:rFonts w:cs="Tahoma"/>
          <w:szCs w:val="20"/>
          <w:lang w:val="de-DE"/>
        </w:rPr>
        <w:t>Sie</w:t>
      </w:r>
      <w:r w:rsidR="00B33F60">
        <w:rPr>
          <w:rFonts w:cs="Tahoma"/>
          <w:szCs w:val="20"/>
          <w:lang w:val="de-DE"/>
        </w:rPr>
        <w:t> </w:t>
      </w:r>
      <w:r w:rsidRPr="009123CB">
        <w:rPr>
          <w:rFonts w:cs="Tahoma"/>
          <w:szCs w:val="20"/>
          <w:lang w:val="de-DE"/>
        </w:rPr>
        <w:t>enthält auch Produkte, bei denen ein Übergang erfolgt, wenn sie als Bestandteil einer Desktop-Plattform erworben werden</w:t>
      </w:r>
      <w:r w:rsidR="006257A7">
        <w:rPr>
          <w:rFonts w:cs="Tahoma"/>
          <w:szCs w:val="20"/>
          <w:lang w:val="de-DE"/>
        </w:rPr>
        <w:t xml:space="preserve">. </w:t>
      </w:r>
    </w:p>
    <w:p w:rsidR="008D4EE5" w:rsidRPr="009123CB" w:rsidRDefault="008D4EE5" w:rsidP="008D4EE5">
      <w:pPr>
        <w:tabs>
          <w:tab w:val="left" w:pos="360"/>
        </w:tabs>
        <w:ind w:left="720"/>
        <w:rPr>
          <w:lang w:val="de-DE"/>
        </w:rPr>
      </w:pPr>
    </w:p>
    <w:tbl>
      <w:tblPr>
        <w:tblW w:w="8021" w:type="dxa"/>
        <w:tblInd w:w="720" w:type="dxa"/>
        <w:tblCellMar>
          <w:left w:w="0" w:type="dxa"/>
          <w:right w:w="0" w:type="dxa"/>
        </w:tblCellMar>
        <w:tblLook w:val="04A0" w:firstRow="1" w:lastRow="0" w:firstColumn="1" w:lastColumn="0" w:noHBand="0" w:noVBand="1"/>
      </w:tblPr>
      <w:tblGrid>
        <w:gridCol w:w="4240"/>
        <w:gridCol w:w="3781"/>
      </w:tblGrid>
      <w:tr w:rsidR="008D4EE5" w:rsidRPr="0043735F" w:rsidTr="00B33F60">
        <w:trPr>
          <w:cantSplit/>
          <w:trHeight w:val="295"/>
          <w:tblHeader/>
        </w:trPr>
        <w:tc>
          <w:tcPr>
            <w:tcW w:w="4240"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8D4EE5" w:rsidRPr="009123CB" w:rsidRDefault="008D4EE5" w:rsidP="00A67771">
            <w:pPr>
              <w:keepNext/>
              <w:jc w:val="center"/>
              <w:rPr>
                <w:rFonts w:cs="Tahoma"/>
                <w:b/>
                <w:lang w:val="de-DE"/>
              </w:rPr>
            </w:pPr>
            <w:r w:rsidRPr="009123CB">
              <w:rPr>
                <w:rFonts w:cs="Tahoma"/>
                <w:b/>
                <w:lang w:val="de-DE"/>
              </w:rPr>
              <w:t>Produkte, für die ein Übergang erfolgen soll</w:t>
            </w:r>
          </w:p>
        </w:tc>
        <w:tc>
          <w:tcPr>
            <w:tcW w:w="3781" w:type="dxa"/>
            <w:tcBorders>
              <w:top w:val="single" w:sz="8" w:space="0" w:color="auto"/>
              <w:left w:val="nil"/>
              <w:bottom w:val="single" w:sz="8" w:space="0" w:color="auto"/>
              <w:right w:val="single" w:sz="8" w:space="0" w:color="auto"/>
            </w:tcBorders>
            <w:shd w:val="clear" w:color="auto" w:fill="FABF8F"/>
            <w:vAlign w:val="center"/>
            <w:hideMark/>
          </w:tcPr>
          <w:p w:rsidR="008D4EE5" w:rsidRPr="0043735F" w:rsidRDefault="008D4EE5" w:rsidP="00A67771">
            <w:pPr>
              <w:keepNext/>
              <w:jc w:val="center"/>
              <w:rPr>
                <w:rFonts w:cs="Tahoma"/>
                <w:b/>
              </w:rPr>
            </w:pPr>
            <w:r>
              <w:rPr>
                <w:rFonts w:cs="Tahoma"/>
                <w:b/>
              </w:rPr>
              <w:t>Gültige Übergangsoptionen</w:t>
            </w:r>
          </w:p>
        </w:tc>
      </w:tr>
      <w:tr w:rsidR="008D4EE5" w:rsidRPr="0043735F" w:rsidTr="00B33F60">
        <w:trPr>
          <w:cantSplit/>
          <w:trHeight w:val="354"/>
        </w:trPr>
        <w:tc>
          <w:tcPr>
            <w:tcW w:w="4240" w:type="dxa"/>
            <w:tcBorders>
              <w:top w:val="nil"/>
              <w:left w:val="single" w:sz="8" w:space="0" w:color="auto"/>
              <w:bottom w:val="single" w:sz="8" w:space="0" w:color="auto"/>
              <w:right w:val="single" w:sz="8" w:space="0" w:color="auto"/>
            </w:tcBorders>
            <w:vAlign w:val="center"/>
          </w:tcPr>
          <w:p w:rsidR="008D4EE5" w:rsidRPr="0043735F" w:rsidRDefault="008D4EE5" w:rsidP="00A67771">
            <w:pPr>
              <w:spacing w:before="60" w:after="60"/>
              <w:ind w:left="144"/>
              <w:rPr>
                <w:rFonts w:cs="Tahoma"/>
              </w:rPr>
            </w:pPr>
            <w:r>
              <w:rPr>
                <w:rFonts w:cs="Tahoma"/>
              </w:rPr>
              <w:t xml:space="preserve">Core CAL Suite </w:t>
            </w:r>
          </w:p>
        </w:tc>
        <w:tc>
          <w:tcPr>
            <w:tcW w:w="3781" w:type="dxa"/>
            <w:tcBorders>
              <w:top w:val="nil"/>
              <w:left w:val="nil"/>
              <w:bottom w:val="single" w:sz="8" w:space="0" w:color="auto"/>
              <w:right w:val="single" w:sz="8" w:space="0" w:color="auto"/>
            </w:tcBorders>
            <w:vAlign w:val="center"/>
          </w:tcPr>
          <w:p w:rsidR="008D4EE5" w:rsidRPr="0062435A" w:rsidRDefault="008D4EE5" w:rsidP="00A67771">
            <w:pPr>
              <w:numPr>
                <w:ilvl w:val="0"/>
                <w:numId w:val="37"/>
              </w:numPr>
              <w:spacing w:before="60" w:after="60"/>
            </w:pPr>
            <w:r>
              <w:rPr>
                <w:rFonts w:cs="Tahoma"/>
                <w:color w:val="000000"/>
                <w:szCs w:val="18"/>
              </w:rPr>
              <w:t>Office 365 (Enterprise E1)*</w:t>
            </w:r>
          </w:p>
          <w:p w:rsidR="008D4EE5" w:rsidRPr="0062435A" w:rsidRDefault="008D4EE5" w:rsidP="00A67771">
            <w:pPr>
              <w:numPr>
                <w:ilvl w:val="0"/>
                <w:numId w:val="37"/>
              </w:numPr>
              <w:spacing w:after="60"/>
            </w:pPr>
            <w:r>
              <w:rPr>
                <w:rFonts w:cs="Tahoma"/>
                <w:color w:val="000000"/>
                <w:szCs w:val="18"/>
              </w:rPr>
              <w:t>Office 365 (Enterprise E3)*</w:t>
            </w:r>
          </w:p>
          <w:p w:rsidR="008D4EE5" w:rsidRPr="0062435A" w:rsidRDefault="008D4EE5" w:rsidP="00A67771">
            <w:pPr>
              <w:numPr>
                <w:ilvl w:val="0"/>
                <w:numId w:val="37"/>
              </w:numPr>
              <w:spacing w:after="60"/>
            </w:pPr>
            <w:r>
              <w:rPr>
                <w:rFonts w:cs="Tahoma"/>
                <w:color w:val="000000"/>
                <w:szCs w:val="18"/>
              </w:rPr>
              <w:t>Office 365 (Enterprise E4)*</w:t>
            </w:r>
          </w:p>
          <w:p w:rsidR="008D4EE5" w:rsidRPr="0062435A" w:rsidRDefault="008D4EE5" w:rsidP="00A67771">
            <w:pPr>
              <w:numPr>
                <w:ilvl w:val="0"/>
                <w:numId w:val="37"/>
              </w:numPr>
              <w:spacing w:after="60"/>
            </w:pPr>
            <w:r>
              <w:rPr>
                <w:rFonts w:cs="Tahoma"/>
                <w:color w:val="000000"/>
                <w:szCs w:val="18"/>
              </w:rPr>
              <w:t>Office 365 (Government G1)*</w:t>
            </w:r>
          </w:p>
          <w:p w:rsidR="008D4EE5" w:rsidRPr="0062435A" w:rsidRDefault="008D4EE5" w:rsidP="00A67771">
            <w:pPr>
              <w:numPr>
                <w:ilvl w:val="0"/>
                <w:numId w:val="37"/>
              </w:numPr>
              <w:spacing w:after="60"/>
            </w:pPr>
            <w:r>
              <w:rPr>
                <w:rFonts w:cs="Tahoma"/>
                <w:color w:val="000000"/>
                <w:szCs w:val="18"/>
              </w:rPr>
              <w:t>Office 365 (Government G3)*</w:t>
            </w:r>
          </w:p>
          <w:p w:rsidR="008D4EE5" w:rsidRPr="0062435A" w:rsidRDefault="008D4EE5" w:rsidP="00A67771">
            <w:pPr>
              <w:numPr>
                <w:ilvl w:val="0"/>
                <w:numId w:val="37"/>
              </w:numPr>
              <w:spacing w:after="60"/>
            </w:pPr>
            <w:r>
              <w:rPr>
                <w:rFonts w:cs="Tahoma"/>
                <w:color w:val="000000"/>
                <w:szCs w:val="18"/>
              </w:rPr>
              <w:t>Office 365 (Government G4)*</w:t>
            </w:r>
          </w:p>
          <w:p w:rsidR="008D4EE5" w:rsidRPr="0062435A" w:rsidRDefault="008D4EE5" w:rsidP="00A67771">
            <w:pPr>
              <w:numPr>
                <w:ilvl w:val="0"/>
                <w:numId w:val="37"/>
              </w:numPr>
              <w:ind w:right="144"/>
            </w:pPr>
            <w:r>
              <w:rPr>
                <w:rFonts w:cs="Tahoma"/>
                <w:color w:val="000000"/>
              </w:rPr>
              <w:t>Windows Intune*</w:t>
            </w:r>
          </w:p>
          <w:p w:rsidR="008D4EE5" w:rsidRPr="004441AA" w:rsidRDefault="008D4EE5" w:rsidP="00A67771">
            <w:pPr>
              <w:ind w:left="720" w:right="144"/>
              <w:rPr>
                <w:rFonts w:cs="Tahoma"/>
                <w:color w:val="000000"/>
              </w:rPr>
            </w:pPr>
          </w:p>
        </w:tc>
      </w:tr>
      <w:tr w:rsidR="008D4EE5" w:rsidRPr="0043735F" w:rsidTr="00B33F60">
        <w:trPr>
          <w:cantSplit/>
          <w:trHeight w:val="354"/>
        </w:trPr>
        <w:tc>
          <w:tcPr>
            <w:tcW w:w="4240" w:type="dxa"/>
            <w:tcBorders>
              <w:top w:val="nil"/>
              <w:left w:val="single" w:sz="8" w:space="0" w:color="auto"/>
              <w:bottom w:val="single" w:sz="8" w:space="0" w:color="auto"/>
              <w:right w:val="single" w:sz="8" w:space="0" w:color="auto"/>
            </w:tcBorders>
            <w:vAlign w:val="center"/>
          </w:tcPr>
          <w:p w:rsidR="008D4EE5" w:rsidRPr="0043735F" w:rsidRDefault="008D4EE5" w:rsidP="00A67771">
            <w:pPr>
              <w:spacing w:before="60" w:after="60"/>
              <w:ind w:left="144"/>
              <w:rPr>
                <w:rFonts w:cs="Tahoma"/>
              </w:rPr>
            </w:pPr>
            <w:r>
              <w:rPr>
                <w:rFonts w:cs="Tahoma"/>
              </w:rPr>
              <w:t>Enterprise-CAL-Suite</w:t>
            </w:r>
          </w:p>
        </w:tc>
        <w:tc>
          <w:tcPr>
            <w:tcW w:w="3781" w:type="dxa"/>
            <w:tcBorders>
              <w:top w:val="nil"/>
              <w:left w:val="nil"/>
              <w:bottom w:val="single" w:sz="8" w:space="0" w:color="auto"/>
              <w:right w:val="single" w:sz="8" w:space="0" w:color="auto"/>
            </w:tcBorders>
            <w:vAlign w:val="center"/>
          </w:tcPr>
          <w:p w:rsidR="008D4EE5" w:rsidRPr="0062435A" w:rsidRDefault="008D4EE5" w:rsidP="00A67771">
            <w:pPr>
              <w:numPr>
                <w:ilvl w:val="0"/>
                <w:numId w:val="37"/>
              </w:numPr>
              <w:spacing w:before="60" w:after="60"/>
            </w:pPr>
            <w:r>
              <w:rPr>
                <w:rFonts w:cs="Tahoma"/>
                <w:color w:val="000000"/>
                <w:szCs w:val="18"/>
              </w:rPr>
              <w:t>Office 365 (Enterprise E3)*</w:t>
            </w:r>
          </w:p>
          <w:p w:rsidR="008D4EE5" w:rsidRPr="0062435A" w:rsidRDefault="008D4EE5" w:rsidP="00A67771">
            <w:pPr>
              <w:numPr>
                <w:ilvl w:val="0"/>
                <w:numId w:val="37"/>
              </w:numPr>
              <w:spacing w:after="60"/>
            </w:pPr>
            <w:r>
              <w:rPr>
                <w:rFonts w:cs="Tahoma"/>
                <w:color w:val="000000"/>
                <w:szCs w:val="18"/>
              </w:rPr>
              <w:t>Office 365 (Enterprise E4)*</w:t>
            </w:r>
          </w:p>
          <w:p w:rsidR="008D4EE5" w:rsidRPr="0062435A" w:rsidRDefault="008D4EE5" w:rsidP="00A67771">
            <w:pPr>
              <w:numPr>
                <w:ilvl w:val="0"/>
                <w:numId w:val="37"/>
              </w:numPr>
              <w:spacing w:after="60"/>
            </w:pPr>
            <w:r>
              <w:rPr>
                <w:rFonts w:cs="Tahoma"/>
                <w:color w:val="000000"/>
                <w:szCs w:val="18"/>
              </w:rPr>
              <w:t>Office 365 (Enterprise G3)*</w:t>
            </w:r>
          </w:p>
          <w:p w:rsidR="008D4EE5" w:rsidRPr="0062435A" w:rsidRDefault="008D4EE5" w:rsidP="00A67771">
            <w:pPr>
              <w:numPr>
                <w:ilvl w:val="0"/>
                <w:numId w:val="37"/>
              </w:numPr>
              <w:spacing w:after="60"/>
            </w:pPr>
            <w:r>
              <w:rPr>
                <w:rFonts w:cs="Tahoma"/>
                <w:color w:val="000000"/>
                <w:szCs w:val="18"/>
              </w:rPr>
              <w:t>Office 365 (Enterprise G4)*</w:t>
            </w:r>
          </w:p>
          <w:p w:rsidR="008D4EE5" w:rsidRPr="0062435A" w:rsidRDefault="008D4EE5" w:rsidP="00A67771">
            <w:pPr>
              <w:numPr>
                <w:ilvl w:val="0"/>
                <w:numId w:val="37"/>
              </w:numPr>
              <w:ind w:right="144"/>
            </w:pPr>
            <w:r>
              <w:rPr>
                <w:rFonts w:cs="Tahoma"/>
                <w:color w:val="000000"/>
              </w:rPr>
              <w:t>Windows</w:t>
            </w:r>
            <w:r w:rsidR="0069040B" w:rsidRPr="0069040B">
              <w:rPr>
                <w:rFonts w:cs="Tahoma"/>
                <w:color w:val="000000"/>
                <w:vertAlign w:val="superscript"/>
              </w:rPr>
              <w:t>®</w:t>
            </w:r>
            <w:r>
              <w:rPr>
                <w:rFonts w:cs="Tahoma"/>
                <w:color w:val="000000"/>
              </w:rPr>
              <w:t xml:space="preserve"> Intune*</w:t>
            </w:r>
          </w:p>
          <w:p w:rsidR="008D4EE5" w:rsidRPr="002765CF" w:rsidRDefault="008D4EE5" w:rsidP="00A67771">
            <w:pPr>
              <w:ind w:right="144"/>
              <w:rPr>
                <w:rFonts w:cs="Tahoma"/>
                <w:color w:val="000000"/>
              </w:rPr>
            </w:pPr>
          </w:p>
        </w:tc>
      </w:tr>
      <w:tr w:rsidR="008D4EE5" w:rsidRPr="0043735F" w:rsidTr="00B33F60">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8D4EE5" w:rsidRPr="0043735F" w:rsidRDefault="008D4EE5" w:rsidP="00A67771">
            <w:pPr>
              <w:spacing w:before="60" w:after="60"/>
              <w:ind w:left="144"/>
              <w:rPr>
                <w:rFonts w:cs="Tahoma"/>
              </w:rPr>
            </w:pPr>
            <w:r>
              <w:rPr>
                <w:rFonts w:cs="Tahoma"/>
              </w:rPr>
              <w:t>Office Professional Plus</w:t>
            </w:r>
          </w:p>
        </w:tc>
        <w:tc>
          <w:tcPr>
            <w:tcW w:w="3781" w:type="dxa"/>
            <w:tcBorders>
              <w:top w:val="single" w:sz="8" w:space="0" w:color="auto"/>
              <w:left w:val="nil"/>
              <w:bottom w:val="single" w:sz="8" w:space="0" w:color="auto"/>
              <w:right w:val="single" w:sz="8" w:space="0" w:color="auto"/>
            </w:tcBorders>
            <w:vAlign w:val="center"/>
          </w:tcPr>
          <w:p w:rsidR="008D4EE5" w:rsidRPr="0062435A" w:rsidRDefault="008D4EE5" w:rsidP="00A67771">
            <w:pPr>
              <w:numPr>
                <w:ilvl w:val="0"/>
                <w:numId w:val="37"/>
              </w:numPr>
              <w:spacing w:after="60"/>
            </w:pPr>
            <w:r>
              <w:rPr>
                <w:rFonts w:cs="Tahoma"/>
                <w:color w:val="000000"/>
                <w:szCs w:val="18"/>
              </w:rPr>
              <w:t>Office 365 (Enterprise E3)*</w:t>
            </w:r>
          </w:p>
          <w:p w:rsidR="008D4EE5" w:rsidRPr="0062435A" w:rsidRDefault="008D4EE5" w:rsidP="00A67771">
            <w:pPr>
              <w:numPr>
                <w:ilvl w:val="0"/>
                <w:numId w:val="37"/>
              </w:numPr>
              <w:spacing w:after="60"/>
            </w:pPr>
            <w:r>
              <w:rPr>
                <w:rFonts w:cs="Tahoma"/>
                <w:color w:val="000000"/>
                <w:szCs w:val="18"/>
              </w:rPr>
              <w:t>Office 365 (Enterprise E4)*</w:t>
            </w:r>
          </w:p>
          <w:p w:rsidR="008D4EE5" w:rsidRPr="0062435A" w:rsidRDefault="008D4EE5" w:rsidP="00A67771">
            <w:pPr>
              <w:numPr>
                <w:ilvl w:val="0"/>
                <w:numId w:val="37"/>
              </w:numPr>
              <w:spacing w:after="60"/>
            </w:pPr>
            <w:r>
              <w:rPr>
                <w:rFonts w:cs="Tahoma"/>
                <w:color w:val="000000"/>
                <w:szCs w:val="18"/>
              </w:rPr>
              <w:t>Office 365 (Government G3)</w:t>
            </w:r>
          </w:p>
          <w:p w:rsidR="008D4EE5" w:rsidRPr="0062435A" w:rsidRDefault="008D4EE5" w:rsidP="00A67771">
            <w:pPr>
              <w:numPr>
                <w:ilvl w:val="0"/>
                <w:numId w:val="37"/>
              </w:numPr>
              <w:spacing w:after="60"/>
            </w:pPr>
            <w:r>
              <w:rPr>
                <w:rFonts w:cs="Tahoma"/>
                <w:color w:val="000000"/>
                <w:szCs w:val="18"/>
              </w:rPr>
              <w:t>Office 365 (Government G4)</w:t>
            </w:r>
          </w:p>
          <w:p w:rsidR="008D4EE5" w:rsidRPr="0062435A" w:rsidRDefault="008D4EE5" w:rsidP="00A67771">
            <w:pPr>
              <w:numPr>
                <w:ilvl w:val="0"/>
                <w:numId w:val="37"/>
              </w:numPr>
              <w:spacing w:after="60"/>
            </w:pPr>
            <w:r>
              <w:rPr>
                <w:rFonts w:cs="Tahoma"/>
                <w:color w:val="000000"/>
                <w:szCs w:val="18"/>
              </w:rPr>
              <w:t>Office 365 ProPlus</w:t>
            </w:r>
          </w:p>
          <w:p w:rsidR="008D4EE5" w:rsidRPr="002765CF" w:rsidRDefault="008D4EE5" w:rsidP="00A67771">
            <w:pPr>
              <w:ind w:left="720"/>
              <w:rPr>
                <w:rFonts w:cs="Tahoma"/>
                <w:color w:val="000000"/>
              </w:rPr>
            </w:pPr>
          </w:p>
        </w:tc>
      </w:tr>
      <w:tr w:rsidR="008D4EE5" w:rsidRPr="0043735F" w:rsidTr="00B33F60">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8D4EE5" w:rsidRPr="009123CB" w:rsidRDefault="008D4EE5" w:rsidP="00A67771">
            <w:pPr>
              <w:spacing w:before="60" w:after="60"/>
              <w:ind w:left="144"/>
              <w:rPr>
                <w:rFonts w:cs="Tahoma"/>
                <w:lang w:val="fr-FR"/>
              </w:rPr>
            </w:pPr>
            <w:r w:rsidRPr="009123CB">
              <w:rPr>
                <w:rFonts w:cs="Tahoma"/>
                <w:lang w:val="fr-FR"/>
              </w:rPr>
              <w:t>Office Professional Plus und Core CAL Suite</w:t>
            </w:r>
          </w:p>
        </w:tc>
        <w:tc>
          <w:tcPr>
            <w:tcW w:w="3781" w:type="dxa"/>
            <w:tcBorders>
              <w:top w:val="single" w:sz="8" w:space="0" w:color="auto"/>
              <w:left w:val="nil"/>
              <w:bottom w:val="single" w:sz="8" w:space="0" w:color="auto"/>
              <w:right w:val="single" w:sz="8" w:space="0" w:color="auto"/>
            </w:tcBorders>
            <w:vAlign w:val="center"/>
          </w:tcPr>
          <w:p w:rsidR="008D4EE5" w:rsidRPr="0062435A" w:rsidRDefault="008D4EE5" w:rsidP="00A67771">
            <w:pPr>
              <w:numPr>
                <w:ilvl w:val="0"/>
                <w:numId w:val="37"/>
              </w:numPr>
              <w:spacing w:after="60"/>
            </w:pPr>
            <w:r>
              <w:rPr>
                <w:rFonts w:cs="Tahoma"/>
                <w:color w:val="000000"/>
                <w:szCs w:val="18"/>
              </w:rPr>
              <w:t>Office 365 (Enterprise E3)*</w:t>
            </w:r>
          </w:p>
          <w:p w:rsidR="008D4EE5" w:rsidRPr="0062435A" w:rsidRDefault="008D4EE5" w:rsidP="00A67771">
            <w:pPr>
              <w:numPr>
                <w:ilvl w:val="0"/>
                <w:numId w:val="37"/>
              </w:numPr>
              <w:spacing w:after="60"/>
            </w:pPr>
            <w:r>
              <w:rPr>
                <w:rFonts w:cs="Tahoma"/>
                <w:color w:val="000000"/>
                <w:szCs w:val="18"/>
              </w:rPr>
              <w:t>Office 365 (Enterprise E4)*</w:t>
            </w:r>
          </w:p>
          <w:p w:rsidR="008D4EE5" w:rsidRPr="0062435A" w:rsidRDefault="008D4EE5" w:rsidP="00A67771">
            <w:pPr>
              <w:numPr>
                <w:ilvl w:val="0"/>
                <w:numId w:val="37"/>
              </w:numPr>
              <w:spacing w:after="60"/>
            </w:pPr>
            <w:r>
              <w:rPr>
                <w:rFonts w:cs="Tahoma"/>
                <w:color w:val="000000"/>
                <w:szCs w:val="18"/>
              </w:rPr>
              <w:t>Office 365 (Government G3)*</w:t>
            </w:r>
          </w:p>
          <w:p w:rsidR="008D4EE5" w:rsidRPr="0062435A" w:rsidRDefault="008D4EE5" w:rsidP="00A67771">
            <w:pPr>
              <w:numPr>
                <w:ilvl w:val="0"/>
                <w:numId w:val="37"/>
              </w:numPr>
              <w:spacing w:after="60"/>
            </w:pPr>
            <w:r>
              <w:rPr>
                <w:rFonts w:cs="Tahoma"/>
                <w:color w:val="000000"/>
                <w:szCs w:val="18"/>
              </w:rPr>
              <w:t>Office 365 (Government G4)*</w:t>
            </w:r>
          </w:p>
          <w:p w:rsidR="008D4EE5" w:rsidRPr="002765CF" w:rsidRDefault="008D4EE5" w:rsidP="00A67771">
            <w:pPr>
              <w:ind w:left="720"/>
              <w:rPr>
                <w:rFonts w:cs="Tahoma"/>
                <w:color w:val="000000"/>
              </w:rPr>
            </w:pPr>
          </w:p>
        </w:tc>
      </w:tr>
      <w:tr w:rsidR="008D4EE5" w:rsidRPr="0043735F" w:rsidTr="00CE15C8">
        <w:trPr>
          <w:cantSplit/>
          <w:trHeight w:val="1312"/>
        </w:trPr>
        <w:tc>
          <w:tcPr>
            <w:tcW w:w="4240" w:type="dxa"/>
            <w:tcBorders>
              <w:top w:val="single" w:sz="8" w:space="0" w:color="auto"/>
              <w:left w:val="single" w:sz="8" w:space="0" w:color="auto"/>
              <w:bottom w:val="single" w:sz="8" w:space="0" w:color="auto"/>
              <w:right w:val="single" w:sz="8" w:space="0" w:color="auto"/>
            </w:tcBorders>
            <w:vAlign w:val="center"/>
          </w:tcPr>
          <w:p w:rsidR="008D4EE5" w:rsidRPr="009123CB" w:rsidRDefault="008D4EE5" w:rsidP="00A67771">
            <w:pPr>
              <w:spacing w:before="60" w:after="60"/>
              <w:ind w:left="144"/>
              <w:rPr>
                <w:rFonts w:cs="Tahoma"/>
                <w:lang w:val="fr-FR"/>
              </w:rPr>
            </w:pPr>
            <w:r w:rsidRPr="009123CB">
              <w:rPr>
                <w:rFonts w:cs="Tahoma"/>
                <w:lang w:val="fr-FR"/>
              </w:rPr>
              <w:t>Office Professional Plus und Enterprise CAL Suite</w:t>
            </w:r>
          </w:p>
        </w:tc>
        <w:tc>
          <w:tcPr>
            <w:tcW w:w="3781" w:type="dxa"/>
            <w:tcBorders>
              <w:top w:val="single" w:sz="8" w:space="0" w:color="auto"/>
              <w:left w:val="nil"/>
              <w:bottom w:val="single" w:sz="8" w:space="0" w:color="auto"/>
              <w:right w:val="single" w:sz="8" w:space="0" w:color="auto"/>
            </w:tcBorders>
            <w:vAlign w:val="center"/>
          </w:tcPr>
          <w:p w:rsidR="008D4EE5" w:rsidRPr="0062435A" w:rsidRDefault="008D4EE5" w:rsidP="00A67771">
            <w:pPr>
              <w:numPr>
                <w:ilvl w:val="0"/>
                <w:numId w:val="37"/>
              </w:numPr>
              <w:spacing w:before="60" w:after="60"/>
            </w:pPr>
            <w:r>
              <w:rPr>
                <w:rFonts w:cs="Tahoma"/>
                <w:color w:val="000000"/>
                <w:szCs w:val="18"/>
              </w:rPr>
              <w:t>Office 365 (Enterprise E3)*</w:t>
            </w:r>
          </w:p>
          <w:p w:rsidR="008D4EE5" w:rsidRPr="0062435A" w:rsidRDefault="008D4EE5" w:rsidP="00A67771">
            <w:pPr>
              <w:numPr>
                <w:ilvl w:val="0"/>
                <w:numId w:val="37"/>
              </w:numPr>
              <w:spacing w:after="60"/>
            </w:pPr>
            <w:r>
              <w:rPr>
                <w:rFonts w:cs="Tahoma"/>
                <w:color w:val="000000"/>
                <w:szCs w:val="18"/>
              </w:rPr>
              <w:t>Office 365 (Enterprise E4)*</w:t>
            </w:r>
          </w:p>
          <w:p w:rsidR="008D4EE5" w:rsidRPr="0062435A" w:rsidRDefault="008D4EE5" w:rsidP="00A67771">
            <w:pPr>
              <w:numPr>
                <w:ilvl w:val="0"/>
                <w:numId w:val="37"/>
              </w:numPr>
              <w:spacing w:after="60"/>
            </w:pPr>
            <w:r>
              <w:rPr>
                <w:rFonts w:cs="Tahoma"/>
                <w:color w:val="000000"/>
                <w:szCs w:val="18"/>
              </w:rPr>
              <w:t>Office 365 (Government G3)*</w:t>
            </w:r>
          </w:p>
          <w:p w:rsidR="008D4EE5" w:rsidRPr="00CE15C8" w:rsidRDefault="008D4EE5" w:rsidP="00CE15C8">
            <w:pPr>
              <w:numPr>
                <w:ilvl w:val="0"/>
                <w:numId w:val="37"/>
              </w:numPr>
              <w:spacing w:after="60"/>
            </w:pPr>
            <w:r>
              <w:rPr>
                <w:rFonts w:cs="Tahoma"/>
                <w:color w:val="000000"/>
                <w:szCs w:val="18"/>
              </w:rPr>
              <w:t>Office 365 (Government G4)*</w:t>
            </w:r>
          </w:p>
        </w:tc>
      </w:tr>
      <w:tr w:rsidR="008D4EE5" w:rsidRPr="0043735F" w:rsidTr="00B33F60">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8D4EE5" w:rsidRDefault="008D4EE5" w:rsidP="00A67771">
            <w:pPr>
              <w:spacing w:before="60" w:after="60"/>
              <w:ind w:left="144"/>
              <w:rPr>
                <w:rFonts w:cs="Tahoma"/>
              </w:rPr>
            </w:pPr>
            <w:r>
              <w:rPr>
                <w:rFonts w:cs="Tahoma"/>
              </w:rPr>
              <w:t>Project Professional</w:t>
            </w:r>
          </w:p>
        </w:tc>
        <w:tc>
          <w:tcPr>
            <w:tcW w:w="3781" w:type="dxa"/>
            <w:tcBorders>
              <w:top w:val="single" w:sz="8" w:space="0" w:color="auto"/>
              <w:left w:val="nil"/>
              <w:bottom w:val="single" w:sz="8" w:space="0" w:color="auto"/>
              <w:right w:val="single" w:sz="8" w:space="0" w:color="auto"/>
            </w:tcBorders>
            <w:vAlign w:val="center"/>
          </w:tcPr>
          <w:p w:rsidR="008D4EE5" w:rsidRPr="00B8786B" w:rsidRDefault="008D4EE5" w:rsidP="00A67771">
            <w:pPr>
              <w:numPr>
                <w:ilvl w:val="0"/>
                <w:numId w:val="37"/>
              </w:numPr>
              <w:spacing w:before="60" w:after="60"/>
              <w:rPr>
                <w:rFonts w:cs="Tahoma"/>
                <w:color w:val="000000" w:themeColor="text1"/>
              </w:rPr>
            </w:pPr>
            <w:r>
              <w:rPr>
                <w:rFonts w:cs="Tahoma"/>
                <w:color w:val="000000" w:themeColor="text1"/>
              </w:rPr>
              <w:t>Project Pro für Office 365</w:t>
            </w:r>
          </w:p>
        </w:tc>
      </w:tr>
      <w:tr w:rsidR="008D4EE5" w:rsidRPr="0043735F" w:rsidTr="00B33F60">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8D4EE5" w:rsidRDefault="008D4EE5" w:rsidP="00A67771">
            <w:pPr>
              <w:spacing w:before="60" w:after="60"/>
              <w:ind w:left="144"/>
              <w:rPr>
                <w:rFonts w:cs="Tahoma"/>
              </w:rPr>
            </w:pPr>
            <w:r>
              <w:rPr>
                <w:rFonts w:cs="Tahoma"/>
              </w:rPr>
              <w:t>CAL für Project Server</w:t>
            </w:r>
          </w:p>
        </w:tc>
        <w:tc>
          <w:tcPr>
            <w:tcW w:w="3781" w:type="dxa"/>
            <w:tcBorders>
              <w:top w:val="single" w:sz="8" w:space="0" w:color="auto"/>
              <w:left w:val="nil"/>
              <w:bottom w:val="single" w:sz="8" w:space="0" w:color="auto"/>
              <w:right w:val="single" w:sz="8" w:space="0" w:color="auto"/>
            </w:tcBorders>
            <w:vAlign w:val="center"/>
          </w:tcPr>
          <w:p w:rsidR="008D4EE5" w:rsidRPr="00B8786B" w:rsidRDefault="008D4EE5" w:rsidP="00A67771">
            <w:pPr>
              <w:numPr>
                <w:ilvl w:val="0"/>
                <w:numId w:val="37"/>
              </w:numPr>
              <w:spacing w:before="60" w:after="60"/>
              <w:rPr>
                <w:rFonts w:cs="Tahoma"/>
                <w:color w:val="000000" w:themeColor="text1"/>
              </w:rPr>
            </w:pPr>
            <w:r>
              <w:rPr>
                <w:rFonts w:cs="Tahoma"/>
                <w:color w:val="000000" w:themeColor="text1"/>
              </w:rPr>
              <w:t>Project Online</w:t>
            </w:r>
          </w:p>
        </w:tc>
      </w:tr>
      <w:tr w:rsidR="008D4EE5" w:rsidRPr="0043735F" w:rsidTr="00B33F60">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8D4EE5" w:rsidRDefault="008D4EE5" w:rsidP="00A67771">
            <w:pPr>
              <w:spacing w:before="60" w:after="60"/>
              <w:ind w:left="144"/>
              <w:rPr>
                <w:rFonts w:cs="Tahoma"/>
              </w:rPr>
            </w:pPr>
            <w:r>
              <w:rPr>
                <w:rFonts w:cs="Tahoma"/>
              </w:rPr>
              <w:t>Visio Professional</w:t>
            </w:r>
          </w:p>
        </w:tc>
        <w:tc>
          <w:tcPr>
            <w:tcW w:w="3781" w:type="dxa"/>
            <w:tcBorders>
              <w:top w:val="single" w:sz="8" w:space="0" w:color="auto"/>
              <w:left w:val="nil"/>
              <w:bottom w:val="single" w:sz="8" w:space="0" w:color="auto"/>
              <w:right w:val="single" w:sz="8" w:space="0" w:color="auto"/>
            </w:tcBorders>
            <w:vAlign w:val="center"/>
          </w:tcPr>
          <w:p w:rsidR="008D4EE5" w:rsidRPr="00B8786B" w:rsidRDefault="008D4EE5" w:rsidP="00A67771">
            <w:pPr>
              <w:numPr>
                <w:ilvl w:val="0"/>
                <w:numId w:val="37"/>
              </w:numPr>
              <w:spacing w:before="60" w:after="60"/>
              <w:rPr>
                <w:rFonts w:cs="Tahoma"/>
                <w:color w:val="000000" w:themeColor="text1"/>
              </w:rPr>
            </w:pPr>
            <w:r>
              <w:rPr>
                <w:rFonts w:cs="Tahoma"/>
                <w:color w:val="000000" w:themeColor="text1"/>
              </w:rPr>
              <w:t>Visio Pro für Office 365</w:t>
            </w:r>
          </w:p>
        </w:tc>
      </w:tr>
      <w:tr w:rsidR="008D4EE5" w:rsidRPr="0043735F" w:rsidTr="00B33F60">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8D4EE5" w:rsidRDefault="008D4EE5" w:rsidP="00A67771">
            <w:pPr>
              <w:spacing w:before="60" w:after="60"/>
              <w:ind w:left="144"/>
              <w:rPr>
                <w:rFonts w:cs="Tahoma"/>
              </w:rPr>
            </w:pPr>
            <w:r>
              <w:rPr>
                <w:rFonts w:cs="Tahoma"/>
              </w:rPr>
              <w:t xml:space="preserve">Windows Pro-Upgrade </w:t>
            </w:r>
          </w:p>
        </w:tc>
        <w:tc>
          <w:tcPr>
            <w:tcW w:w="3781" w:type="dxa"/>
            <w:tcBorders>
              <w:top w:val="single" w:sz="8" w:space="0" w:color="auto"/>
              <w:left w:val="nil"/>
              <w:bottom w:val="single" w:sz="8" w:space="0" w:color="auto"/>
              <w:right w:val="single" w:sz="8" w:space="0" w:color="auto"/>
            </w:tcBorders>
            <w:vAlign w:val="center"/>
          </w:tcPr>
          <w:p w:rsidR="008D4EE5" w:rsidRPr="002765CF" w:rsidRDefault="008D4EE5" w:rsidP="00A67771">
            <w:pPr>
              <w:numPr>
                <w:ilvl w:val="0"/>
                <w:numId w:val="37"/>
              </w:numPr>
              <w:spacing w:before="60" w:after="60"/>
              <w:rPr>
                <w:rFonts w:cs="Tahoma"/>
                <w:color w:val="000000"/>
                <w:szCs w:val="18"/>
              </w:rPr>
            </w:pPr>
            <w:r>
              <w:rPr>
                <w:rFonts w:cs="Tahoma"/>
                <w:color w:val="000000" w:themeColor="text1"/>
              </w:rPr>
              <w:t>Windows Virtual Desktop Access</w:t>
            </w:r>
          </w:p>
        </w:tc>
      </w:tr>
      <w:tr w:rsidR="008D4EE5" w:rsidRPr="0043735F" w:rsidTr="00B33F60">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8D4EE5" w:rsidRDefault="008D4EE5" w:rsidP="00A67771">
            <w:pPr>
              <w:spacing w:before="60" w:after="60"/>
              <w:ind w:left="144"/>
              <w:rPr>
                <w:rFonts w:cs="Tahoma"/>
              </w:rPr>
            </w:pPr>
            <w:r>
              <w:rPr>
                <w:rFonts w:cs="Tahoma"/>
                <w:color w:val="000000" w:themeColor="text1"/>
              </w:rPr>
              <w:t>Windows Virtual Desktop Access</w:t>
            </w:r>
          </w:p>
        </w:tc>
        <w:tc>
          <w:tcPr>
            <w:tcW w:w="3781" w:type="dxa"/>
            <w:tcBorders>
              <w:top w:val="single" w:sz="8" w:space="0" w:color="auto"/>
              <w:left w:val="nil"/>
              <w:bottom w:val="single" w:sz="8" w:space="0" w:color="auto"/>
              <w:right w:val="single" w:sz="8" w:space="0" w:color="auto"/>
            </w:tcBorders>
            <w:vAlign w:val="center"/>
          </w:tcPr>
          <w:p w:rsidR="008D4EE5" w:rsidRPr="002765CF" w:rsidRDefault="008D4EE5" w:rsidP="00A67771">
            <w:pPr>
              <w:numPr>
                <w:ilvl w:val="0"/>
                <w:numId w:val="37"/>
              </w:numPr>
              <w:spacing w:before="60" w:after="60"/>
              <w:rPr>
                <w:rFonts w:cs="Tahoma"/>
                <w:color w:val="000000"/>
                <w:szCs w:val="18"/>
              </w:rPr>
            </w:pPr>
            <w:r>
              <w:rPr>
                <w:rFonts w:cs="Tahoma"/>
                <w:color w:val="000000" w:themeColor="text1"/>
              </w:rPr>
              <w:t>Windows Companion-Abonnementlizenz</w:t>
            </w:r>
          </w:p>
        </w:tc>
      </w:tr>
      <w:tr w:rsidR="008D4EE5" w:rsidRPr="0043735F" w:rsidTr="00B33F60">
        <w:trPr>
          <w:cantSplit/>
          <w:trHeight w:val="354"/>
        </w:trPr>
        <w:tc>
          <w:tcPr>
            <w:tcW w:w="4240" w:type="dxa"/>
            <w:tcBorders>
              <w:top w:val="single" w:sz="8" w:space="0" w:color="auto"/>
              <w:left w:val="single" w:sz="8" w:space="0" w:color="auto"/>
              <w:bottom w:val="single" w:sz="8" w:space="0" w:color="auto"/>
              <w:right w:val="single" w:sz="8" w:space="0" w:color="auto"/>
            </w:tcBorders>
            <w:vAlign w:val="center"/>
          </w:tcPr>
          <w:p w:rsidR="008D4EE5" w:rsidRDefault="008D4EE5" w:rsidP="00A67771">
            <w:pPr>
              <w:spacing w:before="60" w:after="60"/>
              <w:ind w:left="144"/>
              <w:rPr>
                <w:rFonts w:cs="Tahoma"/>
              </w:rPr>
            </w:pPr>
            <w:r>
              <w:rPr>
                <w:rFonts w:cs="Tahoma"/>
              </w:rPr>
              <w:t>Windows Pro-Upgrade</w:t>
            </w:r>
          </w:p>
        </w:tc>
        <w:tc>
          <w:tcPr>
            <w:tcW w:w="3781" w:type="dxa"/>
            <w:tcBorders>
              <w:top w:val="single" w:sz="8" w:space="0" w:color="auto"/>
              <w:left w:val="nil"/>
              <w:bottom w:val="single" w:sz="8" w:space="0" w:color="auto"/>
              <w:right w:val="single" w:sz="8" w:space="0" w:color="auto"/>
            </w:tcBorders>
            <w:vAlign w:val="center"/>
          </w:tcPr>
          <w:p w:rsidR="008D4EE5" w:rsidRPr="002765CF" w:rsidRDefault="008D4EE5" w:rsidP="00A67771">
            <w:pPr>
              <w:numPr>
                <w:ilvl w:val="0"/>
                <w:numId w:val="37"/>
              </w:numPr>
              <w:spacing w:before="60" w:after="60"/>
              <w:rPr>
                <w:rFonts w:cs="Tahoma"/>
                <w:color w:val="000000"/>
                <w:szCs w:val="18"/>
              </w:rPr>
            </w:pPr>
            <w:r>
              <w:rPr>
                <w:rFonts w:cs="Tahoma"/>
                <w:color w:val="000000" w:themeColor="text1"/>
              </w:rPr>
              <w:t>Windows Companion-Abonnementlizenz</w:t>
            </w:r>
          </w:p>
        </w:tc>
      </w:tr>
    </w:tbl>
    <w:p w:rsidR="008D4EE5" w:rsidRPr="009123CB" w:rsidRDefault="008D4EE5" w:rsidP="008D4EE5">
      <w:pPr>
        <w:tabs>
          <w:tab w:val="left" w:pos="360"/>
        </w:tabs>
        <w:ind w:left="720"/>
        <w:rPr>
          <w:lang w:val="de-DE"/>
        </w:rPr>
      </w:pPr>
      <w:r w:rsidRPr="009123CB">
        <w:rPr>
          <w:rFonts w:cs="Tahoma"/>
          <w:i/>
          <w:sz w:val="16"/>
          <w:szCs w:val="20"/>
          <w:lang w:val="de-DE"/>
        </w:rPr>
        <w:t>* Erfordert eine entsprechende CAL Suite Bridge</w:t>
      </w:r>
      <w:r w:rsidR="006257A7">
        <w:rPr>
          <w:rFonts w:cs="Tahoma"/>
          <w:i/>
          <w:sz w:val="16"/>
          <w:szCs w:val="20"/>
          <w:lang w:val="de-DE"/>
        </w:rPr>
        <w:t xml:space="preserve">. </w:t>
      </w:r>
      <w:r w:rsidRPr="009123CB">
        <w:rPr>
          <w:rFonts w:cs="Tahoma"/>
          <w:i/>
          <w:sz w:val="16"/>
          <w:szCs w:val="20"/>
          <w:lang w:val="de-DE"/>
        </w:rPr>
        <w:t>Weitere Informationen zu CAL Suite Bridge finden Sie im Abschnitt „Produkthinweise“ dieses Dokuments</w:t>
      </w:r>
      <w:r w:rsidR="006257A7">
        <w:rPr>
          <w:rFonts w:cs="Tahoma"/>
          <w:i/>
          <w:sz w:val="16"/>
          <w:szCs w:val="20"/>
          <w:lang w:val="de-DE"/>
        </w:rPr>
        <w:t xml:space="preserve">. </w:t>
      </w:r>
    </w:p>
    <w:p w:rsidR="008D4EE5" w:rsidRPr="00021721" w:rsidRDefault="008D4EE5" w:rsidP="00021721">
      <w:pPr>
        <w:tabs>
          <w:tab w:val="left" w:pos="360"/>
        </w:tabs>
        <w:spacing w:line="192" w:lineRule="auto"/>
        <w:ind w:left="720"/>
        <w:rPr>
          <w:sz w:val="16"/>
          <w:szCs w:val="16"/>
          <w:lang w:val="de-DE"/>
        </w:rPr>
      </w:pPr>
    </w:p>
    <w:p w:rsidR="008D4EE5" w:rsidRPr="009123CB" w:rsidRDefault="008D4EE5" w:rsidP="008D4EE5">
      <w:pPr>
        <w:rPr>
          <w:lang w:val="de-DE"/>
        </w:rPr>
      </w:pPr>
      <w:r w:rsidRPr="009123CB">
        <w:rPr>
          <w:rFonts w:cs="Tahoma"/>
          <w:szCs w:val="20"/>
          <w:lang w:val="de-DE"/>
        </w:rPr>
        <w:t>Weitere Übergänge können nach Ermessen von Microsoft hinzugefügt werden</w:t>
      </w:r>
      <w:r w:rsidR="006257A7">
        <w:rPr>
          <w:rFonts w:cs="Tahoma"/>
          <w:szCs w:val="20"/>
          <w:lang w:val="de-DE"/>
        </w:rPr>
        <w:t xml:space="preserve">. </w:t>
      </w:r>
      <w:r w:rsidRPr="009123CB">
        <w:rPr>
          <w:rFonts w:cs="Tahoma"/>
          <w:szCs w:val="20"/>
          <w:lang w:val="de-DE"/>
        </w:rPr>
        <w:t>Hierfür können zusätzliche Gebühren und Lizenzbestimmungen gelten</w:t>
      </w:r>
      <w:r w:rsidR="006257A7">
        <w:rPr>
          <w:rFonts w:cs="Tahoma"/>
          <w:szCs w:val="20"/>
          <w:lang w:val="de-DE"/>
        </w:rPr>
        <w:t xml:space="preserve">. </w:t>
      </w:r>
    </w:p>
    <w:p w:rsidR="008D4EE5" w:rsidRPr="00021721" w:rsidRDefault="008D4EE5" w:rsidP="00021721">
      <w:pPr>
        <w:spacing w:line="192" w:lineRule="auto"/>
        <w:outlineLvl w:val="2"/>
        <w:rPr>
          <w:sz w:val="16"/>
          <w:szCs w:val="16"/>
          <w:lang w:val="de-DE"/>
        </w:rPr>
      </w:pPr>
    </w:p>
    <w:p w:rsidR="008D4EE5" w:rsidRPr="009123CB" w:rsidRDefault="008D4EE5" w:rsidP="008D4EE5">
      <w:pPr>
        <w:keepNext/>
        <w:tabs>
          <w:tab w:val="num" w:pos="720"/>
        </w:tabs>
        <w:spacing w:after="60"/>
        <w:outlineLvl w:val="3"/>
        <w:rPr>
          <w:lang w:val="de-DE"/>
        </w:rPr>
      </w:pPr>
      <w:r w:rsidRPr="009123CB">
        <w:rPr>
          <w:rFonts w:cs="Tahoma"/>
          <w:b/>
          <w:szCs w:val="20"/>
          <w:lang w:val="de-DE"/>
        </w:rPr>
        <w:t>Onlinedienste-True Up oder jährliche Bestellungen</w:t>
      </w:r>
      <w:r w:rsidRPr="009123CB">
        <w:rPr>
          <w:rFonts w:eastAsia="Times New Roman" w:cs="Tahoma"/>
          <w:b/>
          <w:sz w:val="22"/>
          <w:szCs w:val="20"/>
          <w:lang w:val="de-DE"/>
        </w:rPr>
        <w:t xml:space="preserve"> </w:t>
      </w:r>
    </w:p>
    <w:p w:rsidR="008D4EE5" w:rsidRPr="009123CB" w:rsidRDefault="008D4EE5" w:rsidP="008D4EE5">
      <w:pPr>
        <w:rPr>
          <w:lang w:val="de-DE"/>
        </w:rPr>
      </w:pPr>
      <w:r w:rsidRPr="009123CB">
        <w:rPr>
          <w:rFonts w:cs="Tahoma"/>
          <w:b/>
          <w:szCs w:val="20"/>
          <w:lang w:val="de-DE"/>
        </w:rPr>
        <w:t>Anmerkung:</w:t>
      </w:r>
      <w:r w:rsidRPr="009123CB">
        <w:rPr>
          <w:rFonts w:cs="Tahoma"/>
          <w:szCs w:val="20"/>
          <w:lang w:val="de-DE"/>
        </w:rPr>
        <w:t xml:space="preserve"> Die folgenden Bestimmungen gelten für Kunden mit Konzern- und Konzern-Abonnement-Beitritt, die zum Einreichen von True Up- oder jährlichen Bestellungen für Onlinedienste berechtigt sind</w:t>
      </w:r>
      <w:r w:rsidR="006257A7">
        <w:rPr>
          <w:rFonts w:cs="Tahoma"/>
          <w:szCs w:val="20"/>
          <w:lang w:val="de-DE"/>
        </w:rPr>
        <w:t xml:space="preserve">. </w:t>
      </w:r>
      <w:r w:rsidRPr="009123CB">
        <w:rPr>
          <w:rFonts w:cs="Tahoma"/>
          <w:szCs w:val="20"/>
          <w:lang w:val="de-DE"/>
        </w:rPr>
        <w:t>Kunden, die hinsichtlich der Berechtigung zum Einreichen von True Up- oder jährlichen Bestellungen für Onlinedienste unsicher sind, erhalten von ihrem Software Advisor, Handelspartner oder Microsoft-Kundenbetreuer weitere Informationen</w:t>
      </w:r>
      <w:r w:rsidR="006257A7">
        <w:rPr>
          <w:rFonts w:cs="Tahoma"/>
          <w:szCs w:val="20"/>
          <w:lang w:val="de-DE"/>
        </w:rPr>
        <w:t xml:space="preserve">. </w:t>
      </w:r>
    </w:p>
    <w:p w:rsidR="008D4EE5" w:rsidRPr="00021721" w:rsidRDefault="008D4EE5" w:rsidP="00021721">
      <w:pPr>
        <w:spacing w:line="192" w:lineRule="auto"/>
        <w:rPr>
          <w:sz w:val="16"/>
          <w:szCs w:val="16"/>
          <w:lang w:val="de-DE"/>
        </w:rPr>
      </w:pPr>
    </w:p>
    <w:p w:rsidR="008D4EE5" w:rsidRPr="009123CB" w:rsidRDefault="008D4EE5" w:rsidP="008D4EE5">
      <w:pPr>
        <w:rPr>
          <w:lang w:val="de-DE"/>
        </w:rPr>
      </w:pPr>
      <w:r w:rsidRPr="009123CB">
        <w:rPr>
          <w:rFonts w:cs="Tahoma"/>
          <w:szCs w:val="20"/>
          <w:lang w:val="de-DE"/>
        </w:rPr>
        <w:t xml:space="preserve">Die folgenden Onlinedienste sind zum Einreichen von True Up- oder jährlichen Bestellungen für Onlinedienste berechtigt: </w:t>
      </w:r>
    </w:p>
    <w:p w:rsidR="008D4EE5" w:rsidRPr="00021721" w:rsidRDefault="008D4EE5" w:rsidP="00021721">
      <w:pPr>
        <w:spacing w:line="192" w:lineRule="auto"/>
        <w:ind w:left="720"/>
        <w:rPr>
          <w:sz w:val="16"/>
          <w:szCs w:val="16"/>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8D4EE5" w:rsidRPr="00766C40" w:rsidTr="00A67771">
        <w:trPr>
          <w:trHeight w:val="80"/>
          <w:tblHeader/>
        </w:trPr>
        <w:tc>
          <w:tcPr>
            <w:tcW w:w="5000" w:type="pct"/>
            <w:gridSpan w:val="2"/>
            <w:shd w:val="clear" w:color="auto" w:fill="FABF8F"/>
          </w:tcPr>
          <w:p w:rsidR="008D4EE5" w:rsidRPr="00766C40" w:rsidRDefault="008D4EE5" w:rsidP="00A67771">
            <w:pPr>
              <w:jc w:val="center"/>
              <w:rPr>
                <w:rFonts w:cs="Tahoma"/>
                <w:b/>
              </w:rPr>
            </w:pPr>
            <w:r>
              <w:rPr>
                <w:rFonts w:cs="Tahoma"/>
                <w:b/>
              </w:rPr>
              <w:t>Onlinedienste</w:t>
            </w:r>
          </w:p>
        </w:tc>
      </w:tr>
      <w:tr w:rsidR="008D4EE5" w:rsidRPr="0043735F" w:rsidTr="00E04FA1">
        <w:trPr>
          <w:trHeight w:val="4652"/>
        </w:trPr>
        <w:tc>
          <w:tcPr>
            <w:tcW w:w="2603" w:type="pct"/>
          </w:tcPr>
          <w:p w:rsidR="008D4EE5" w:rsidRPr="00B33F60" w:rsidRDefault="008D4EE5" w:rsidP="00B33F60">
            <w:pPr>
              <w:pStyle w:val="ListParagraph"/>
              <w:numPr>
                <w:ilvl w:val="0"/>
                <w:numId w:val="38"/>
              </w:numPr>
              <w:spacing w:before="80"/>
              <w:ind w:left="720"/>
              <w:contextualSpacing w:val="0"/>
              <w:rPr>
                <w:rFonts w:ascii="Tahoma" w:hAnsi="Tahoma" w:cs="Tahoma"/>
                <w:sz w:val="18"/>
                <w:szCs w:val="18"/>
                <w:lang w:val="de-DE"/>
              </w:rPr>
            </w:pPr>
            <w:r w:rsidRPr="00B33F60">
              <w:rPr>
                <w:rFonts w:ascii="Tahoma" w:hAnsi="Tahoma" w:cs="Tahoma"/>
                <w:sz w:val="18"/>
                <w:szCs w:val="18"/>
                <w:lang w:val="de-DE"/>
              </w:rPr>
              <w:t>Exchange Online-Archivierung für Exchange Online</w:t>
            </w:r>
          </w:p>
          <w:p w:rsidR="008D4EE5" w:rsidRPr="00B33F60" w:rsidRDefault="008D4EE5" w:rsidP="00B33F60">
            <w:pPr>
              <w:pStyle w:val="ListParagraph"/>
              <w:numPr>
                <w:ilvl w:val="0"/>
                <w:numId w:val="38"/>
              </w:numPr>
              <w:spacing w:before="80"/>
              <w:ind w:left="720"/>
              <w:contextualSpacing w:val="0"/>
              <w:rPr>
                <w:rFonts w:ascii="Tahoma" w:hAnsi="Tahoma" w:cs="Tahoma"/>
                <w:sz w:val="18"/>
                <w:szCs w:val="18"/>
                <w:lang w:val="de-DE"/>
              </w:rPr>
            </w:pPr>
            <w:r w:rsidRPr="00B33F60">
              <w:rPr>
                <w:rFonts w:ascii="Tahoma" w:hAnsi="Tahoma" w:cs="Tahoma"/>
                <w:sz w:val="18"/>
                <w:szCs w:val="18"/>
                <w:lang w:val="de-DE"/>
              </w:rPr>
              <w:t>Exchange Online-Archivierung für Exchange Server</w:t>
            </w:r>
          </w:p>
          <w:p w:rsidR="008D4EE5" w:rsidRPr="00B33F60" w:rsidRDefault="008D4EE5" w:rsidP="00B33F60">
            <w:pPr>
              <w:pStyle w:val="ListParagraph"/>
              <w:numPr>
                <w:ilvl w:val="0"/>
                <w:numId w:val="38"/>
              </w:numPr>
              <w:spacing w:before="80"/>
              <w:ind w:left="720"/>
              <w:contextualSpacing w:val="0"/>
              <w:rPr>
                <w:rFonts w:ascii="Tahoma" w:hAnsi="Tahoma" w:cs="Tahoma"/>
                <w:sz w:val="18"/>
                <w:szCs w:val="18"/>
                <w:lang w:val="de-DE"/>
              </w:rPr>
            </w:pPr>
            <w:r w:rsidRPr="00B33F60">
              <w:rPr>
                <w:rFonts w:ascii="Tahoma" w:hAnsi="Tahoma" w:cs="Tahoma"/>
                <w:sz w:val="18"/>
                <w:szCs w:val="18"/>
                <w:lang w:val="de-DE"/>
              </w:rPr>
              <w:t>Exchange Online Kiosk*</w:t>
            </w:r>
          </w:p>
          <w:p w:rsidR="008D4EE5" w:rsidRPr="00B33F60" w:rsidRDefault="008D4EE5" w:rsidP="00B33F60">
            <w:pPr>
              <w:pStyle w:val="ListParagraph"/>
              <w:numPr>
                <w:ilvl w:val="0"/>
                <w:numId w:val="38"/>
              </w:numPr>
              <w:spacing w:before="80"/>
              <w:ind w:left="720"/>
              <w:contextualSpacing w:val="0"/>
              <w:rPr>
                <w:rFonts w:ascii="Tahoma" w:hAnsi="Tahoma" w:cs="Tahoma"/>
                <w:sz w:val="18"/>
                <w:szCs w:val="18"/>
                <w:lang w:val="de-DE"/>
              </w:rPr>
            </w:pPr>
            <w:r w:rsidRPr="00B33F60">
              <w:rPr>
                <w:rFonts w:ascii="Tahoma" w:hAnsi="Tahoma" w:cs="Tahoma"/>
                <w:sz w:val="18"/>
                <w:szCs w:val="18"/>
                <w:lang w:val="de-DE"/>
              </w:rPr>
              <w:t>Exchange Online Plan 1*</w:t>
            </w:r>
          </w:p>
          <w:p w:rsidR="008D4EE5" w:rsidRPr="00B33F60" w:rsidRDefault="008D4EE5" w:rsidP="00B33F60">
            <w:pPr>
              <w:pStyle w:val="ListParagraph"/>
              <w:numPr>
                <w:ilvl w:val="0"/>
                <w:numId w:val="38"/>
              </w:numPr>
              <w:spacing w:before="80"/>
              <w:ind w:left="720"/>
              <w:contextualSpacing w:val="0"/>
              <w:rPr>
                <w:rFonts w:ascii="Tahoma" w:hAnsi="Tahoma" w:cs="Tahoma"/>
                <w:sz w:val="18"/>
                <w:szCs w:val="18"/>
                <w:lang w:val="de-DE"/>
              </w:rPr>
            </w:pPr>
            <w:r w:rsidRPr="00B33F60">
              <w:rPr>
                <w:rFonts w:ascii="Tahoma" w:hAnsi="Tahoma" w:cs="Tahoma"/>
                <w:sz w:val="18"/>
                <w:szCs w:val="18"/>
                <w:lang w:val="de-DE"/>
              </w:rPr>
              <w:t>Exchange Online Plan 2*</w:t>
            </w:r>
          </w:p>
          <w:p w:rsidR="008D4EE5" w:rsidRPr="00B33F60" w:rsidRDefault="008D4EE5" w:rsidP="00B33F60">
            <w:pPr>
              <w:pStyle w:val="ListParagraph"/>
              <w:numPr>
                <w:ilvl w:val="0"/>
                <w:numId w:val="38"/>
              </w:numPr>
              <w:spacing w:before="80"/>
              <w:ind w:left="720"/>
              <w:contextualSpacing w:val="0"/>
              <w:rPr>
                <w:rFonts w:ascii="Tahoma" w:hAnsi="Tahoma" w:cs="Tahoma"/>
                <w:sz w:val="18"/>
                <w:szCs w:val="18"/>
                <w:lang w:val="de-DE"/>
              </w:rPr>
            </w:pPr>
            <w:r w:rsidRPr="00B33F60">
              <w:rPr>
                <w:rFonts w:ascii="Tahoma" w:hAnsi="Tahoma" w:cs="Tahoma"/>
                <w:sz w:val="18"/>
                <w:szCs w:val="18"/>
                <w:lang w:val="de-DE"/>
              </w:rPr>
              <w:t>Exchange Online Protection</w:t>
            </w:r>
          </w:p>
          <w:p w:rsidR="008D4EE5" w:rsidRPr="00B33F60" w:rsidRDefault="008D4EE5" w:rsidP="00B33F60">
            <w:pPr>
              <w:pStyle w:val="ListParagraph"/>
              <w:numPr>
                <w:ilvl w:val="0"/>
                <w:numId w:val="38"/>
              </w:numPr>
              <w:spacing w:before="80"/>
              <w:ind w:left="720"/>
              <w:contextualSpacing w:val="0"/>
              <w:rPr>
                <w:rFonts w:ascii="Tahoma" w:hAnsi="Tahoma" w:cs="Tahoma"/>
                <w:sz w:val="18"/>
                <w:szCs w:val="18"/>
                <w:lang w:val="de-DE"/>
              </w:rPr>
            </w:pPr>
            <w:r w:rsidRPr="00B33F60">
              <w:rPr>
                <w:rFonts w:ascii="Tahoma" w:hAnsi="Tahoma" w:cs="Tahoma"/>
                <w:sz w:val="18"/>
                <w:szCs w:val="18"/>
                <w:lang w:val="de-DE"/>
              </w:rPr>
              <w:t>Lync Online Plan 1*</w:t>
            </w:r>
          </w:p>
          <w:p w:rsidR="008D4EE5" w:rsidRPr="00B33F60" w:rsidRDefault="008D4EE5" w:rsidP="00B33F60">
            <w:pPr>
              <w:pStyle w:val="ListParagraph"/>
              <w:numPr>
                <w:ilvl w:val="0"/>
                <w:numId w:val="38"/>
              </w:numPr>
              <w:spacing w:before="80"/>
              <w:ind w:left="720"/>
              <w:contextualSpacing w:val="0"/>
              <w:rPr>
                <w:rFonts w:ascii="Tahoma" w:hAnsi="Tahoma" w:cs="Tahoma"/>
                <w:sz w:val="18"/>
                <w:szCs w:val="18"/>
                <w:lang w:val="de-DE"/>
              </w:rPr>
            </w:pPr>
            <w:r w:rsidRPr="00B33F60">
              <w:rPr>
                <w:rFonts w:ascii="Tahoma" w:hAnsi="Tahoma" w:cs="Tahoma"/>
                <w:sz w:val="18"/>
                <w:szCs w:val="18"/>
                <w:lang w:val="de-DE"/>
              </w:rPr>
              <w:t>Lync Online Plan 2*</w:t>
            </w:r>
          </w:p>
          <w:p w:rsidR="008D4EE5" w:rsidRPr="00B33F60" w:rsidRDefault="008D4EE5" w:rsidP="00B33F60">
            <w:pPr>
              <w:pStyle w:val="ListParagraph"/>
              <w:numPr>
                <w:ilvl w:val="0"/>
                <w:numId w:val="38"/>
              </w:numPr>
              <w:spacing w:before="80"/>
              <w:ind w:left="720"/>
              <w:contextualSpacing w:val="0"/>
              <w:rPr>
                <w:rFonts w:ascii="Tahoma" w:hAnsi="Tahoma" w:cs="Tahoma"/>
                <w:sz w:val="18"/>
                <w:szCs w:val="18"/>
                <w:lang w:val="de-DE"/>
              </w:rPr>
            </w:pPr>
            <w:r w:rsidRPr="00B33F60">
              <w:rPr>
                <w:rFonts w:ascii="Tahoma" w:hAnsi="Tahoma" w:cs="Tahoma"/>
                <w:sz w:val="18"/>
                <w:szCs w:val="18"/>
                <w:lang w:val="de-DE"/>
              </w:rPr>
              <w:t>Lync Online Plan 3*</w:t>
            </w:r>
          </w:p>
          <w:p w:rsidR="008D4EE5" w:rsidRPr="00B33F60" w:rsidRDefault="008D4EE5" w:rsidP="00B33F60">
            <w:pPr>
              <w:pStyle w:val="ListParagraph"/>
              <w:numPr>
                <w:ilvl w:val="0"/>
                <w:numId w:val="38"/>
              </w:numPr>
              <w:spacing w:before="80"/>
              <w:ind w:left="720"/>
              <w:contextualSpacing w:val="0"/>
              <w:rPr>
                <w:rFonts w:ascii="Tahoma" w:hAnsi="Tahoma" w:cs="Tahoma"/>
                <w:sz w:val="18"/>
                <w:szCs w:val="18"/>
                <w:lang w:val="de-DE"/>
              </w:rPr>
            </w:pPr>
            <w:r w:rsidRPr="00B33F60">
              <w:rPr>
                <w:rFonts w:ascii="Tahoma" w:hAnsi="Tahoma" w:cs="Tahoma"/>
                <w:sz w:val="18"/>
                <w:szCs w:val="18"/>
                <w:lang w:val="de-DE"/>
              </w:rPr>
              <w:t>Office 365 (Enterprise K1)*</w:t>
            </w:r>
          </w:p>
          <w:p w:rsidR="008D4EE5" w:rsidRPr="00B33F60" w:rsidRDefault="008D4EE5" w:rsidP="00B33F60">
            <w:pPr>
              <w:pStyle w:val="ListParagraph"/>
              <w:numPr>
                <w:ilvl w:val="0"/>
                <w:numId w:val="38"/>
              </w:numPr>
              <w:spacing w:before="80"/>
              <w:ind w:left="720"/>
              <w:contextualSpacing w:val="0"/>
              <w:rPr>
                <w:rFonts w:ascii="Tahoma" w:hAnsi="Tahoma" w:cs="Tahoma"/>
                <w:sz w:val="18"/>
                <w:szCs w:val="18"/>
                <w:lang w:val="de-DE"/>
              </w:rPr>
            </w:pPr>
            <w:r w:rsidRPr="00B33F60">
              <w:rPr>
                <w:rFonts w:ascii="Tahoma" w:hAnsi="Tahoma" w:cs="Tahoma"/>
                <w:sz w:val="18"/>
                <w:szCs w:val="18"/>
                <w:lang w:val="de-DE"/>
              </w:rPr>
              <w:t>Office 365 (Enterprise E1)</w:t>
            </w:r>
          </w:p>
          <w:p w:rsidR="008D4EE5" w:rsidRPr="00B33F60" w:rsidRDefault="008D4EE5" w:rsidP="00B33F60">
            <w:pPr>
              <w:pStyle w:val="ListParagraph"/>
              <w:numPr>
                <w:ilvl w:val="0"/>
                <w:numId w:val="38"/>
              </w:numPr>
              <w:spacing w:before="80"/>
              <w:ind w:left="720"/>
              <w:contextualSpacing w:val="0"/>
              <w:rPr>
                <w:rFonts w:ascii="Tahoma" w:hAnsi="Tahoma" w:cs="Tahoma"/>
                <w:sz w:val="18"/>
                <w:szCs w:val="18"/>
                <w:lang w:val="de-DE"/>
              </w:rPr>
            </w:pPr>
            <w:r w:rsidRPr="00B33F60">
              <w:rPr>
                <w:rFonts w:ascii="Tahoma" w:hAnsi="Tahoma" w:cs="Tahoma"/>
                <w:sz w:val="18"/>
                <w:szCs w:val="18"/>
                <w:lang w:val="de-DE"/>
              </w:rPr>
              <w:t>Office 365 (Enterprise E3)</w:t>
            </w:r>
          </w:p>
          <w:p w:rsidR="008D4EE5" w:rsidRPr="0043735F" w:rsidRDefault="008D4EE5" w:rsidP="00B33F60">
            <w:pPr>
              <w:pStyle w:val="ListParagraph"/>
              <w:numPr>
                <w:ilvl w:val="0"/>
                <w:numId w:val="38"/>
              </w:numPr>
              <w:spacing w:before="80"/>
              <w:ind w:left="720"/>
              <w:contextualSpacing w:val="0"/>
              <w:rPr>
                <w:rFonts w:cs="Tahoma"/>
              </w:rPr>
            </w:pPr>
            <w:r w:rsidRPr="00B33F60">
              <w:rPr>
                <w:rFonts w:ascii="Tahoma" w:hAnsi="Tahoma" w:cs="Tahoma"/>
                <w:sz w:val="18"/>
                <w:szCs w:val="18"/>
                <w:lang w:val="de-DE"/>
              </w:rPr>
              <w:t>Office 365 (Enterprise E4)</w:t>
            </w:r>
          </w:p>
        </w:tc>
        <w:tc>
          <w:tcPr>
            <w:tcW w:w="2397" w:type="pct"/>
          </w:tcPr>
          <w:p w:rsidR="008D4EE5" w:rsidRPr="0062435A" w:rsidRDefault="008D4EE5" w:rsidP="00A67771">
            <w:pPr>
              <w:numPr>
                <w:ilvl w:val="0"/>
                <w:numId w:val="38"/>
              </w:numPr>
              <w:spacing w:before="80"/>
              <w:ind w:left="692"/>
              <w:jc w:val="both"/>
            </w:pPr>
            <w:r>
              <w:rPr>
                <w:rFonts w:cs="Tahoma"/>
                <w:color w:val="000000"/>
              </w:rPr>
              <w:t>Office 365 (Government G1)</w:t>
            </w:r>
          </w:p>
          <w:p w:rsidR="008D4EE5" w:rsidRPr="0062435A" w:rsidRDefault="008D4EE5" w:rsidP="00A67771">
            <w:pPr>
              <w:numPr>
                <w:ilvl w:val="0"/>
                <w:numId w:val="38"/>
              </w:numPr>
              <w:spacing w:before="80"/>
              <w:ind w:left="692"/>
              <w:jc w:val="both"/>
            </w:pPr>
            <w:r>
              <w:rPr>
                <w:rFonts w:cs="Tahoma"/>
                <w:color w:val="000000"/>
              </w:rPr>
              <w:t>Office 365 (Government G3)</w:t>
            </w:r>
          </w:p>
          <w:p w:rsidR="008D4EE5" w:rsidRPr="0062435A" w:rsidRDefault="008D4EE5" w:rsidP="00A67771">
            <w:pPr>
              <w:numPr>
                <w:ilvl w:val="0"/>
                <w:numId w:val="38"/>
              </w:numPr>
              <w:spacing w:before="80"/>
              <w:ind w:left="692"/>
              <w:jc w:val="both"/>
            </w:pPr>
            <w:r>
              <w:rPr>
                <w:rFonts w:cs="Tahoma"/>
                <w:color w:val="000000"/>
              </w:rPr>
              <w:t>Office 365 (Government G4)</w:t>
            </w:r>
          </w:p>
          <w:p w:rsidR="008D4EE5" w:rsidRPr="0062435A" w:rsidRDefault="008D4EE5" w:rsidP="00A67771">
            <w:pPr>
              <w:numPr>
                <w:ilvl w:val="0"/>
                <w:numId w:val="38"/>
              </w:numPr>
              <w:spacing w:before="80"/>
              <w:ind w:left="692"/>
              <w:jc w:val="both"/>
            </w:pPr>
            <w:r>
              <w:rPr>
                <w:rFonts w:cs="Tahoma"/>
                <w:color w:val="000000"/>
              </w:rPr>
              <w:t>Office-Webanwendungen*</w:t>
            </w:r>
          </w:p>
          <w:p w:rsidR="008D4EE5" w:rsidRPr="0062435A" w:rsidRDefault="008D4EE5" w:rsidP="00A67771">
            <w:pPr>
              <w:numPr>
                <w:ilvl w:val="0"/>
                <w:numId w:val="38"/>
              </w:numPr>
              <w:spacing w:before="80"/>
              <w:ind w:left="692"/>
              <w:jc w:val="both"/>
            </w:pPr>
            <w:r>
              <w:rPr>
                <w:rFonts w:cs="Tahoma"/>
                <w:color w:val="000000"/>
              </w:rPr>
              <w:t>Project Pro für Office 365*</w:t>
            </w:r>
          </w:p>
          <w:p w:rsidR="008D4EE5" w:rsidRPr="0062435A" w:rsidRDefault="008D4EE5" w:rsidP="00A67771">
            <w:pPr>
              <w:numPr>
                <w:ilvl w:val="0"/>
                <w:numId w:val="38"/>
              </w:numPr>
              <w:spacing w:before="80"/>
              <w:ind w:left="692"/>
              <w:jc w:val="both"/>
            </w:pPr>
            <w:r>
              <w:rPr>
                <w:rFonts w:cs="Tahoma"/>
                <w:color w:val="000000"/>
              </w:rPr>
              <w:t>Project Online*</w:t>
            </w:r>
          </w:p>
          <w:p w:rsidR="008D4EE5" w:rsidRPr="0062435A" w:rsidRDefault="008D4EE5" w:rsidP="00A67771">
            <w:pPr>
              <w:numPr>
                <w:ilvl w:val="0"/>
                <w:numId w:val="38"/>
              </w:numPr>
              <w:spacing w:before="80"/>
              <w:ind w:left="692"/>
              <w:jc w:val="both"/>
            </w:pPr>
            <w:r>
              <w:rPr>
                <w:rFonts w:cs="Tahoma"/>
                <w:color w:val="000000"/>
              </w:rPr>
              <w:t>SharePoint Online Plan 1*</w:t>
            </w:r>
          </w:p>
          <w:p w:rsidR="008D4EE5" w:rsidRPr="0062435A" w:rsidRDefault="008D4EE5" w:rsidP="00A67771">
            <w:pPr>
              <w:numPr>
                <w:ilvl w:val="0"/>
                <w:numId w:val="38"/>
              </w:numPr>
              <w:spacing w:before="80"/>
              <w:ind w:left="692"/>
              <w:jc w:val="both"/>
            </w:pPr>
            <w:r>
              <w:rPr>
                <w:rFonts w:cs="Tahoma"/>
                <w:color w:val="000000"/>
              </w:rPr>
              <w:t>SharePoint Online Plan 2*</w:t>
            </w:r>
          </w:p>
          <w:p w:rsidR="008D4EE5" w:rsidRPr="0062435A" w:rsidRDefault="008D4EE5" w:rsidP="00A67771">
            <w:pPr>
              <w:numPr>
                <w:ilvl w:val="0"/>
                <w:numId w:val="38"/>
              </w:numPr>
              <w:spacing w:before="80"/>
              <w:ind w:left="692"/>
              <w:jc w:val="both"/>
            </w:pPr>
            <w:r>
              <w:rPr>
                <w:rFonts w:cs="Tahoma"/>
                <w:color w:val="000000"/>
              </w:rPr>
              <w:t>SharePoint Online Partner Access*</w:t>
            </w:r>
          </w:p>
          <w:p w:rsidR="008D4EE5" w:rsidRPr="0062435A" w:rsidRDefault="008D4EE5" w:rsidP="00A67771">
            <w:pPr>
              <w:numPr>
                <w:ilvl w:val="0"/>
                <w:numId w:val="38"/>
              </w:numPr>
              <w:spacing w:before="80"/>
              <w:ind w:left="692"/>
              <w:jc w:val="both"/>
            </w:pPr>
            <w:r>
              <w:rPr>
                <w:rFonts w:cs="Tahoma"/>
                <w:color w:val="000000"/>
              </w:rPr>
              <w:t>Visio Pro für Office 365*</w:t>
            </w:r>
          </w:p>
          <w:p w:rsidR="008D4EE5" w:rsidRPr="00B33F60" w:rsidRDefault="008D4EE5" w:rsidP="00E04FA1">
            <w:pPr>
              <w:pStyle w:val="ListParagraph"/>
              <w:numPr>
                <w:ilvl w:val="0"/>
                <w:numId w:val="142"/>
              </w:numPr>
              <w:spacing w:before="80"/>
              <w:ind w:left="692"/>
              <w:contextualSpacing w:val="0"/>
              <w:rPr>
                <w:rFonts w:ascii="Tahoma" w:hAnsi="Tahoma" w:cs="Tahoma"/>
                <w:sz w:val="18"/>
                <w:szCs w:val="18"/>
              </w:rPr>
            </w:pPr>
            <w:r w:rsidRPr="00B33F60">
              <w:rPr>
                <w:rFonts w:ascii="Tahoma" w:hAnsi="Tahoma" w:cs="Tahoma"/>
                <w:sz w:val="18"/>
                <w:szCs w:val="18"/>
              </w:rPr>
              <w:t>Windows Azure Active Directory-Rechteverwaltung</w:t>
            </w:r>
          </w:p>
          <w:p w:rsidR="008D4EE5" w:rsidRPr="0062435A" w:rsidRDefault="008D4EE5" w:rsidP="00A67771">
            <w:pPr>
              <w:numPr>
                <w:ilvl w:val="0"/>
                <w:numId w:val="38"/>
              </w:numPr>
              <w:spacing w:before="80"/>
              <w:ind w:left="692"/>
              <w:jc w:val="both"/>
            </w:pPr>
            <w:r>
              <w:rPr>
                <w:rFonts w:cs="Tahoma"/>
                <w:color w:val="000000"/>
              </w:rPr>
              <w:t>Windows Intune</w:t>
            </w:r>
          </w:p>
          <w:p w:rsidR="008D4EE5" w:rsidRPr="0062435A" w:rsidRDefault="008D4EE5" w:rsidP="00A67771">
            <w:pPr>
              <w:numPr>
                <w:ilvl w:val="0"/>
                <w:numId w:val="38"/>
              </w:numPr>
              <w:spacing w:before="80"/>
              <w:ind w:left="692"/>
              <w:jc w:val="both"/>
            </w:pPr>
            <w:r>
              <w:rPr>
                <w:rFonts w:cs="Tahoma"/>
                <w:color w:val="000000"/>
              </w:rPr>
              <w:t>Add-On für Windows Intune*, **</w:t>
            </w:r>
          </w:p>
          <w:p w:rsidR="008D4EE5" w:rsidRPr="0043735F" w:rsidRDefault="008D4EE5" w:rsidP="00A67771">
            <w:pPr>
              <w:numPr>
                <w:ilvl w:val="0"/>
                <w:numId w:val="38"/>
              </w:numPr>
              <w:spacing w:before="80"/>
              <w:ind w:left="692"/>
              <w:jc w:val="both"/>
              <w:rPr>
                <w:rFonts w:cs="Tahoma"/>
              </w:rPr>
            </w:pPr>
            <w:r>
              <w:rPr>
                <w:rFonts w:cs="Tahoma"/>
                <w:color w:val="000000"/>
              </w:rPr>
              <w:t>Yammer Enterprise*</w:t>
            </w:r>
          </w:p>
        </w:tc>
      </w:tr>
    </w:tbl>
    <w:p w:rsidR="008D4EE5" w:rsidRPr="0062435A" w:rsidRDefault="008D4EE5" w:rsidP="008D4EE5">
      <w:pPr>
        <w:tabs>
          <w:tab w:val="left" w:pos="360"/>
        </w:tabs>
        <w:ind w:left="720"/>
      </w:pPr>
      <w:r>
        <w:rPr>
          <w:rFonts w:cs="Tahoma"/>
          <w:i/>
          <w:sz w:val="16"/>
          <w:szCs w:val="20"/>
        </w:rPr>
        <w:t>* Zusätzliches Produkt</w:t>
      </w:r>
    </w:p>
    <w:p w:rsidR="008D4EE5" w:rsidRPr="0062435A" w:rsidRDefault="008D4EE5" w:rsidP="008D4EE5">
      <w:pPr>
        <w:tabs>
          <w:tab w:val="left" w:pos="360"/>
        </w:tabs>
        <w:ind w:left="720"/>
      </w:pPr>
      <w:r>
        <w:rPr>
          <w:rFonts w:cs="Tahoma"/>
          <w:i/>
          <w:sz w:val="16"/>
          <w:szCs w:val="20"/>
        </w:rPr>
        <w:t>** „Add-On für Windows Intune“ ist eine Abkürzung für Add-on für Windows Intune für System Center Configuration Manager und System Center Endpoint Protection (Pro Nutzer)</w:t>
      </w:r>
    </w:p>
    <w:p w:rsidR="008D4EE5" w:rsidRPr="009123CB" w:rsidRDefault="008D4EE5" w:rsidP="008D4EE5">
      <w:pPr>
        <w:tabs>
          <w:tab w:val="left" w:pos="360"/>
        </w:tabs>
        <w:spacing w:after="60"/>
        <w:rPr>
          <w:lang w:val="de-DE"/>
        </w:rPr>
      </w:pPr>
      <w:r w:rsidRPr="009123CB">
        <w:rPr>
          <w:rFonts w:cs="Tahoma"/>
          <w:b/>
          <w:szCs w:val="20"/>
          <w:lang w:val="de-DE"/>
        </w:rPr>
        <w:t>Abonnementlizenzverringerungen</w:t>
      </w:r>
    </w:p>
    <w:p w:rsidR="008D4EE5" w:rsidRPr="009123CB" w:rsidRDefault="008D4EE5" w:rsidP="004715B9">
      <w:pPr>
        <w:tabs>
          <w:tab w:val="left" w:pos="360"/>
        </w:tabs>
        <w:rPr>
          <w:lang w:val="de-DE"/>
        </w:rPr>
      </w:pPr>
      <w:r w:rsidRPr="009123CB">
        <w:rPr>
          <w:rFonts w:cs="Tahoma"/>
          <w:b/>
          <w:szCs w:val="20"/>
          <w:lang w:val="de-DE"/>
        </w:rPr>
        <w:t>Anmerkung:</w:t>
      </w:r>
      <w:r w:rsidRPr="009123CB">
        <w:rPr>
          <w:rFonts w:cs="Tahoma"/>
          <w:szCs w:val="20"/>
          <w:lang w:val="de-DE"/>
        </w:rPr>
        <w:t xml:space="preserve"> Die folgenden Bestimmungen gelten für Konzernkunden, die berechtigt sind, Verringerungen bei der</w:t>
      </w:r>
      <w:r w:rsidR="004715B9">
        <w:rPr>
          <w:rFonts w:cs="Tahoma"/>
          <w:szCs w:val="20"/>
          <w:lang w:val="de-DE"/>
        </w:rPr>
        <w:t> </w:t>
      </w:r>
      <w:r w:rsidRPr="009123CB">
        <w:rPr>
          <w:rFonts w:cs="Tahoma"/>
          <w:szCs w:val="20"/>
          <w:lang w:val="de-DE"/>
        </w:rPr>
        <w:t>Anzahl von Abonnementlizenzen zu melden</w:t>
      </w:r>
      <w:r w:rsidR="006257A7">
        <w:rPr>
          <w:rFonts w:cs="Tahoma"/>
          <w:szCs w:val="20"/>
          <w:lang w:val="de-DE"/>
        </w:rPr>
        <w:t xml:space="preserve">. </w:t>
      </w:r>
      <w:r w:rsidRPr="009123CB">
        <w:rPr>
          <w:rFonts w:cs="Tahoma"/>
          <w:szCs w:val="20"/>
          <w:lang w:val="de-DE"/>
        </w:rPr>
        <w:t>Kunden, die hinsichtlich der Berechtigung zum Melden von Verringerungen bei der Anzahl von Abonnementlizenzen unsicher sind, erhalten von ihrem Software Advisor, Handelspartner oder Microsoft-Kundenbetreuer weitere Informationen</w:t>
      </w:r>
      <w:r w:rsidR="006257A7">
        <w:rPr>
          <w:rFonts w:cs="Tahoma"/>
          <w:szCs w:val="20"/>
          <w:lang w:val="de-DE"/>
        </w:rPr>
        <w:t xml:space="preserve">. </w:t>
      </w:r>
    </w:p>
    <w:p w:rsidR="008D4EE5" w:rsidRPr="009123CB" w:rsidRDefault="008D4EE5" w:rsidP="008D4EE5">
      <w:pPr>
        <w:tabs>
          <w:tab w:val="left" w:pos="360"/>
        </w:tabs>
        <w:rPr>
          <w:lang w:val="de-DE"/>
        </w:rPr>
      </w:pPr>
    </w:p>
    <w:p w:rsidR="008D4EE5" w:rsidRPr="009123CB" w:rsidRDefault="008D4EE5" w:rsidP="008D4EE5">
      <w:pPr>
        <w:tabs>
          <w:tab w:val="left" w:pos="360"/>
        </w:tabs>
        <w:rPr>
          <w:lang w:val="de-DE"/>
        </w:rPr>
      </w:pPr>
      <w:r w:rsidRPr="009123CB">
        <w:rPr>
          <w:rFonts w:cs="Tahoma"/>
          <w:szCs w:val="20"/>
          <w:lang w:val="de-DE"/>
        </w:rPr>
        <w:t>Die folgenden Abonnementlizenzen sind zu Anpassungen der Lizenzmengen berechtigt:</w:t>
      </w:r>
    </w:p>
    <w:p w:rsidR="008D4EE5" w:rsidRPr="009123CB" w:rsidRDefault="008D4EE5" w:rsidP="008D4EE5">
      <w:pPr>
        <w:tabs>
          <w:tab w:val="left" w:pos="360"/>
        </w:tabs>
        <w:ind w:left="720"/>
        <w:rPr>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8D4EE5" w:rsidRPr="00766C40" w:rsidTr="00A67771">
        <w:trPr>
          <w:trHeight w:val="80"/>
        </w:trPr>
        <w:tc>
          <w:tcPr>
            <w:tcW w:w="5000" w:type="pct"/>
            <w:gridSpan w:val="2"/>
            <w:shd w:val="clear" w:color="auto" w:fill="FABF8F"/>
          </w:tcPr>
          <w:p w:rsidR="008D4EE5" w:rsidRPr="00766C40" w:rsidRDefault="008D4EE5" w:rsidP="00A67771">
            <w:pPr>
              <w:jc w:val="center"/>
              <w:rPr>
                <w:rFonts w:cs="Tahoma"/>
                <w:b/>
              </w:rPr>
            </w:pPr>
            <w:r>
              <w:rPr>
                <w:rFonts w:cs="Tahoma"/>
                <w:b/>
              </w:rPr>
              <w:t>Onlinedienste</w:t>
            </w:r>
          </w:p>
        </w:tc>
      </w:tr>
      <w:tr w:rsidR="008D4EE5" w:rsidRPr="0043735F" w:rsidTr="00A67771">
        <w:trPr>
          <w:trHeight w:val="219"/>
        </w:trPr>
        <w:tc>
          <w:tcPr>
            <w:tcW w:w="2500" w:type="pct"/>
          </w:tcPr>
          <w:p w:rsidR="008D4EE5" w:rsidRPr="009123CB" w:rsidRDefault="008D4EE5" w:rsidP="00A67771">
            <w:pPr>
              <w:numPr>
                <w:ilvl w:val="0"/>
                <w:numId w:val="38"/>
              </w:numPr>
              <w:spacing w:before="80"/>
              <w:rPr>
                <w:lang w:val="de-DE"/>
              </w:rPr>
            </w:pPr>
            <w:r w:rsidRPr="009123CB">
              <w:rPr>
                <w:rFonts w:cs="Tahoma"/>
                <w:lang w:val="de-DE"/>
              </w:rPr>
              <w:t>Exchange Online-Archivierung für Exchange Online</w:t>
            </w:r>
          </w:p>
          <w:p w:rsidR="008D4EE5" w:rsidRPr="009123CB" w:rsidRDefault="008D4EE5" w:rsidP="00A67771">
            <w:pPr>
              <w:numPr>
                <w:ilvl w:val="0"/>
                <w:numId w:val="38"/>
              </w:numPr>
              <w:spacing w:before="80"/>
              <w:rPr>
                <w:lang w:val="de-DE"/>
              </w:rPr>
            </w:pPr>
            <w:r w:rsidRPr="009123CB">
              <w:rPr>
                <w:rFonts w:cs="Tahoma"/>
                <w:lang w:val="de-DE"/>
              </w:rPr>
              <w:t>Exchange Online-Archivierung für Exchange Server</w:t>
            </w:r>
          </w:p>
          <w:p w:rsidR="008D4EE5" w:rsidRPr="0062435A" w:rsidRDefault="008D4EE5" w:rsidP="00A67771">
            <w:pPr>
              <w:numPr>
                <w:ilvl w:val="0"/>
                <w:numId w:val="38"/>
              </w:numPr>
              <w:spacing w:before="80"/>
            </w:pPr>
            <w:r>
              <w:rPr>
                <w:rFonts w:cs="Tahoma"/>
              </w:rPr>
              <w:t>Exchange Online Kiosk*</w:t>
            </w:r>
          </w:p>
          <w:p w:rsidR="008D4EE5" w:rsidRPr="0062435A" w:rsidRDefault="008D4EE5" w:rsidP="00A67771">
            <w:pPr>
              <w:numPr>
                <w:ilvl w:val="0"/>
                <w:numId w:val="38"/>
              </w:numPr>
              <w:spacing w:before="80"/>
            </w:pPr>
            <w:r>
              <w:rPr>
                <w:rFonts w:cs="Tahoma"/>
              </w:rPr>
              <w:t>Exchange Online Plan 1*</w:t>
            </w:r>
          </w:p>
          <w:p w:rsidR="008D4EE5" w:rsidRPr="0062435A" w:rsidRDefault="008D4EE5" w:rsidP="00A67771">
            <w:pPr>
              <w:numPr>
                <w:ilvl w:val="0"/>
                <w:numId w:val="38"/>
              </w:numPr>
              <w:spacing w:before="80"/>
            </w:pPr>
            <w:r>
              <w:rPr>
                <w:rFonts w:cs="Tahoma"/>
              </w:rPr>
              <w:t>Exchange Online Plan 2*</w:t>
            </w:r>
          </w:p>
          <w:p w:rsidR="008D4EE5" w:rsidRPr="0062435A" w:rsidRDefault="008D4EE5" w:rsidP="00A67771">
            <w:pPr>
              <w:numPr>
                <w:ilvl w:val="0"/>
                <w:numId w:val="38"/>
              </w:numPr>
              <w:spacing w:before="80"/>
            </w:pPr>
            <w:r>
              <w:rPr>
                <w:rFonts w:cs="Tahoma"/>
              </w:rPr>
              <w:t>Exchange Online Protection</w:t>
            </w:r>
          </w:p>
          <w:p w:rsidR="008D4EE5" w:rsidRPr="0062435A" w:rsidRDefault="008D4EE5" w:rsidP="00A67771">
            <w:pPr>
              <w:numPr>
                <w:ilvl w:val="0"/>
                <w:numId w:val="38"/>
              </w:numPr>
              <w:spacing w:before="80"/>
            </w:pPr>
            <w:r>
              <w:rPr>
                <w:rFonts w:cs="Tahoma"/>
              </w:rPr>
              <w:t>Lync Online Plan 1*</w:t>
            </w:r>
          </w:p>
          <w:p w:rsidR="008D4EE5" w:rsidRPr="0062435A" w:rsidRDefault="008D4EE5" w:rsidP="00A67771">
            <w:pPr>
              <w:numPr>
                <w:ilvl w:val="0"/>
                <w:numId w:val="38"/>
              </w:numPr>
              <w:spacing w:before="80"/>
            </w:pPr>
            <w:r>
              <w:rPr>
                <w:rFonts w:cs="Tahoma"/>
              </w:rPr>
              <w:t>Lync Online Plan 2*</w:t>
            </w:r>
          </w:p>
          <w:p w:rsidR="008D4EE5" w:rsidRPr="0062435A" w:rsidRDefault="008D4EE5" w:rsidP="00A67771">
            <w:pPr>
              <w:numPr>
                <w:ilvl w:val="0"/>
                <w:numId w:val="38"/>
              </w:numPr>
              <w:spacing w:before="80"/>
            </w:pPr>
            <w:r>
              <w:rPr>
                <w:rFonts w:cs="Tahoma"/>
              </w:rPr>
              <w:t>Lync Online Plan 3*</w:t>
            </w:r>
          </w:p>
          <w:p w:rsidR="008D4EE5" w:rsidRPr="0062435A" w:rsidRDefault="008D4EE5" w:rsidP="00A67771">
            <w:pPr>
              <w:numPr>
                <w:ilvl w:val="0"/>
                <w:numId w:val="38"/>
              </w:numPr>
              <w:spacing w:before="80"/>
            </w:pPr>
            <w:r>
              <w:rPr>
                <w:rFonts w:cs="Tahoma"/>
              </w:rPr>
              <w:t>Office 365 (Enterprise K1)*</w:t>
            </w:r>
          </w:p>
          <w:p w:rsidR="008D4EE5" w:rsidRPr="0062435A" w:rsidRDefault="008D4EE5" w:rsidP="00A67771">
            <w:pPr>
              <w:numPr>
                <w:ilvl w:val="0"/>
                <w:numId w:val="38"/>
              </w:numPr>
              <w:spacing w:before="80"/>
            </w:pPr>
            <w:r>
              <w:rPr>
                <w:rFonts w:cs="Tahoma"/>
              </w:rPr>
              <w:t>Office 365 (Enterprise E1)</w:t>
            </w:r>
          </w:p>
          <w:p w:rsidR="008D4EE5" w:rsidRPr="0062435A" w:rsidRDefault="008D4EE5" w:rsidP="00A67771">
            <w:pPr>
              <w:numPr>
                <w:ilvl w:val="0"/>
                <w:numId w:val="38"/>
              </w:numPr>
              <w:spacing w:before="80"/>
            </w:pPr>
            <w:r>
              <w:rPr>
                <w:rFonts w:cs="Tahoma"/>
              </w:rPr>
              <w:t>Office 365 (Enterprise E3)</w:t>
            </w:r>
          </w:p>
          <w:p w:rsidR="008D4EE5" w:rsidRPr="0062435A" w:rsidRDefault="008D4EE5" w:rsidP="00A67771">
            <w:pPr>
              <w:numPr>
                <w:ilvl w:val="0"/>
                <w:numId w:val="38"/>
              </w:numPr>
              <w:spacing w:before="80"/>
            </w:pPr>
            <w:r>
              <w:rPr>
                <w:rFonts w:cs="Tahoma"/>
              </w:rPr>
              <w:t>Office 365 (Enterprise E4)</w:t>
            </w:r>
          </w:p>
          <w:p w:rsidR="008D4EE5" w:rsidRPr="0062435A" w:rsidRDefault="008D4EE5" w:rsidP="00A67771">
            <w:pPr>
              <w:numPr>
                <w:ilvl w:val="0"/>
                <w:numId w:val="38"/>
              </w:numPr>
              <w:spacing w:before="80"/>
              <w:jc w:val="both"/>
            </w:pPr>
            <w:r>
              <w:rPr>
                <w:rFonts w:cs="Tahoma"/>
                <w:color w:val="000000"/>
              </w:rPr>
              <w:t>Office 365 (Government G1)</w:t>
            </w:r>
          </w:p>
          <w:p w:rsidR="008D4EE5" w:rsidRPr="0062435A" w:rsidRDefault="008D4EE5" w:rsidP="00A67771">
            <w:pPr>
              <w:numPr>
                <w:ilvl w:val="0"/>
                <w:numId w:val="38"/>
              </w:numPr>
              <w:spacing w:before="80"/>
              <w:jc w:val="both"/>
            </w:pPr>
            <w:r>
              <w:rPr>
                <w:rFonts w:cs="Tahoma"/>
                <w:color w:val="000000"/>
              </w:rPr>
              <w:t>Office 365 (Government G3)</w:t>
            </w:r>
          </w:p>
          <w:p w:rsidR="008D4EE5" w:rsidRPr="0062435A" w:rsidRDefault="008D4EE5" w:rsidP="00A67771">
            <w:pPr>
              <w:numPr>
                <w:ilvl w:val="0"/>
                <w:numId w:val="38"/>
              </w:numPr>
              <w:spacing w:before="80"/>
              <w:jc w:val="both"/>
            </w:pPr>
            <w:r>
              <w:rPr>
                <w:rFonts w:cs="Tahoma"/>
                <w:color w:val="000000"/>
              </w:rPr>
              <w:t>Office 365 (Government G4)</w:t>
            </w:r>
          </w:p>
          <w:p w:rsidR="008D4EE5" w:rsidRPr="0043735F" w:rsidRDefault="008D4EE5" w:rsidP="00A67771">
            <w:pPr>
              <w:spacing w:before="80"/>
              <w:ind w:left="522"/>
              <w:rPr>
                <w:rFonts w:cs="Tahoma"/>
              </w:rPr>
            </w:pPr>
          </w:p>
        </w:tc>
        <w:tc>
          <w:tcPr>
            <w:tcW w:w="2500" w:type="pct"/>
          </w:tcPr>
          <w:p w:rsidR="008D4EE5" w:rsidRPr="0062435A" w:rsidRDefault="008D4EE5" w:rsidP="00A67771">
            <w:pPr>
              <w:numPr>
                <w:ilvl w:val="0"/>
                <w:numId w:val="38"/>
              </w:numPr>
              <w:spacing w:before="80"/>
              <w:jc w:val="both"/>
            </w:pPr>
            <w:r>
              <w:rPr>
                <w:rFonts w:cs="Tahoma"/>
                <w:color w:val="000000"/>
              </w:rPr>
              <w:t>Office-Webanwendungen*</w:t>
            </w:r>
          </w:p>
          <w:p w:rsidR="008D4EE5" w:rsidRPr="0062435A" w:rsidRDefault="008D4EE5" w:rsidP="00A67771">
            <w:pPr>
              <w:numPr>
                <w:ilvl w:val="0"/>
                <w:numId w:val="38"/>
              </w:numPr>
              <w:spacing w:before="80"/>
              <w:jc w:val="both"/>
            </w:pPr>
            <w:r>
              <w:rPr>
                <w:rFonts w:cs="Tahoma"/>
                <w:color w:val="000000"/>
              </w:rPr>
              <w:t>Project Online</w:t>
            </w:r>
          </w:p>
          <w:p w:rsidR="008D4EE5" w:rsidRPr="0062435A" w:rsidRDefault="008D4EE5" w:rsidP="00A67771">
            <w:pPr>
              <w:numPr>
                <w:ilvl w:val="0"/>
                <w:numId w:val="38"/>
              </w:numPr>
              <w:spacing w:before="80"/>
              <w:jc w:val="both"/>
            </w:pPr>
            <w:r>
              <w:rPr>
                <w:rFonts w:cs="Tahoma"/>
                <w:color w:val="000000"/>
              </w:rPr>
              <w:t>Project Pro für Office 365*</w:t>
            </w:r>
          </w:p>
          <w:p w:rsidR="008D4EE5" w:rsidRPr="0062435A" w:rsidRDefault="008D4EE5" w:rsidP="00A67771">
            <w:pPr>
              <w:numPr>
                <w:ilvl w:val="0"/>
                <w:numId w:val="38"/>
              </w:numPr>
              <w:spacing w:before="80"/>
              <w:jc w:val="both"/>
            </w:pPr>
            <w:r>
              <w:rPr>
                <w:rFonts w:cs="Tahoma"/>
                <w:color w:val="000000"/>
              </w:rPr>
              <w:t>SharePoint Online Plan 1*</w:t>
            </w:r>
          </w:p>
          <w:p w:rsidR="008D4EE5" w:rsidRPr="0062435A" w:rsidRDefault="008D4EE5" w:rsidP="00A67771">
            <w:pPr>
              <w:numPr>
                <w:ilvl w:val="0"/>
                <w:numId w:val="38"/>
              </w:numPr>
              <w:spacing w:before="80"/>
              <w:jc w:val="both"/>
            </w:pPr>
            <w:r>
              <w:rPr>
                <w:rFonts w:cs="Tahoma"/>
                <w:color w:val="000000"/>
              </w:rPr>
              <w:t>SharePoint Online Plan 2*</w:t>
            </w:r>
          </w:p>
          <w:p w:rsidR="008D4EE5" w:rsidRPr="0062435A" w:rsidRDefault="008D4EE5" w:rsidP="00A67771">
            <w:pPr>
              <w:numPr>
                <w:ilvl w:val="0"/>
                <w:numId w:val="38"/>
              </w:numPr>
              <w:spacing w:before="80"/>
              <w:ind w:right="270"/>
              <w:jc w:val="both"/>
            </w:pPr>
            <w:r>
              <w:rPr>
                <w:rFonts w:cs="Tahoma"/>
                <w:color w:val="000000"/>
              </w:rPr>
              <w:t>SharePoint Online Partner Access*</w:t>
            </w:r>
          </w:p>
          <w:p w:rsidR="008D4EE5" w:rsidRPr="00021721" w:rsidRDefault="008D4EE5" w:rsidP="00021721">
            <w:pPr>
              <w:pStyle w:val="ListParagraph"/>
              <w:numPr>
                <w:ilvl w:val="0"/>
                <w:numId w:val="142"/>
              </w:numPr>
              <w:spacing w:before="80"/>
              <w:ind w:left="896"/>
              <w:contextualSpacing w:val="0"/>
              <w:rPr>
                <w:rFonts w:ascii="Tahoma" w:hAnsi="Tahoma" w:cs="Tahoma"/>
                <w:sz w:val="18"/>
                <w:szCs w:val="18"/>
              </w:rPr>
            </w:pPr>
            <w:r w:rsidRPr="00021721">
              <w:rPr>
                <w:rFonts w:ascii="Tahoma" w:hAnsi="Tahoma" w:cs="Tahoma"/>
                <w:sz w:val="18"/>
                <w:szCs w:val="18"/>
              </w:rPr>
              <w:t>Windows Azure Active Directory-Rechteverwaltung</w:t>
            </w:r>
          </w:p>
          <w:p w:rsidR="008D4EE5" w:rsidRPr="0062435A" w:rsidRDefault="008D4EE5" w:rsidP="00A67771">
            <w:pPr>
              <w:numPr>
                <w:ilvl w:val="0"/>
                <w:numId w:val="38"/>
              </w:numPr>
              <w:spacing w:before="80"/>
              <w:jc w:val="both"/>
            </w:pPr>
            <w:r>
              <w:rPr>
                <w:rFonts w:cs="Tahoma"/>
                <w:color w:val="000000"/>
              </w:rPr>
              <w:t>Windows Intune</w:t>
            </w:r>
          </w:p>
          <w:p w:rsidR="008D4EE5" w:rsidRPr="0062435A" w:rsidRDefault="008D4EE5" w:rsidP="00A67771">
            <w:pPr>
              <w:numPr>
                <w:ilvl w:val="0"/>
                <w:numId w:val="38"/>
              </w:numPr>
              <w:spacing w:before="80"/>
              <w:jc w:val="both"/>
            </w:pPr>
            <w:r>
              <w:rPr>
                <w:rFonts w:cs="Tahoma"/>
                <w:color w:val="000000"/>
              </w:rPr>
              <w:t>Add-On für Windows Intune*</w:t>
            </w:r>
          </w:p>
          <w:p w:rsidR="008D4EE5" w:rsidRPr="0062435A" w:rsidRDefault="008D4EE5" w:rsidP="00A67771">
            <w:pPr>
              <w:numPr>
                <w:ilvl w:val="0"/>
                <w:numId w:val="38"/>
              </w:numPr>
              <w:spacing w:before="80"/>
              <w:jc w:val="both"/>
            </w:pPr>
            <w:r>
              <w:rPr>
                <w:rFonts w:cs="Tahoma"/>
                <w:color w:val="000000"/>
              </w:rPr>
              <w:t>Microsoft Dynamics CRM Online*</w:t>
            </w:r>
          </w:p>
          <w:p w:rsidR="008D4EE5" w:rsidRPr="0062435A" w:rsidRDefault="008D4EE5" w:rsidP="00A67771">
            <w:pPr>
              <w:numPr>
                <w:ilvl w:val="0"/>
                <w:numId w:val="38"/>
              </w:numPr>
              <w:spacing w:before="80"/>
              <w:jc w:val="both"/>
            </w:pPr>
            <w:r>
              <w:rPr>
                <w:rFonts w:cs="Tahoma"/>
                <w:color w:val="000000"/>
              </w:rPr>
              <w:t>Visio Pro für Office 365*</w:t>
            </w:r>
          </w:p>
          <w:p w:rsidR="008D4EE5" w:rsidRPr="0043735F" w:rsidRDefault="008D4EE5" w:rsidP="00A67771">
            <w:pPr>
              <w:numPr>
                <w:ilvl w:val="0"/>
                <w:numId w:val="38"/>
              </w:numPr>
              <w:spacing w:before="80" w:after="120"/>
              <w:jc w:val="both"/>
              <w:rPr>
                <w:rFonts w:cs="Tahoma"/>
              </w:rPr>
            </w:pPr>
            <w:r>
              <w:rPr>
                <w:rFonts w:cs="Tahoma"/>
                <w:color w:val="000000"/>
              </w:rPr>
              <w:t>Yammer Enterprise</w:t>
            </w:r>
          </w:p>
        </w:tc>
      </w:tr>
    </w:tbl>
    <w:p w:rsidR="008D4EE5" w:rsidRPr="0062435A" w:rsidRDefault="008D4EE5" w:rsidP="008D4EE5">
      <w:pPr>
        <w:tabs>
          <w:tab w:val="left" w:pos="360"/>
        </w:tabs>
        <w:ind w:left="720"/>
      </w:pPr>
      <w:r>
        <w:rPr>
          <w:rFonts w:cs="Tahoma"/>
          <w:i/>
          <w:sz w:val="16"/>
          <w:szCs w:val="20"/>
        </w:rPr>
        <w:t>* Zusätzliches Produkt</w:t>
      </w:r>
      <w:bookmarkStart w:id="633" w:name="_Toc336338196"/>
    </w:p>
    <w:p w:rsidR="008D4EE5" w:rsidRPr="0062435A" w:rsidRDefault="008D4EE5" w:rsidP="008D4EE5">
      <w:pPr>
        <w:pStyle w:val="Heading2"/>
        <w:ind w:left="0"/>
      </w:pPr>
    </w:p>
    <w:p w:rsidR="008D4EE5" w:rsidRPr="0062435A" w:rsidRDefault="008D4EE5" w:rsidP="008D4EE5">
      <w:pPr>
        <w:pStyle w:val="Heading2"/>
        <w:ind w:left="0"/>
      </w:pPr>
      <w:bookmarkStart w:id="634" w:name="_Toc363998933"/>
      <w:r>
        <w:rPr>
          <w:rFonts w:ascii="Tahoma" w:hAnsi="Tahoma" w:cs="Tahoma"/>
        </w:rPr>
        <w:t>Dienstkontinuität mittels Verlängerter Laufzeit</w:t>
      </w:r>
      <w:bookmarkEnd w:id="633"/>
      <w:bookmarkEnd w:id="634"/>
      <w:r>
        <w:rPr>
          <w:rFonts w:ascii="Tahoma" w:eastAsia="Times New Roman" w:hAnsi="Tahoma" w:cs="Tahoma"/>
          <w:sz w:val="20"/>
        </w:rPr>
        <w:t xml:space="preserve"> </w:t>
      </w:r>
    </w:p>
    <w:p w:rsidR="008D4EE5" w:rsidRPr="0062435A" w:rsidRDefault="008D4EE5" w:rsidP="008D4EE5">
      <w:pPr>
        <w:tabs>
          <w:tab w:val="left" w:pos="360"/>
        </w:tabs>
      </w:pPr>
    </w:p>
    <w:p w:rsidR="008D4EE5" w:rsidRPr="009123CB" w:rsidRDefault="008D4EE5" w:rsidP="004715B9">
      <w:pPr>
        <w:tabs>
          <w:tab w:val="left" w:pos="360"/>
        </w:tabs>
        <w:rPr>
          <w:lang w:val="de-DE"/>
        </w:rPr>
      </w:pPr>
      <w:r w:rsidRPr="009123CB">
        <w:rPr>
          <w:rFonts w:cs="Tahoma"/>
          <w:b/>
          <w:szCs w:val="20"/>
          <w:lang w:val="de-DE"/>
        </w:rPr>
        <w:t>Anmerkung:</w:t>
      </w:r>
      <w:r w:rsidRPr="009123CB">
        <w:rPr>
          <w:rFonts w:cs="Tahoma"/>
          <w:szCs w:val="20"/>
          <w:lang w:val="de-DE"/>
        </w:rPr>
        <w:t xml:space="preserve"> Die folgenden Bestimmungen gelten für Kunden mit Konzern- und Konzern-Abonnement-Beitritt, die</w:t>
      </w:r>
      <w:r w:rsidR="004715B9">
        <w:rPr>
          <w:rFonts w:cs="Tahoma"/>
          <w:szCs w:val="20"/>
          <w:lang w:val="de-DE"/>
        </w:rPr>
        <w:t> </w:t>
      </w:r>
      <w:r w:rsidRPr="009123CB">
        <w:rPr>
          <w:rFonts w:cs="Tahoma"/>
          <w:szCs w:val="20"/>
          <w:lang w:val="de-DE"/>
        </w:rPr>
        <w:t>zur Dienstkontinuität mittels verlängerter Laufzeit berechtigt sind</w:t>
      </w:r>
      <w:r w:rsidR="006257A7">
        <w:rPr>
          <w:rFonts w:cs="Tahoma"/>
          <w:szCs w:val="20"/>
          <w:lang w:val="de-DE"/>
        </w:rPr>
        <w:t xml:space="preserve">. </w:t>
      </w:r>
      <w:r w:rsidRPr="009123CB">
        <w:rPr>
          <w:rFonts w:cs="Tahoma"/>
          <w:szCs w:val="20"/>
          <w:lang w:val="de-DE"/>
        </w:rPr>
        <w:t>Kunden, die hinsichtlich der Berechtigung zu Dienstkontinuität mittels verlängerter Laufzeit unsicher sind, erhalten von ihrem Software Advisor, Handelspartner oder Microsoft-Kundenbetreuer weitere Informationen</w:t>
      </w:r>
      <w:r w:rsidR="006257A7">
        <w:rPr>
          <w:rFonts w:cs="Tahoma"/>
          <w:szCs w:val="20"/>
          <w:lang w:val="de-DE"/>
        </w:rPr>
        <w:t xml:space="preserve">. </w:t>
      </w:r>
    </w:p>
    <w:p w:rsidR="008D4EE5" w:rsidRPr="009123CB" w:rsidRDefault="008D4EE5" w:rsidP="008D4EE5">
      <w:pPr>
        <w:tabs>
          <w:tab w:val="left" w:pos="360"/>
        </w:tabs>
        <w:rPr>
          <w:lang w:val="de-DE"/>
        </w:rPr>
      </w:pPr>
    </w:p>
    <w:p w:rsidR="008D4EE5" w:rsidRPr="009123CB" w:rsidRDefault="008D4EE5" w:rsidP="008D4EE5">
      <w:pPr>
        <w:tabs>
          <w:tab w:val="left" w:pos="360"/>
        </w:tabs>
        <w:rPr>
          <w:lang w:val="de-DE"/>
        </w:rPr>
      </w:pPr>
      <w:r w:rsidRPr="009123CB">
        <w:rPr>
          <w:rFonts w:cs="Tahoma"/>
          <w:szCs w:val="20"/>
          <w:lang w:val="de-DE"/>
        </w:rPr>
        <w:t>Die folgenden Onlinedienste sind vorbehaltlich der Bestimmungen der Volumenlizenzverträge der Kunden zu Dienstkontinuität mittels verlängerter Laufzeit berechtigt</w:t>
      </w:r>
      <w:r w:rsidR="006257A7">
        <w:rPr>
          <w:rFonts w:cs="Tahoma"/>
          <w:szCs w:val="20"/>
          <w:lang w:val="de-DE"/>
        </w:rPr>
        <w:t xml:space="preserve">. </w:t>
      </w:r>
      <w:r w:rsidRPr="009123CB">
        <w:rPr>
          <w:rFonts w:cs="Tahoma"/>
          <w:szCs w:val="20"/>
          <w:lang w:val="de-DE"/>
        </w:rPr>
        <w:t>Die Laufzeit des Onlinedienste-Abonnements eines Kunden muss am Enddatum des Kundenvertrags enden („identische Laufzeit“), damit die Berechtigung für Dienstkontinuität mittels verlängerter Laufzeit gegeben ist:</w:t>
      </w:r>
    </w:p>
    <w:p w:rsidR="008D4EE5" w:rsidRPr="009123CB" w:rsidRDefault="008D4EE5" w:rsidP="008D4EE5">
      <w:pPr>
        <w:ind w:left="720"/>
        <w:rPr>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8D4EE5" w:rsidRPr="002171C3" w:rsidTr="00A67771">
        <w:trPr>
          <w:trHeight w:val="80"/>
          <w:tblHeader/>
        </w:trPr>
        <w:tc>
          <w:tcPr>
            <w:tcW w:w="5000" w:type="pct"/>
            <w:gridSpan w:val="2"/>
            <w:shd w:val="clear" w:color="auto" w:fill="FABF8F"/>
          </w:tcPr>
          <w:p w:rsidR="008D4EE5" w:rsidRPr="002171C3" w:rsidRDefault="008D4EE5" w:rsidP="00A67771">
            <w:pPr>
              <w:jc w:val="center"/>
              <w:rPr>
                <w:rFonts w:cs="Tahoma"/>
                <w:b/>
                <w:sz w:val="20"/>
              </w:rPr>
            </w:pPr>
            <w:r>
              <w:rPr>
                <w:rFonts w:cs="Tahoma"/>
                <w:b/>
                <w:sz w:val="20"/>
              </w:rPr>
              <w:t>Onlinedienste</w:t>
            </w:r>
          </w:p>
        </w:tc>
      </w:tr>
      <w:tr w:rsidR="008D4EE5" w:rsidRPr="0043735F" w:rsidTr="00A67771">
        <w:trPr>
          <w:trHeight w:val="219"/>
        </w:trPr>
        <w:tc>
          <w:tcPr>
            <w:tcW w:w="2603" w:type="pct"/>
          </w:tcPr>
          <w:p w:rsidR="008D4EE5" w:rsidRPr="00174833" w:rsidRDefault="008D4EE5" w:rsidP="00CE15C8">
            <w:pPr>
              <w:numPr>
                <w:ilvl w:val="0"/>
                <w:numId w:val="38"/>
              </w:numPr>
              <w:spacing w:before="80"/>
              <w:rPr>
                <w:rFonts w:cs="Tahoma"/>
                <w:lang w:val="de-DE"/>
              </w:rPr>
            </w:pPr>
            <w:r w:rsidRPr="00174833">
              <w:rPr>
                <w:rFonts w:cs="Tahoma"/>
                <w:lang w:val="de-DE"/>
              </w:rPr>
              <w:t>Exchange Online-Archivierung für Exchange Online</w:t>
            </w:r>
          </w:p>
          <w:p w:rsidR="008D4EE5" w:rsidRPr="00174833" w:rsidRDefault="008D4EE5" w:rsidP="00CE15C8">
            <w:pPr>
              <w:numPr>
                <w:ilvl w:val="0"/>
                <w:numId w:val="38"/>
              </w:numPr>
              <w:spacing w:before="80"/>
              <w:rPr>
                <w:rFonts w:cs="Tahoma"/>
                <w:lang w:val="de-DE"/>
              </w:rPr>
            </w:pPr>
            <w:r w:rsidRPr="00174833">
              <w:rPr>
                <w:rFonts w:cs="Tahoma"/>
                <w:lang w:val="de-DE"/>
              </w:rPr>
              <w:t xml:space="preserve">Exchange Online-Archivierung für Exchange Server </w:t>
            </w:r>
          </w:p>
          <w:p w:rsidR="008D4EE5" w:rsidRPr="00CE15C8" w:rsidRDefault="008D4EE5" w:rsidP="00CE15C8">
            <w:pPr>
              <w:numPr>
                <w:ilvl w:val="0"/>
                <w:numId w:val="38"/>
              </w:numPr>
              <w:spacing w:before="80"/>
              <w:rPr>
                <w:rFonts w:cs="Tahoma"/>
              </w:rPr>
            </w:pPr>
            <w:r>
              <w:rPr>
                <w:rFonts w:cs="Tahoma"/>
              </w:rPr>
              <w:t>Exchange Online Kiosk*</w:t>
            </w:r>
          </w:p>
          <w:p w:rsidR="008D4EE5" w:rsidRPr="0062435A" w:rsidRDefault="008D4EE5" w:rsidP="00CE15C8">
            <w:pPr>
              <w:numPr>
                <w:ilvl w:val="0"/>
                <w:numId w:val="38"/>
              </w:numPr>
              <w:spacing w:before="80"/>
            </w:pPr>
            <w:r>
              <w:rPr>
                <w:rFonts w:cs="Tahoma"/>
              </w:rPr>
              <w:t>Exchange Online Plan 1*</w:t>
            </w:r>
          </w:p>
          <w:p w:rsidR="008D4EE5" w:rsidRPr="00CE15C8" w:rsidRDefault="008D4EE5" w:rsidP="00CE15C8">
            <w:pPr>
              <w:numPr>
                <w:ilvl w:val="0"/>
                <w:numId w:val="38"/>
              </w:numPr>
              <w:spacing w:before="80"/>
              <w:rPr>
                <w:rFonts w:cs="Tahoma"/>
              </w:rPr>
            </w:pPr>
            <w:r>
              <w:rPr>
                <w:rFonts w:cs="Tahoma"/>
              </w:rPr>
              <w:t>Exchange Online Plan 2*</w:t>
            </w:r>
          </w:p>
          <w:p w:rsidR="008D4EE5" w:rsidRPr="00CE15C8" w:rsidRDefault="008D4EE5" w:rsidP="00CE15C8">
            <w:pPr>
              <w:numPr>
                <w:ilvl w:val="0"/>
                <w:numId w:val="38"/>
              </w:numPr>
              <w:spacing w:before="80"/>
              <w:rPr>
                <w:rFonts w:cs="Tahoma"/>
              </w:rPr>
            </w:pPr>
            <w:r>
              <w:rPr>
                <w:rFonts w:cs="Tahoma"/>
              </w:rPr>
              <w:t>Exchange Online Protection</w:t>
            </w:r>
          </w:p>
          <w:p w:rsidR="008D4EE5" w:rsidRPr="00CE15C8" w:rsidRDefault="008D4EE5" w:rsidP="00CE15C8">
            <w:pPr>
              <w:numPr>
                <w:ilvl w:val="0"/>
                <w:numId w:val="38"/>
              </w:numPr>
              <w:spacing w:before="80"/>
              <w:rPr>
                <w:rFonts w:cs="Tahoma"/>
              </w:rPr>
            </w:pPr>
            <w:r>
              <w:rPr>
                <w:rFonts w:cs="Tahoma"/>
              </w:rPr>
              <w:t>Lync Online Plan 1*</w:t>
            </w:r>
          </w:p>
          <w:p w:rsidR="008D4EE5" w:rsidRPr="00CE15C8" w:rsidRDefault="008D4EE5" w:rsidP="00CE15C8">
            <w:pPr>
              <w:numPr>
                <w:ilvl w:val="0"/>
                <w:numId w:val="38"/>
              </w:numPr>
              <w:spacing w:before="80"/>
              <w:rPr>
                <w:rFonts w:cs="Tahoma"/>
              </w:rPr>
            </w:pPr>
            <w:r>
              <w:rPr>
                <w:rFonts w:cs="Tahoma"/>
              </w:rPr>
              <w:t>Lync Online Plan 2*</w:t>
            </w:r>
          </w:p>
          <w:p w:rsidR="008D4EE5" w:rsidRPr="00CE15C8" w:rsidRDefault="008D4EE5" w:rsidP="00CE15C8">
            <w:pPr>
              <w:numPr>
                <w:ilvl w:val="0"/>
                <w:numId w:val="38"/>
              </w:numPr>
              <w:spacing w:before="80"/>
              <w:rPr>
                <w:rFonts w:cs="Tahoma"/>
              </w:rPr>
            </w:pPr>
            <w:r>
              <w:rPr>
                <w:rFonts w:cs="Tahoma"/>
              </w:rPr>
              <w:t>Lync Online Plan 3*</w:t>
            </w:r>
          </w:p>
          <w:p w:rsidR="008D4EE5" w:rsidRPr="00CE15C8" w:rsidRDefault="008D4EE5" w:rsidP="00CE15C8">
            <w:pPr>
              <w:numPr>
                <w:ilvl w:val="0"/>
                <w:numId w:val="38"/>
              </w:numPr>
              <w:spacing w:before="80"/>
              <w:rPr>
                <w:rFonts w:cs="Tahoma"/>
              </w:rPr>
            </w:pPr>
            <w:r>
              <w:rPr>
                <w:rFonts w:cs="Tahoma"/>
              </w:rPr>
              <w:t>Office 365 (Enterprise K1)*</w:t>
            </w:r>
          </w:p>
          <w:p w:rsidR="008D4EE5" w:rsidRPr="00CE15C8" w:rsidRDefault="008D4EE5" w:rsidP="00CE15C8">
            <w:pPr>
              <w:numPr>
                <w:ilvl w:val="0"/>
                <w:numId w:val="38"/>
              </w:numPr>
              <w:spacing w:before="80"/>
              <w:rPr>
                <w:rFonts w:cs="Tahoma"/>
              </w:rPr>
            </w:pPr>
            <w:r>
              <w:rPr>
                <w:rFonts w:cs="Tahoma"/>
              </w:rPr>
              <w:t>Office 365 (Enterprise E1)</w:t>
            </w:r>
          </w:p>
          <w:p w:rsidR="008D4EE5" w:rsidRPr="00CE15C8" w:rsidRDefault="008D4EE5" w:rsidP="00CE15C8">
            <w:pPr>
              <w:numPr>
                <w:ilvl w:val="0"/>
                <w:numId w:val="38"/>
              </w:numPr>
              <w:spacing w:before="80"/>
              <w:rPr>
                <w:rFonts w:cs="Tahoma"/>
              </w:rPr>
            </w:pPr>
            <w:r>
              <w:rPr>
                <w:rFonts w:cs="Tahoma"/>
              </w:rPr>
              <w:t>Office 365 (Enterprise E3)</w:t>
            </w:r>
          </w:p>
          <w:p w:rsidR="008D4EE5" w:rsidRPr="0043735F" w:rsidRDefault="008D4EE5" w:rsidP="00CE15C8">
            <w:pPr>
              <w:numPr>
                <w:ilvl w:val="0"/>
                <w:numId w:val="38"/>
              </w:numPr>
              <w:spacing w:before="80"/>
              <w:rPr>
                <w:rFonts w:cs="Tahoma"/>
              </w:rPr>
            </w:pPr>
            <w:r>
              <w:rPr>
                <w:rFonts w:cs="Tahoma"/>
              </w:rPr>
              <w:t>Office 365 (Enterprise E4)</w:t>
            </w:r>
          </w:p>
        </w:tc>
        <w:tc>
          <w:tcPr>
            <w:tcW w:w="2397" w:type="pct"/>
          </w:tcPr>
          <w:p w:rsidR="008D4EE5" w:rsidRPr="0062435A" w:rsidRDefault="008D4EE5" w:rsidP="00021721">
            <w:pPr>
              <w:numPr>
                <w:ilvl w:val="0"/>
                <w:numId w:val="38"/>
              </w:numPr>
              <w:spacing w:before="80"/>
              <w:ind w:left="725"/>
              <w:jc w:val="both"/>
            </w:pPr>
            <w:r>
              <w:rPr>
                <w:rFonts w:cs="Tahoma"/>
              </w:rPr>
              <w:t>Microsoft Dynamics CRM Online*</w:t>
            </w:r>
          </w:p>
          <w:p w:rsidR="008D4EE5" w:rsidRPr="0062435A" w:rsidRDefault="008D4EE5" w:rsidP="00021721">
            <w:pPr>
              <w:numPr>
                <w:ilvl w:val="0"/>
                <w:numId w:val="38"/>
              </w:numPr>
              <w:spacing w:before="80"/>
              <w:ind w:left="725"/>
              <w:jc w:val="both"/>
            </w:pPr>
            <w:r>
              <w:rPr>
                <w:rFonts w:cs="Tahoma"/>
              </w:rPr>
              <w:t>Office 365 (Government G1)</w:t>
            </w:r>
          </w:p>
          <w:p w:rsidR="008D4EE5" w:rsidRPr="0062435A" w:rsidRDefault="008D4EE5" w:rsidP="00021721">
            <w:pPr>
              <w:numPr>
                <w:ilvl w:val="0"/>
                <w:numId w:val="38"/>
              </w:numPr>
              <w:spacing w:before="80"/>
              <w:ind w:left="725"/>
              <w:jc w:val="both"/>
            </w:pPr>
            <w:r>
              <w:rPr>
                <w:rFonts w:cs="Tahoma"/>
              </w:rPr>
              <w:t>Office 365 (Government G3)</w:t>
            </w:r>
          </w:p>
          <w:p w:rsidR="008D4EE5" w:rsidRPr="0062435A" w:rsidRDefault="008D4EE5" w:rsidP="00021721">
            <w:pPr>
              <w:numPr>
                <w:ilvl w:val="0"/>
                <w:numId w:val="38"/>
              </w:numPr>
              <w:spacing w:before="80"/>
              <w:ind w:left="725"/>
              <w:jc w:val="both"/>
            </w:pPr>
            <w:r>
              <w:rPr>
                <w:rFonts w:cs="Tahoma"/>
              </w:rPr>
              <w:t>Office 365 (Government G4)</w:t>
            </w:r>
          </w:p>
          <w:p w:rsidR="008D4EE5" w:rsidRPr="0062435A" w:rsidRDefault="008D4EE5" w:rsidP="00021721">
            <w:pPr>
              <w:numPr>
                <w:ilvl w:val="0"/>
                <w:numId w:val="38"/>
              </w:numPr>
              <w:spacing w:before="80"/>
              <w:ind w:left="725"/>
              <w:jc w:val="both"/>
            </w:pPr>
            <w:r>
              <w:rPr>
                <w:rFonts w:cs="Tahoma"/>
              </w:rPr>
              <w:t>Office-Webanwendungen*</w:t>
            </w:r>
          </w:p>
          <w:p w:rsidR="008D4EE5" w:rsidRPr="0062435A" w:rsidRDefault="008D4EE5" w:rsidP="00021721">
            <w:pPr>
              <w:numPr>
                <w:ilvl w:val="0"/>
                <w:numId w:val="38"/>
              </w:numPr>
              <w:spacing w:before="80"/>
              <w:ind w:left="725"/>
              <w:jc w:val="both"/>
            </w:pPr>
            <w:r>
              <w:rPr>
                <w:rFonts w:cs="Tahoma"/>
              </w:rPr>
              <w:t>Project Online*</w:t>
            </w:r>
          </w:p>
          <w:p w:rsidR="008D4EE5" w:rsidRPr="0062435A" w:rsidRDefault="008D4EE5" w:rsidP="00021721">
            <w:pPr>
              <w:numPr>
                <w:ilvl w:val="0"/>
                <w:numId w:val="38"/>
              </w:numPr>
              <w:spacing w:before="80"/>
              <w:ind w:left="725"/>
              <w:jc w:val="both"/>
            </w:pPr>
            <w:r>
              <w:rPr>
                <w:rFonts w:cs="Tahoma"/>
              </w:rPr>
              <w:t>Project Pro für Office 365*</w:t>
            </w:r>
          </w:p>
          <w:p w:rsidR="008D4EE5" w:rsidRPr="0062435A" w:rsidRDefault="008D4EE5" w:rsidP="00021721">
            <w:pPr>
              <w:numPr>
                <w:ilvl w:val="0"/>
                <w:numId w:val="38"/>
              </w:numPr>
              <w:spacing w:before="80"/>
              <w:ind w:left="725"/>
              <w:jc w:val="both"/>
            </w:pPr>
            <w:r>
              <w:rPr>
                <w:rFonts w:cs="Tahoma"/>
              </w:rPr>
              <w:t>SharePoint Online Plan 1*</w:t>
            </w:r>
          </w:p>
          <w:p w:rsidR="008D4EE5" w:rsidRPr="0062435A" w:rsidRDefault="008D4EE5" w:rsidP="00021721">
            <w:pPr>
              <w:numPr>
                <w:ilvl w:val="0"/>
                <w:numId w:val="38"/>
              </w:numPr>
              <w:spacing w:before="80"/>
              <w:ind w:left="725"/>
              <w:jc w:val="both"/>
            </w:pPr>
            <w:r>
              <w:rPr>
                <w:rFonts w:cs="Tahoma"/>
              </w:rPr>
              <w:t>SharePoint Online Plan 2*</w:t>
            </w:r>
          </w:p>
          <w:p w:rsidR="008D4EE5" w:rsidRPr="0062435A" w:rsidRDefault="008D4EE5" w:rsidP="00021721">
            <w:pPr>
              <w:numPr>
                <w:ilvl w:val="0"/>
                <w:numId w:val="38"/>
              </w:numPr>
              <w:spacing w:before="80"/>
              <w:ind w:left="725"/>
              <w:jc w:val="both"/>
            </w:pPr>
            <w:r>
              <w:rPr>
                <w:rFonts w:cs="Tahoma"/>
              </w:rPr>
              <w:t>SharePoint Online Partner Access*</w:t>
            </w:r>
          </w:p>
          <w:p w:rsidR="008D4EE5" w:rsidRPr="0062435A" w:rsidRDefault="008D4EE5" w:rsidP="00021721">
            <w:pPr>
              <w:numPr>
                <w:ilvl w:val="0"/>
                <w:numId w:val="38"/>
              </w:numPr>
              <w:spacing w:before="80"/>
              <w:ind w:left="725"/>
              <w:jc w:val="both"/>
            </w:pPr>
            <w:r>
              <w:rPr>
                <w:rFonts w:cs="Tahoma"/>
              </w:rPr>
              <w:t>Viso Pro für Office 365*</w:t>
            </w:r>
          </w:p>
          <w:p w:rsidR="008D4EE5" w:rsidRPr="00CE15C8" w:rsidRDefault="008D4EE5" w:rsidP="00CE15C8">
            <w:pPr>
              <w:pStyle w:val="ListParagraph"/>
              <w:numPr>
                <w:ilvl w:val="0"/>
                <w:numId w:val="142"/>
              </w:numPr>
              <w:spacing w:before="80"/>
              <w:ind w:left="737" w:hanging="369"/>
              <w:contextualSpacing w:val="0"/>
              <w:rPr>
                <w:rFonts w:ascii="Tahoma" w:hAnsi="Tahoma" w:cs="Tahoma"/>
                <w:sz w:val="18"/>
                <w:szCs w:val="18"/>
              </w:rPr>
            </w:pPr>
            <w:r w:rsidRPr="00CE15C8">
              <w:rPr>
                <w:rFonts w:ascii="Tahoma" w:hAnsi="Tahoma" w:cs="Tahoma"/>
                <w:sz w:val="18"/>
                <w:szCs w:val="18"/>
              </w:rPr>
              <w:t>Windows Azure Active Directory-Rechteverwaltung</w:t>
            </w:r>
          </w:p>
          <w:p w:rsidR="008D4EE5" w:rsidRPr="0062435A" w:rsidRDefault="008D4EE5" w:rsidP="00021721">
            <w:pPr>
              <w:numPr>
                <w:ilvl w:val="0"/>
                <w:numId w:val="38"/>
              </w:numPr>
              <w:spacing w:before="80"/>
              <w:ind w:left="725"/>
              <w:jc w:val="both"/>
            </w:pPr>
            <w:r>
              <w:rPr>
                <w:rFonts w:cs="Tahoma"/>
              </w:rPr>
              <w:t>Windows Azure-Dienste*</w:t>
            </w:r>
          </w:p>
          <w:p w:rsidR="008D4EE5" w:rsidRPr="0062435A" w:rsidRDefault="008D4EE5" w:rsidP="00021721">
            <w:pPr>
              <w:numPr>
                <w:ilvl w:val="0"/>
                <w:numId w:val="38"/>
              </w:numPr>
              <w:spacing w:before="80"/>
              <w:ind w:left="720"/>
              <w:jc w:val="both"/>
            </w:pPr>
            <w:r>
              <w:rPr>
                <w:rFonts w:cs="Tahoma"/>
              </w:rPr>
              <w:t>Windows Intune</w:t>
            </w:r>
          </w:p>
          <w:p w:rsidR="008D4EE5" w:rsidRPr="0062435A" w:rsidRDefault="008D4EE5" w:rsidP="00021721">
            <w:pPr>
              <w:numPr>
                <w:ilvl w:val="0"/>
                <w:numId w:val="38"/>
              </w:numPr>
              <w:spacing w:before="80"/>
              <w:ind w:left="725"/>
              <w:jc w:val="both"/>
            </w:pPr>
            <w:r>
              <w:rPr>
                <w:rFonts w:cs="Tahoma"/>
              </w:rPr>
              <w:t>Add-On für Windows Intune*</w:t>
            </w:r>
          </w:p>
          <w:p w:rsidR="008D4EE5" w:rsidRPr="0043735F" w:rsidRDefault="008D4EE5" w:rsidP="00021721">
            <w:pPr>
              <w:numPr>
                <w:ilvl w:val="0"/>
                <w:numId w:val="38"/>
              </w:numPr>
              <w:spacing w:before="80" w:after="120"/>
              <w:ind w:left="720"/>
              <w:jc w:val="both"/>
              <w:rPr>
                <w:rFonts w:cs="Tahoma"/>
              </w:rPr>
            </w:pPr>
            <w:r>
              <w:rPr>
                <w:rFonts w:cs="Tahoma"/>
              </w:rPr>
              <w:t>Yammer Enterprise*</w:t>
            </w:r>
          </w:p>
        </w:tc>
      </w:tr>
    </w:tbl>
    <w:p w:rsidR="008D4EE5" w:rsidRPr="0062435A" w:rsidRDefault="008D4EE5" w:rsidP="008D4EE5">
      <w:pPr>
        <w:tabs>
          <w:tab w:val="left" w:pos="360"/>
        </w:tabs>
        <w:ind w:left="720"/>
      </w:pPr>
      <w:r>
        <w:rPr>
          <w:rFonts w:cs="Tahoma"/>
          <w:i/>
          <w:sz w:val="16"/>
          <w:szCs w:val="20"/>
        </w:rPr>
        <w:t>* Zusätzliches Produkt</w:t>
      </w:r>
    </w:p>
    <w:p w:rsidR="008D4EE5" w:rsidRPr="0062435A" w:rsidRDefault="008D4EE5" w:rsidP="00CE15C8">
      <w:pPr>
        <w:pStyle w:val="Heading1"/>
        <w:spacing w:before="0"/>
      </w:pPr>
      <w:r>
        <w:br w:type="page"/>
      </w:r>
      <w:bookmarkStart w:id="635" w:name="_Toc336338197"/>
      <w:bookmarkStart w:id="636" w:name="_Toc363998934"/>
      <w:r>
        <w:t>ABSCHNITT 4 – Lizenztypen und Gebühren</w:t>
      </w:r>
      <w:bookmarkEnd w:id="635"/>
      <w:bookmarkEnd w:id="636"/>
      <w:r>
        <w:t xml:space="preserve"> </w:t>
      </w:r>
    </w:p>
    <w:p w:rsidR="008D4EE5" w:rsidRPr="0062435A" w:rsidRDefault="008D4EE5" w:rsidP="008D4EE5">
      <w:pPr>
        <w:pStyle w:val="Heading2"/>
        <w:ind w:left="0" w:right="720"/>
      </w:pPr>
    </w:p>
    <w:p w:rsidR="008D4EE5" w:rsidRPr="0062435A" w:rsidRDefault="008D4EE5" w:rsidP="008D4EE5">
      <w:pPr>
        <w:pStyle w:val="Heading2"/>
        <w:tabs>
          <w:tab w:val="left" w:pos="90"/>
        </w:tabs>
        <w:ind w:left="0" w:right="720"/>
      </w:pPr>
      <w:bookmarkStart w:id="637" w:name="_Toc336338198"/>
      <w:bookmarkStart w:id="638" w:name="_Toc363998935"/>
      <w:r>
        <w:rPr>
          <w:rFonts w:ascii="Tahoma" w:hAnsi="Tahoma" w:cs="Tahoma"/>
        </w:rPr>
        <w:t>Gebühren</w:t>
      </w:r>
      <w:bookmarkEnd w:id="637"/>
      <w:bookmarkEnd w:id="638"/>
      <w:r>
        <w:rPr>
          <w:rFonts w:ascii="Tahoma" w:hAnsi="Tahoma" w:cs="Tahoma"/>
        </w:rPr>
        <w:t xml:space="preserve"> </w:t>
      </w:r>
    </w:p>
    <w:p w:rsidR="008D4EE5" w:rsidRPr="0062435A" w:rsidRDefault="008D4EE5" w:rsidP="008D4EE5">
      <w:pPr>
        <w:ind w:right="720"/>
      </w:pPr>
    </w:p>
    <w:p w:rsidR="008D4EE5" w:rsidRPr="00CE15C8" w:rsidRDefault="008D4EE5" w:rsidP="00CE15C8">
      <w:pPr>
        <w:pStyle w:val="AppendixBodyText"/>
        <w:spacing w:after="0"/>
        <w:ind w:right="180"/>
        <w:rPr>
          <w:rFonts w:ascii="Tahoma" w:hAnsi="Tahoma" w:cs="Tahoma"/>
          <w:sz w:val="18"/>
          <w:lang w:val="de-DE"/>
        </w:rPr>
      </w:pPr>
      <w:r w:rsidRPr="009123CB">
        <w:rPr>
          <w:rFonts w:ascii="Tahoma" w:hAnsi="Tahoma" w:cs="Tahoma"/>
          <w:sz w:val="18"/>
          <w:lang w:val="de-DE"/>
        </w:rPr>
        <w:t>Dieser Produkttyp ist für einige Onlinedienste und Softwareprodukte verfügbar</w:t>
      </w:r>
      <w:r w:rsidR="006257A7">
        <w:rPr>
          <w:rFonts w:ascii="Tahoma" w:hAnsi="Tahoma" w:cs="Tahoma"/>
          <w:sz w:val="18"/>
          <w:lang w:val="de-DE"/>
        </w:rPr>
        <w:t xml:space="preserve">. </w:t>
      </w:r>
      <w:r w:rsidRPr="009123CB">
        <w:rPr>
          <w:rFonts w:ascii="Tahoma" w:hAnsi="Tahoma" w:cs="Tahoma"/>
          <w:sz w:val="18"/>
          <w:lang w:val="de-DE"/>
        </w:rPr>
        <w:t>Er ist nicht versionsspezifischund kann mit Einrichtungskosten oder anderen Angeboten wie Activation Packs verknüpft werden</w:t>
      </w:r>
      <w:r w:rsidR="006257A7">
        <w:rPr>
          <w:rFonts w:ascii="Tahoma" w:hAnsi="Tahoma" w:cs="Tahoma"/>
          <w:sz w:val="18"/>
          <w:lang w:val="de-DE"/>
        </w:rPr>
        <w:t xml:space="preserve">. </w:t>
      </w:r>
      <w:r w:rsidRPr="009123CB">
        <w:rPr>
          <w:rFonts w:ascii="Tahoma" w:hAnsi="Tahoma" w:cs="Tahoma"/>
          <w:sz w:val="18"/>
          <w:lang w:val="de-DE"/>
        </w:rPr>
        <w:t>Im Allgemeinen werden damit keine Rechte zur Nutzung eines Produktes oder Onlinediensts gewährt</w:t>
      </w:r>
      <w:r w:rsidR="006257A7">
        <w:rPr>
          <w:rFonts w:ascii="Tahoma" w:hAnsi="Tahoma" w:cs="Tahoma"/>
          <w:sz w:val="18"/>
          <w:lang w:val="de-DE"/>
        </w:rPr>
        <w:t xml:space="preserve">. </w:t>
      </w:r>
      <w:r w:rsidRPr="009123CB">
        <w:rPr>
          <w:rFonts w:ascii="Tahoma" w:hAnsi="Tahoma" w:cs="Tahoma"/>
          <w:sz w:val="18"/>
          <w:lang w:val="de-DE"/>
        </w:rPr>
        <w:t>Dementsprechend werden mit diesem Produkttyp keine Vergünstigungen gewährt oder Zwecke abseits des Diensts oder der Software erfüllt, dem bzw</w:t>
      </w:r>
      <w:r w:rsidR="006257A7">
        <w:rPr>
          <w:rFonts w:ascii="Tahoma" w:hAnsi="Tahoma" w:cs="Tahoma"/>
          <w:sz w:val="18"/>
          <w:lang w:val="de-DE"/>
        </w:rPr>
        <w:t xml:space="preserve">. </w:t>
      </w:r>
      <w:r w:rsidRPr="009123CB">
        <w:rPr>
          <w:rFonts w:ascii="Tahoma" w:hAnsi="Tahoma" w:cs="Tahoma"/>
          <w:sz w:val="18"/>
          <w:lang w:val="de-DE"/>
        </w:rPr>
        <w:t>der er entspricht</w:t>
      </w:r>
      <w:r w:rsidR="006257A7">
        <w:rPr>
          <w:rFonts w:ascii="Tahoma" w:hAnsi="Tahoma" w:cs="Tahoma"/>
          <w:sz w:val="18"/>
          <w:lang w:val="de-DE"/>
        </w:rPr>
        <w:t xml:space="preserve">. </w:t>
      </w:r>
      <w:r w:rsidRPr="009123CB">
        <w:rPr>
          <w:rFonts w:ascii="Tahoma" w:hAnsi="Tahoma" w:cs="Tahoma"/>
          <w:sz w:val="18"/>
          <w:lang w:val="de-DE"/>
        </w:rPr>
        <w:t>Für die folgenden Programme verfügbar: Open, Open Value, Open Value Subscription, Select und Select Plus</w:t>
      </w:r>
      <w:r w:rsidR="006257A7">
        <w:rPr>
          <w:rFonts w:ascii="Tahoma" w:hAnsi="Tahoma" w:cs="Tahoma"/>
          <w:sz w:val="18"/>
          <w:lang w:val="de-DE"/>
        </w:rPr>
        <w:t xml:space="preserve">. </w:t>
      </w:r>
    </w:p>
    <w:p w:rsidR="008D4EE5" w:rsidRPr="009123CB" w:rsidRDefault="008D4EE5" w:rsidP="008D4EE5">
      <w:pPr>
        <w:ind w:right="720"/>
        <w:rPr>
          <w:lang w:val="de-DE"/>
        </w:rPr>
      </w:pPr>
    </w:p>
    <w:p w:rsidR="008D4EE5" w:rsidRPr="009123CB" w:rsidRDefault="008D4EE5" w:rsidP="008D4EE5">
      <w:pPr>
        <w:pStyle w:val="Heading2"/>
        <w:tabs>
          <w:tab w:val="left" w:pos="90"/>
        </w:tabs>
        <w:ind w:left="0" w:right="720"/>
        <w:rPr>
          <w:lang w:val="de-DE"/>
        </w:rPr>
      </w:pPr>
      <w:bookmarkStart w:id="639" w:name="_Toc323819648"/>
      <w:bookmarkStart w:id="640" w:name="_Toc336338199"/>
      <w:bookmarkStart w:id="641" w:name="_Toc363998936"/>
      <w:r w:rsidRPr="009123CB">
        <w:rPr>
          <w:rFonts w:ascii="Tahoma" w:hAnsi="Tahoma" w:cs="Tahoma"/>
          <w:lang w:val="de-DE"/>
        </w:rPr>
        <w:t>Lizenz</w:t>
      </w:r>
      <w:bookmarkEnd w:id="639"/>
      <w:bookmarkEnd w:id="640"/>
      <w:bookmarkEnd w:id="641"/>
    </w:p>
    <w:p w:rsidR="008D4EE5" w:rsidRPr="009123CB" w:rsidRDefault="008D4EE5" w:rsidP="008D4EE5">
      <w:pPr>
        <w:pStyle w:val="AppendixIndent"/>
        <w:tabs>
          <w:tab w:val="left" w:pos="90"/>
        </w:tabs>
        <w:spacing w:before="0"/>
        <w:ind w:left="0" w:right="720"/>
        <w:rPr>
          <w:lang w:val="de-DE"/>
        </w:rPr>
      </w:pPr>
    </w:p>
    <w:p w:rsidR="008D4EE5" w:rsidRPr="0062435A" w:rsidRDefault="008D4EE5" w:rsidP="008D4EE5">
      <w:pPr>
        <w:pStyle w:val="AppendixBodyText"/>
        <w:spacing w:after="0"/>
        <w:ind w:right="720"/>
      </w:pPr>
      <w:r w:rsidRPr="009123CB">
        <w:rPr>
          <w:rFonts w:ascii="Tahoma" w:hAnsi="Tahoma" w:cs="Tahoma"/>
          <w:sz w:val="18"/>
          <w:lang w:val="de-DE"/>
        </w:rPr>
        <w:t>Dieser Produkttyp ist versionsspezifisch und gewährt das Recht, die Version des Produktes auszuführen, für die er bestellt wurde</w:t>
      </w:r>
      <w:r w:rsidR="006257A7">
        <w:rPr>
          <w:rFonts w:ascii="Tahoma" w:hAnsi="Tahoma" w:cs="Tahoma"/>
          <w:sz w:val="18"/>
          <w:lang w:val="de-DE"/>
        </w:rPr>
        <w:t xml:space="preserve">. </w:t>
      </w:r>
      <w:r>
        <w:rPr>
          <w:rFonts w:ascii="Tahoma" w:hAnsi="Tahoma" w:cs="Tahoma"/>
          <w:sz w:val="18"/>
        </w:rPr>
        <w:t xml:space="preserve">Für die folgenden Programme verfügbar: </w:t>
      </w:r>
    </w:p>
    <w:p w:rsidR="008D4EE5" w:rsidRPr="0062435A" w:rsidRDefault="008D4EE5" w:rsidP="008D4EE5">
      <w:pPr>
        <w:pStyle w:val="AppendixIndent"/>
        <w:tabs>
          <w:tab w:val="left" w:pos="90"/>
        </w:tabs>
        <w:spacing w:before="0"/>
        <w:ind w:left="0" w:right="720"/>
      </w:pPr>
    </w:p>
    <w:p w:rsidR="008D4EE5" w:rsidRPr="0062435A" w:rsidRDefault="008D4EE5" w:rsidP="008D4EE5">
      <w:pPr>
        <w:pStyle w:val="AppendixBulletIndent"/>
        <w:numPr>
          <w:ilvl w:val="0"/>
          <w:numId w:val="59"/>
        </w:numPr>
        <w:tabs>
          <w:tab w:val="left" w:pos="90"/>
        </w:tabs>
        <w:spacing w:after="60"/>
        <w:ind w:left="1440" w:right="720"/>
      </w:pPr>
      <w:r>
        <w:rPr>
          <w:rFonts w:ascii="Tahoma" w:hAnsi="Tahoma" w:cs="Tahoma"/>
          <w:sz w:val="18"/>
          <w:szCs w:val="18"/>
        </w:rPr>
        <w:t>Open-Lizenz</w:t>
      </w:r>
    </w:p>
    <w:p w:rsidR="008D4EE5" w:rsidRPr="009123CB" w:rsidRDefault="008D4EE5" w:rsidP="008D4EE5">
      <w:pPr>
        <w:pStyle w:val="AppendixBulletIndent"/>
        <w:numPr>
          <w:ilvl w:val="0"/>
          <w:numId w:val="59"/>
        </w:numPr>
        <w:tabs>
          <w:tab w:val="left" w:pos="90"/>
        </w:tabs>
        <w:spacing w:after="60"/>
        <w:ind w:left="1440" w:right="720"/>
        <w:rPr>
          <w:lang w:val="de-DE"/>
        </w:rPr>
      </w:pPr>
      <w:r w:rsidRPr="009123CB">
        <w:rPr>
          <w:rFonts w:ascii="Tahoma" w:hAnsi="Tahoma" w:cs="Tahoma"/>
          <w:sz w:val="18"/>
          <w:szCs w:val="18"/>
          <w:lang w:val="de-DE"/>
        </w:rPr>
        <w:t xml:space="preserve">Open Value Subscription (nur für Buy-Out-Bestellungen) </w:t>
      </w:r>
    </w:p>
    <w:p w:rsidR="008D4EE5" w:rsidRPr="0062435A" w:rsidRDefault="008D4EE5" w:rsidP="008D4EE5">
      <w:pPr>
        <w:pStyle w:val="AppendixBulletIndent"/>
        <w:numPr>
          <w:ilvl w:val="0"/>
          <w:numId w:val="59"/>
        </w:numPr>
        <w:tabs>
          <w:tab w:val="left" w:pos="90"/>
        </w:tabs>
        <w:spacing w:after="60"/>
        <w:ind w:left="1440" w:right="720"/>
      </w:pPr>
      <w:r>
        <w:rPr>
          <w:rFonts w:ascii="Tahoma" w:hAnsi="Tahoma" w:cs="Tahoma"/>
          <w:sz w:val="18"/>
          <w:szCs w:val="18"/>
        </w:rPr>
        <w:t xml:space="preserve">Select </w:t>
      </w:r>
    </w:p>
    <w:p w:rsidR="008D4EE5" w:rsidRPr="0062435A" w:rsidRDefault="008D4EE5" w:rsidP="008D4EE5">
      <w:pPr>
        <w:pStyle w:val="AppendixBulletIndent"/>
        <w:numPr>
          <w:ilvl w:val="0"/>
          <w:numId w:val="59"/>
        </w:numPr>
        <w:tabs>
          <w:tab w:val="left" w:pos="90"/>
        </w:tabs>
        <w:spacing w:after="60"/>
        <w:ind w:left="1440" w:right="720"/>
      </w:pPr>
      <w:r>
        <w:rPr>
          <w:rFonts w:ascii="Tahoma" w:hAnsi="Tahoma" w:cs="Tahoma"/>
          <w:sz w:val="18"/>
          <w:szCs w:val="18"/>
        </w:rPr>
        <w:t>Select Plus</w:t>
      </w:r>
    </w:p>
    <w:p w:rsidR="008D4EE5" w:rsidRPr="009123CB" w:rsidRDefault="008D4EE5" w:rsidP="008D4EE5">
      <w:pPr>
        <w:pStyle w:val="AppendixBulletIndent"/>
        <w:numPr>
          <w:ilvl w:val="0"/>
          <w:numId w:val="59"/>
        </w:numPr>
        <w:tabs>
          <w:tab w:val="left" w:pos="90"/>
        </w:tabs>
        <w:spacing w:after="60"/>
        <w:ind w:left="1440" w:right="720"/>
        <w:rPr>
          <w:lang w:val="de-DE"/>
        </w:rPr>
      </w:pPr>
      <w:r w:rsidRPr="009123CB">
        <w:rPr>
          <w:rFonts w:ascii="Tahoma" w:hAnsi="Tahoma" w:cs="Tahoma"/>
          <w:sz w:val="18"/>
          <w:szCs w:val="18"/>
          <w:lang w:val="de-DE"/>
        </w:rPr>
        <w:t>School-Vertrag (nur für Buy-Out-Bestellungen)</w:t>
      </w:r>
    </w:p>
    <w:p w:rsidR="008D4EE5" w:rsidRPr="009123CB" w:rsidRDefault="008D4EE5" w:rsidP="008D4EE5">
      <w:pPr>
        <w:pStyle w:val="AppendixBulletIndent"/>
        <w:numPr>
          <w:ilvl w:val="0"/>
          <w:numId w:val="59"/>
        </w:numPr>
        <w:tabs>
          <w:tab w:val="left" w:pos="90"/>
        </w:tabs>
        <w:spacing w:after="60"/>
        <w:ind w:left="1440" w:right="720"/>
        <w:rPr>
          <w:lang w:val="de-DE"/>
        </w:rPr>
      </w:pPr>
      <w:r w:rsidRPr="009123CB">
        <w:rPr>
          <w:rFonts w:ascii="Tahoma" w:hAnsi="Tahoma" w:cs="Tahoma"/>
          <w:sz w:val="18"/>
          <w:szCs w:val="18"/>
          <w:lang w:val="de-DE"/>
        </w:rPr>
        <w:t>EES (nur für Buy-Out-Bestellungen)</w:t>
      </w:r>
    </w:p>
    <w:p w:rsidR="008D4EE5" w:rsidRPr="009123CB" w:rsidRDefault="008D4EE5" w:rsidP="008D4EE5">
      <w:pPr>
        <w:pStyle w:val="AppendixBulletIndent"/>
        <w:numPr>
          <w:ilvl w:val="0"/>
          <w:numId w:val="59"/>
        </w:numPr>
        <w:tabs>
          <w:tab w:val="left" w:pos="90"/>
        </w:tabs>
        <w:ind w:left="1440" w:right="720"/>
        <w:rPr>
          <w:lang w:val="de-DE"/>
        </w:rPr>
      </w:pPr>
      <w:r w:rsidRPr="009123CB">
        <w:rPr>
          <w:rFonts w:ascii="Tahoma" w:hAnsi="Tahoma" w:cs="Tahoma"/>
          <w:sz w:val="18"/>
          <w:szCs w:val="18"/>
          <w:lang w:val="de-DE"/>
        </w:rPr>
        <w:t>Konzern-Abonnement-Vertrag (nur für Buy-Out-Bestellungen)</w:t>
      </w:r>
    </w:p>
    <w:p w:rsidR="008D4EE5" w:rsidRPr="009123CB" w:rsidRDefault="008D4EE5" w:rsidP="008D4EE5">
      <w:pPr>
        <w:pStyle w:val="AppendixIndent"/>
        <w:tabs>
          <w:tab w:val="left" w:pos="90"/>
        </w:tabs>
        <w:spacing w:before="0"/>
        <w:ind w:left="0" w:right="720"/>
        <w:rPr>
          <w:lang w:val="de-DE"/>
        </w:rPr>
      </w:pPr>
    </w:p>
    <w:p w:rsidR="008D4EE5" w:rsidRPr="009123CB" w:rsidRDefault="008D4EE5" w:rsidP="00CE15C8">
      <w:pPr>
        <w:pStyle w:val="AppendixBodyText"/>
        <w:spacing w:after="0"/>
        <w:ind w:right="720"/>
        <w:rPr>
          <w:lang w:val="de-DE"/>
        </w:rPr>
      </w:pPr>
      <w:r w:rsidRPr="009123CB">
        <w:rPr>
          <w:rFonts w:ascii="Tahoma" w:hAnsi="Tahoma" w:cs="Tahoma"/>
          <w:sz w:val="18"/>
          <w:lang w:val="de-DE"/>
        </w:rPr>
        <w:t>Für den Erwerb einer Lizenz in den Open-Lizenz-, Select- und Select Plus-Programmen muss ein Kunde</w:t>
      </w:r>
      <w:r w:rsidR="00CE15C8">
        <w:rPr>
          <w:rFonts w:ascii="Tahoma" w:hAnsi="Tahoma" w:cs="Tahoma"/>
          <w:sz w:val="18"/>
          <w:lang w:val="de-DE"/>
        </w:rPr>
        <w:t> </w:t>
      </w:r>
      <w:r w:rsidRPr="009123CB">
        <w:rPr>
          <w:rFonts w:ascii="Tahoma" w:hAnsi="Tahoma" w:cs="Tahoma"/>
          <w:sz w:val="18"/>
          <w:lang w:val="de-DE"/>
        </w:rPr>
        <w:t>keinerlei Voraussetzungen erfüllen</w:t>
      </w:r>
      <w:r w:rsidR="006257A7">
        <w:rPr>
          <w:rFonts w:ascii="Tahoma" w:hAnsi="Tahoma" w:cs="Tahoma"/>
          <w:sz w:val="18"/>
          <w:lang w:val="de-DE"/>
        </w:rPr>
        <w:t xml:space="preserve">. </w:t>
      </w:r>
      <w:r w:rsidRPr="009123CB">
        <w:rPr>
          <w:rFonts w:ascii="Tahoma" w:hAnsi="Tahoma" w:cs="Tahoma"/>
          <w:sz w:val="18"/>
          <w:lang w:val="de-DE"/>
        </w:rPr>
        <w:t>Die Berechtigungsvorschriften zum Bestellen einer zeitlich unbeschränkten Lizenz durch Buy-Out-Bestellungen finden Sie im jeweiligen Programmvertrag</w:t>
      </w:r>
      <w:r w:rsidR="006257A7">
        <w:rPr>
          <w:rFonts w:ascii="Tahoma" w:hAnsi="Tahoma" w:cs="Tahoma"/>
          <w:sz w:val="18"/>
          <w:lang w:val="de-DE"/>
        </w:rPr>
        <w:t xml:space="preserve">. </w:t>
      </w:r>
    </w:p>
    <w:p w:rsidR="008D4EE5" w:rsidRPr="009123CB" w:rsidRDefault="008D4EE5" w:rsidP="008D4EE5">
      <w:pPr>
        <w:pStyle w:val="AppendixIndent"/>
        <w:tabs>
          <w:tab w:val="left" w:pos="90"/>
        </w:tabs>
        <w:spacing w:before="0"/>
        <w:ind w:left="0" w:right="720"/>
        <w:rPr>
          <w:lang w:val="de-DE"/>
        </w:rPr>
      </w:pPr>
    </w:p>
    <w:p w:rsidR="008D4EE5" w:rsidRPr="009123CB" w:rsidRDefault="008D4EE5" w:rsidP="008D4EE5">
      <w:pPr>
        <w:pStyle w:val="Heading2"/>
        <w:tabs>
          <w:tab w:val="left" w:pos="90"/>
        </w:tabs>
        <w:ind w:left="0" w:right="720"/>
        <w:rPr>
          <w:lang w:val="de-DE"/>
        </w:rPr>
      </w:pPr>
      <w:bookmarkStart w:id="642" w:name="_Toc323819649"/>
      <w:bookmarkStart w:id="643" w:name="_Toc336338200"/>
      <w:bookmarkStart w:id="644" w:name="_Toc363998937"/>
      <w:r w:rsidRPr="009123CB">
        <w:rPr>
          <w:rFonts w:ascii="Tahoma" w:hAnsi="Tahoma" w:cs="Tahoma"/>
          <w:lang w:val="de-DE"/>
        </w:rPr>
        <w:t>Lizenz und Software Assurance</w:t>
      </w:r>
      <w:bookmarkEnd w:id="642"/>
      <w:bookmarkEnd w:id="643"/>
      <w:bookmarkEnd w:id="644"/>
      <w:r w:rsidRPr="009123CB">
        <w:rPr>
          <w:rFonts w:ascii="Tahoma" w:hAnsi="Tahoma" w:cs="Tahoma"/>
          <w:lang w:val="de-DE"/>
        </w:rPr>
        <w:t xml:space="preserve"> </w:t>
      </w:r>
    </w:p>
    <w:p w:rsidR="008D4EE5" w:rsidRPr="009123CB" w:rsidRDefault="008D4EE5" w:rsidP="008D4EE5">
      <w:pPr>
        <w:pStyle w:val="AppendixIndent"/>
        <w:tabs>
          <w:tab w:val="left" w:pos="90"/>
        </w:tabs>
        <w:spacing w:before="0"/>
        <w:ind w:left="0" w:right="720"/>
        <w:rPr>
          <w:lang w:val="de-DE"/>
        </w:rPr>
      </w:pPr>
    </w:p>
    <w:p w:rsidR="008D4EE5" w:rsidRPr="00CE15C8" w:rsidRDefault="008D4EE5" w:rsidP="00CE15C8">
      <w:pPr>
        <w:pStyle w:val="AppendixBodyText"/>
        <w:spacing w:after="0"/>
        <w:ind w:right="720"/>
        <w:rPr>
          <w:lang w:val="de-DE"/>
        </w:rPr>
      </w:pPr>
      <w:r w:rsidRPr="009123CB">
        <w:rPr>
          <w:rFonts w:ascii="Tahoma" w:hAnsi="Tahoma" w:cs="Tahoma"/>
          <w:sz w:val="18"/>
          <w:lang w:val="de-DE"/>
        </w:rPr>
        <w:t>Dieser Produkttyp ist nicht versionsspezifisch</w:t>
      </w:r>
      <w:r w:rsidR="006257A7">
        <w:rPr>
          <w:rFonts w:ascii="Tahoma" w:hAnsi="Tahoma" w:cs="Tahoma"/>
          <w:sz w:val="18"/>
          <w:lang w:val="de-DE"/>
        </w:rPr>
        <w:t xml:space="preserve">. </w:t>
      </w:r>
      <w:r w:rsidRPr="009123CB">
        <w:rPr>
          <w:rFonts w:ascii="Tahoma" w:hAnsi="Tahoma" w:cs="Tahoma"/>
          <w:sz w:val="18"/>
          <w:lang w:val="de-DE"/>
        </w:rPr>
        <w:t>Er bietet Kunden die Möglichkeit, die Lizenz und Software</w:t>
      </w:r>
      <w:r w:rsidR="00CE15C8">
        <w:rPr>
          <w:rFonts w:ascii="Tahoma" w:hAnsi="Tahoma" w:cs="Tahoma"/>
          <w:sz w:val="18"/>
          <w:lang w:val="de-DE"/>
        </w:rPr>
        <w:t> </w:t>
      </w:r>
      <w:r w:rsidRPr="009123CB">
        <w:rPr>
          <w:rFonts w:ascii="Tahoma" w:hAnsi="Tahoma" w:cs="Tahoma"/>
          <w:sz w:val="18"/>
          <w:lang w:val="de-DE"/>
        </w:rPr>
        <w:t>Assurance zum gleichen Zeitpunkt zu erwerben</w:t>
      </w:r>
      <w:r w:rsidR="006257A7">
        <w:rPr>
          <w:rFonts w:ascii="Tahoma" w:hAnsi="Tahoma" w:cs="Tahoma"/>
          <w:sz w:val="18"/>
          <w:lang w:val="de-DE"/>
        </w:rPr>
        <w:t xml:space="preserve">. </w:t>
      </w:r>
      <w:r w:rsidRPr="00CE15C8">
        <w:rPr>
          <w:rFonts w:ascii="Tahoma" w:hAnsi="Tahoma" w:cs="Tahoma"/>
          <w:sz w:val="18"/>
          <w:lang w:val="de-DE"/>
        </w:rPr>
        <w:t>Für die folgenden Programme verfügbar:</w:t>
      </w:r>
    </w:p>
    <w:p w:rsidR="008D4EE5" w:rsidRPr="00CE15C8" w:rsidRDefault="008D4EE5" w:rsidP="008D4EE5">
      <w:pPr>
        <w:pStyle w:val="AppendixIndent"/>
        <w:tabs>
          <w:tab w:val="left" w:pos="90"/>
        </w:tabs>
        <w:spacing w:before="0"/>
        <w:ind w:left="0" w:right="720"/>
        <w:rPr>
          <w:lang w:val="de-DE"/>
        </w:rPr>
      </w:pPr>
    </w:p>
    <w:p w:rsidR="008D4EE5" w:rsidRPr="0062435A" w:rsidRDefault="008D4EE5" w:rsidP="008D4EE5">
      <w:pPr>
        <w:pStyle w:val="AppendixBulletIndent"/>
        <w:numPr>
          <w:ilvl w:val="0"/>
          <w:numId w:val="63"/>
        </w:numPr>
        <w:tabs>
          <w:tab w:val="left" w:pos="1440"/>
        </w:tabs>
        <w:spacing w:after="60"/>
        <w:ind w:left="1440" w:right="720"/>
      </w:pPr>
      <w:r>
        <w:rPr>
          <w:rFonts w:ascii="Tahoma" w:hAnsi="Tahoma" w:cs="Tahoma"/>
          <w:sz w:val="18"/>
        </w:rPr>
        <w:t xml:space="preserve">Open-Lizenz </w:t>
      </w:r>
    </w:p>
    <w:p w:rsidR="008D4EE5" w:rsidRPr="0062435A" w:rsidRDefault="008D4EE5" w:rsidP="008D4EE5">
      <w:pPr>
        <w:pStyle w:val="AppendixBulletIndent"/>
        <w:numPr>
          <w:ilvl w:val="0"/>
          <w:numId w:val="63"/>
        </w:numPr>
        <w:tabs>
          <w:tab w:val="left" w:pos="1440"/>
        </w:tabs>
        <w:spacing w:after="60"/>
        <w:ind w:left="1440" w:right="720"/>
      </w:pPr>
      <w:r>
        <w:rPr>
          <w:rFonts w:ascii="Tahoma" w:hAnsi="Tahoma" w:cs="Tahoma"/>
          <w:sz w:val="18"/>
        </w:rPr>
        <w:t>Open Value</w:t>
      </w:r>
    </w:p>
    <w:p w:rsidR="008D4EE5" w:rsidRPr="0062435A" w:rsidRDefault="008D4EE5" w:rsidP="008D4EE5">
      <w:pPr>
        <w:pStyle w:val="AppendixBulletIndent"/>
        <w:numPr>
          <w:ilvl w:val="0"/>
          <w:numId w:val="63"/>
        </w:numPr>
        <w:tabs>
          <w:tab w:val="left" w:pos="1440"/>
        </w:tabs>
        <w:spacing w:after="60"/>
        <w:ind w:left="1440" w:right="720"/>
      </w:pPr>
      <w:r>
        <w:rPr>
          <w:rFonts w:ascii="Tahoma" w:hAnsi="Tahoma" w:cs="Tahoma"/>
          <w:sz w:val="18"/>
        </w:rPr>
        <w:t>Open Value Subscription</w:t>
      </w:r>
    </w:p>
    <w:p w:rsidR="008D4EE5" w:rsidRPr="0062435A" w:rsidRDefault="008D4EE5" w:rsidP="008D4EE5">
      <w:pPr>
        <w:pStyle w:val="AppendixBulletIndent"/>
        <w:numPr>
          <w:ilvl w:val="0"/>
          <w:numId w:val="63"/>
        </w:numPr>
        <w:tabs>
          <w:tab w:val="left" w:pos="1440"/>
        </w:tabs>
        <w:spacing w:after="60"/>
        <w:ind w:left="1440" w:right="720"/>
      </w:pPr>
      <w:r>
        <w:rPr>
          <w:rFonts w:ascii="Tahoma" w:hAnsi="Tahoma" w:cs="Tahoma"/>
          <w:sz w:val="18"/>
        </w:rPr>
        <w:t xml:space="preserve">Select </w:t>
      </w:r>
    </w:p>
    <w:p w:rsidR="008D4EE5" w:rsidRPr="0062435A" w:rsidRDefault="008D4EE5" w:rsidP="008D4EE5">
      <w:pPr>
        <w:pStyle w:val="AppendixBulletIndent"/>
        <w:numPr>
          <w:ilvl w:val="0"/>
          <w:numId w:val="63"/>
        </w:numPr>
        <w:tabs>
          <w:tab w:val="left" w:pos="1440"/>
        </w:tabs>
        <w:spacing w:after="60"/>
        <w:ind w:left="1440" w:right="720"/>
      </w:pPr>
      <w:r>
        <w:rPr>
          <w:rFonts w:ascii="Tahoma" w:hAnsi="Tahoma" w:cs="Tahoma"/>
          <w:sz w:val="18"/>
        </w:rPr>
        <w:t>Select Plus</w:t>
      </w:r>
    </w:p>
    <w:p w:rsidR="008D4EE5" w:rsidRPr="0062435A" w:rsidRDefault="008D4EE5" w:rsidP="008D4EE5">
      <w:pPr>
        <w:pStyle w:val="AppendixBulletIndent"/>
        <w:numPr>
          <w:ilvl w:val="0"/>
          <w:numId w:val="63"/>
        </w:numPr>
        <w:tabs>
          <w:tab w:val="left" w:pos="1440"/>
        </w:tabs>
        <w:spacing w:after="60"/>
        <w:ind w:left="1440" w:right="720"/>
      </w:pPr>
      <w:r>
        <w:rPr>
          <w:rFonts w:ascii="Tahoma" w:hAnsi="Tahoma" w:cs="Tahoma"/>
          <w:sz w:val="18"/>
        </w:rPr>
        <w:t>Konzernvertrag</w:t>
      </w:r>
    </w:p>
    <w:p w:rsidR="008D4EE5" w:rsidRPr="0062435A" w:rsidRDefault="008D4EE5" w:rsidP="008D4EE5">
      <w:pPr>
        <w:pStyle w:val="AppendixBulletIndent"/>
        <w:numPr>
          <w:ilvl w:val="0"/>
          <w:numId w:val="63"/>
        </w:numPr>
        <w:tabs>
          <w:tab w:val="left" w:pos="1440"/>
        </w:tabs>
        <w:ind w:left="1440" w:right="720"/>
      </w:pPr>
      <w:r>
        <w:rPr>
          <w:rFonts w:ascii="Tahoma" w:hAnsi="Tahoma" w:cs="Tahoma"/>
          <w:sz w:val="18"/>
        </w:rPr>
        <w:t>Konzern-Abonnement-Vertrag</w:t>
      </w:r>
    </w:p>
    <w:p w:rsidR="008D4EE5" w:rsidRPr="0062435A" w:rsidRDefault="008D4EE5" w:rsidP="008D4EE5">
      <w:pPr>
        <w:pStyle w:val="AppendixIndent"/>
        <w:tabs>
          <w:tab w:val="left" w:pos="90"/>
        </w:tabs>
        <w:spacing w:before="0"/>
        <w:ind w:left="0" w:right="720"/>
      </w:pPr>
    </w:p>
    <w:p w:rsidR="008D4EE5" w:rsidRPr="009123CB" w:rsidRDefault="008D4EE5" w:rsidP="008D4EE5">
      <w:pPr>
        <w:pStyle w:val="AppendixBodyText"/>
        <w:spacing w:after="0"/>
        <w:ind w:right="720"/>
        <w:rPr>
          <w:lang w:val="de-DE"/>
        </w:rPr>
      </w:pPr>
      <w:r w:rsidRPr="009123CB">
        <w:rPr>
          <w:rFonts w:ascii="Tahoma" w:hAnsi="Tahoma" w:cs="Tahoma"/>
          <w:sz w:val="18"/>
          <w:lang w:val="de-DE"/>
        </w:rPr>
        <w:t>Für den Erwerb der Lizenzen müssen keinerlei Voraussetzungen erfüllt werden</w:t>
      </w:r>
      <w:r w:rsidR="006257A7">
        <w:rPr>
          <w:rFonts w:ascii="Tahoma" w:hAnsi="Tahoma" w:cs="Tahoma"/>
          <w:sz w:val="18"/>
          <w:lang w:val="de-DE"/>
        </w:rPr>
        <w:t xml:space="preserve">. </w:t>
      </w:r>
      <w:r w:rsidRPr="009123CB">
        <w:rPr>
          <w:rFonts w:ascii="Tahoma" w:hAnsi="Tahoma" w:cs="Tahoma"/>
          <w:sz w:val="18"/>
          <w:lang w:val="de-DE"/>
        </w:rPr>
        <w:t>Software Assurance muss zeitgleich mit der entsprechenden Lizenz oder bei Verlängerung einer bestehenden Software Assurance-Laufzeit erworben werden</w:t>
      </w:r>
      <w:r w:rsidR="006257A7">
        <w:rPr>
          <w:rFonts w:ascii="Tahoma" w:hAnsi="Tahoma" w:cs="Tahoma"/>
          <w:sz w:val="18"/>
          <w:lang w:val="de-DE"/>
        </w:rPr>
        <w:t xml:space="preserve">. </w:t>
      </w:r>
      <w:r w:rsidRPr="009123CB">
        <w:rPr>
          <w:rFonts w:ascii="Tahoma" w:hAnsi="Tahoma" w:cs="Tahoma"/>
          <w:sz w:val="18"/>
          <w:lang w:val="de-DE"/>
        </w:rPr>
        <w:t>Bei allen Volumenlizenzprogrammen muss der Kunde das Angebot für Lizenz und Software Assurance erwerben, wenn er die Berechtigungskriterien für Software Assurance nicht erfüllt und Software Assurance erwerben möchte</w:t>
      </w:r>
      <w:r w:rsidR="006257A7">
        <w:rPr>
          <w:rFonts w:ascii="Tahoma" w:hAnsi="Tahoma" w:cs="Tahoma"/>
          <w:sz w:val="18"/>
          <w:lang w:val="de-DE"/>
        </w:rPr>
        <w:t xml:space="preserve">. </w:t>
      </w:r>
    </w:p>
    <w:p w:rsidR="008D4EE5" w:rsidRPr="009123CB" w:rsidRDefault="008D4EE5" w:rsidP="008D4EE5">
      <w:pPr>
        <w:rPr>
          <w:lang w:val="de-DE"/>
        </w:rPr>
      </w:pPr>
    </w:p>
    <w:p w:rsidR="00CE15C8" w:rsidRPr="00B11E09" w:rsidRDefault="00CE15C8" w:rsidP="00B11E09">
      <w:pPr>
        <w:rPr>
          <w:lang w:val="de-DE"/>
        </w:rPr>
      </w:pPr>
      <w:bookmarkStart w:id="645" w:name="_Toc323819650"/>
      <w:bookmarkStart w:id="646" w:name="_Toc336338201"/>
    </w:p>
    <w:p w:rsidR="00CE15C8" w:rsidRPr="00B11E09" w:rsidRDefault="00CE15C8" w:rsidP="00B11E09">
      <w:pPr>
        <w:rPr>
          <w:lang w:val="de-DE"/>
        </w:rPr>
      </w:pPr>
    </w:p>
    <w:p w:rsidR="00CE15C8" w:rsidRDefault="00CE15C8" w:rsidP="00B11E09">
      <w:pPr>
        <w:rPr>
          <w:lang w:val="de-DE"/>
        </w:rPr>
      </w:pPr>
    </w:p>
    <w:p w:rsidR="00B11E09" w:rsidRPr="00B11E09" w:rsidRDefault="00B11E09" w:rsidP="00B11E09">
      <w:pPr>
        <w:rPr>
          <w:lang w:val="de-DE"/>
        </w:rPr>
      </w:pPr>
    </w:p>
    <w:p w:rsidR="008D4EE5" w:rsidRPr="009123CB" w:rsidRDefault="008D4EE5" w:rsidP="008D4EE5">
      <w:pPr>
        <w:pStyle w:val="Heading2"/>
        <w:tabs>
          <w:tab w:val="left" w:pos="90"/>
        </w:tabs>
        <w:ind w:left="0" w:right="720"/>
        <w:rPr>
          <w:lang w:val="de-DE"/>
        </w:rPr>
      </w:pPr>
      <w:bookmarkStart w:id="647" w:name="_Toc363998938"/>
      <w:r w:rsidRPr="009123CB">
        <w:rPr>
          <w:rFonts w:ascii="Tahoma" w:hAnsi="Tahoma" w:cs="Tahoma"/>
          <w:lang w:val="de-DE"/>
        </w:rPr>
        <w:t>Software Assurance</w:t>
      </w:r>
      <w:bookmarkEnd w:id="645"/>
      <w:bookmarkEnd w:id="646"/>
      <w:bookmarkEnd w:id="647"/>
    </w:p>
    <w:p w:rsidR="008D4EE5" w:rsidRPr="009123CB" w:rsidRDefault="008D4EE5" w:rsidP="008D4EE5">
      <w:pPr>
        <w:pStyle w:val="AppendixBodyText"/>
        <w:tabs>
          <w:tab w:val="left" w:pos="90"/>
        </w:tabs>
        <w:spacing w:after="0"/>
        <w:ind w:right="720"/>
        <w:rPr>
          <w:lang w:val="de-DE"/>
        </w:rPr>
      </w:pPr>
    </w:p>
    <w:p w:rsidR="008D4EE5" w:rsidRPr="00BF6926" w:rsidRDefault="008D4EE5" w:rsidP="00BF6926">
      <w:pPr>
        <w:pStyle w:val="AppendixIndent"/>
        <w:spacing w:before="0"/>
        <w:ind w:left="0"/>
        <w:rPr>
          <w:rFonts w:ascii="Tahoma" w:hAnsi="Tahoma" w:cs="Tahoma"/>
          <w:sz w:val="18"/>
          <w:szCs w:val="18"/>
          <w:lang w:val="de-DE"/>
        </w:rPr>
      </w:pPr>
      <w:r w:rsidRPr="00BF6926">
        <w:rPr>
          <w:rFonts w:ascii="Tahoma" w:hAnsi="Tahoma" w:cs="Tahoma"/>
          <w:sz w:val="18"/>
          <w:szCs w:val="18"/>
          <w:lang w:val="de-DE"/>
        </w:rPr>
        <w:t>Microsoft Software Assurance ist ein Angebot über Vergünstigungen, die Rechte für neue Versionen, Zugriff auf abgegrenzte Technologien, zusätzliche Nutzungsrechte für die Produkte, für die es erworben wurde, Ratenzahlungen, Beratungsdienste, Schulungen, Support und Zugriff auf exklusive Angebote umfassen können</w:t>
      </w:r>
      <w:r w:rsidR="006257A7">
        <w:rPr>
          <w:rFonts w:ascii="Tahoma" w:hAnsi="Tahoma" w:cs="Tahoma"/>
          <w:sz w:val="18"/>
          <w:szCs w:val="18"/>
          <w:lang w:val="de-DE"/>
        </w:rPr>
        <w:t xml:space="preserve">. </w:t>
      </w:r>
      <w:r w:rsidRPr="00BF6926">
        <w:rPr>
          <w:rFonts w:ascii="Tahoma" w:hAnsi="Tahoma" w:cs="Tahoma"/>
          <w:sz w:val="18"/>
          <w:szCs w:val="18"/>
          <w:lang w:val="de-DE"/>
        </w:rPr>
        <w:t>Informationen zu den einzelnen Vergünstigungen und Richtlinien finden Sie im Abschnitt „Software Assurance (SA)-Vergünstigungen“ dieses Dokuments</w:t>
      </w:r>
      <w:r w:rsidR="006257A7">
        <w:rPr>
          <w:rFonts w:ascii="Tahoma" w:hAnsi="Tahoma" w:cs="Tahoma"/>
          <w:sz w:val="18"/>
          <w:szCs w:val="18"/>
          <w:lang w:val="de-DE"/>
        </w:rPr>
        <w:t xml:space="preserve">. </w:t>
      </w:r>
    </w:p>
    <w:p w:rsidR="008D4EE5" w:rsidRPr="009123CB" w:rsidRDefault="008D4EE5" w:rsidP="008D4EE5">
      <w:pPr>
        <w:pStyle w:val="AppendixIndent"/>
        <w:tabs>
          <w:tab w:val="left" w:pos="90"/>
        </w:tabs>
        <w:spacing w:before="0"/>
        <w:ind w:left="0" w:right="720"/>
        <w:rPr>
          <w:lang w:val="de-DE"/>
        </w:rPr>
      </w:pPr>
    </w:p>
    <w:p w:rsidR="008D4EE5" w:rsidRPr="0062435A" w:rsidRDefault="008D4EE5" w:rsidP="008D4EE5">
      <w:pPr>
        <w:pStyle w:val="AppendixBodyText"/>
        <w:spacing w:after="0"/>
        <w:ind w:right="720"/>
      </w:pPr>
      <w:r w:rsidRPr="009123CB">
        <w:rPr>
          <w:rFonts w:ascii="Tahoma" w:hAnsi="Tahoma" w:cs="Tahoma"/>
          <w:sz w:val="18"/>
          <w:lang w:val="de-DE"/>
        </w:rPr>
        <w:t>Informationen zu den Nutzungsrechten für Vergünstigungen finden Sie in den Produktbenutzungsrechten für Volumenlizenzprogramme</w:t>
      </w:r>
      <w:r w:rsidR="006257A7">
        <w:rPr>
          <w:rFonts w:ascii="Tahoma" w:hAnsi="Tahoma" w:cs="Tahoma"/>
          <w:sz w:val="18"/>
          <w:lang w:val="de-DE"/>
        </w:rPr>
        <w:t xml:space="preserve">. </w:t>
      </w:r>
      <w:r>
        <w:rPr>
          <w:rFonts w:ascii="Tahoma" w:hAnsi="Tahoma" w:cs="Tahoma"/>
          <w:sz w:val="18"/>
        </w:rPr>
        <w:t>Software Assurance ist für die folgenden Programme erhältlich:</w:t>
      </w:r>
    </w:p>
    <w:p w:rsidR="008D4EE5" w:rsidRPr="0062435A" w:rsidRDefault="008D4EE5" w:rsidP="008D4EE5">
      <w:pPr>
        <w:pStyle w:val="AppendixIndent"/>
        <w:tabs>
          <w:tab w:val="left" w:pos="90"/>
        </w:tabs>
        <w:spacing w:before="0"/>
        <w:ind w:left="0" w:right="720"/>
      </w:pPr>
    </w:p>
    <w:p w:rsidR="008D4EE5" w:rsidRPr="0062435A" w:rsidRDefault="008D4EE5" w:rsidP="008D4EE5">
      <w:pPr>
        <w:pStyle w:val="AppendixBulletIndent"/>
        <w:numPr>
          <w:ilvl w:val="0"/>
          <w:numId w:val="64"/>
        </w:numPr>
        <w:tabs>
          <w:tab w:val="left" w:pos="1440"/>
        </w:tabs>
        <w:spacing w:after="60"/>
        <w:ind w:left="1440" w:right="720"/>
      </w:pPr>
      <w:r>
        <w:rPr>
          <w:rFonts w:ascii="Tahoma" w:hAnsi="Tahoma" w:cs="Tahoma"/>
          <w:sz w:val="18"/>
        </w:rPr>
        <w:t xml:space="preserve">Open-Lizenz </w:t>
      </w:r>
    </w:p>
    <w:p w:rsidR="008D4EE5" w:rsidRPr="0062435A" w:rsidRDefault="008D4EE5" w:rsidP="008D4EE5">
      <w:pPr>
        <w:pStyle w:val="AppendixBulletIndent"/>
        <w:numPr>
          <w:ilvl w:val="0"/>
          <w:numId w:val="64"/>
        </w:numPr>
        <w:tabs>
          <w:tab w:val="left" w:pos="1440"/>
        </w:tabs>
        <w:spacing w:after="60"/>
        <w:ind w:left="1440" w:right="720"/>
      </w:pPr>
      <w:r>
        <w:rPr>
          <w:rFonts w:ascii="Tahoma" w:hAnsi="Tahoma" w:cs="Tahoma"/>
          <w:sz w:val="18"/>
        </w:rPr>
        <w:t xml:space="preserve">Open Value </w:t>
      </w:r>
    </w:p>
    <w:p w:rsidR="008D4EE5" w:rsidRPr="0062435A" w:rsidRDefault="008D4EE5" w:rsidP="008D4EE5">
      <w:pPr>
        <w:pStyle w:val="AppendixBulletIndent"/>
        <w:numPr>
          <w:ilvl w:val="0"/>
          <w:numId w:val="64"/>
        </w:numPr>
        <w:tabs>
          <w:tab w:val="left" w:pos="1440"/>
        </w:tabs>
        <w:spacing w:after="60"/>
        <w:ind w:left="1440" w:right="720"/>
      </w:pPr>
      <w:r>
        <w:rPr>
          <w:rFonts w:ascii="Tahoma" w:hAnsi="Tahoma" w:cs="Tahoma"/>
          <w:sz w:val="18"/>
        </w:rPr>
        <w:t xml:space="preserve">Select </w:t>
      </w:r>
    </w:p>
    <w:p w:rsidR="008D4EE5" w:rsidRPr="0062435A" w:rsidRDefault="008D4EE5" w:rsidP="008D4EE5">
      <w:pPr>
        <w:pStyle w:val="AppendixBulletIndent"/>
        <w:numPr>
          <w:ilvl w:val="0"/>
          <w:numId w:val="64"/>
        </w:numPr>
        <w:tabs>
          <w:tab w:val="left" w:pos="1440"/>
        </w:tabs>
        <w:spacing w:after="60"/>
        <w:ind w:left="1440" w:right="720"/>
      </w:pPr>
      <w:r>
        <w:rPr>
          <w:rFonts w:ascii="Tahoma" w:hAnsi="Tahoma" w:cs="Tahoma"/>
          <w:sz w:val="18"/>
        </w:rPr>
        <w:t>Select Plus</w:t>
      </w:r>
    </w:p>
    <w:p w:rsidR="008D4EE5" w:rsidRPr="0062435A" w:rsidRDefault="008D4EE5" w:rsidP="008D4EE5">
      <w:pPr>
        <w:pStyle w:val="AppendixBulletIndent"/>
        <w:numPr>
          <w:ilvl w:val="0"/>
          <w:numId w:val="64"/>
        </w:numPr>
        <w:tabs>
          <w:tab w:val="left" w:pos="1440"/>
        </w:tabs>
        <w:ind w:left="1440" w:right="720"/>
      </w:pPr>
      <w:r>
        <w:rPr>
          <w:rFonts w:ascii="Tahoma" w:hAnsi="Tahoma" w:cs="Tahoma"/>
          <w:sz w:val="18"/>
        </w:rPr>
        <w:t>Konzernvertrag</w:t>
      </w:r>
    </w:p>
    <w:p w:rsidR="008D4EE5" w:rsidRPr="0062435A" w:rsidRDefault="008D4EE5" w:rsidP="008D4EE5">
      <w:pPr>
        <w:pStyle w:val="AppendixIndent"/>
        <w:spacing w:before="0"/>
        <w:ind w:left="0" w:right="720"/>
      </w:pPr>
    </w:p>
    <w:p w:rsidR="008D4EE5" w:rsidRPr="00BF6926" w:rsidRDefault="008D4EE5" w:rsidP="00BF6926">
      <w:pPr>
        <w:pStyle w:val="AppendixIndent"/>
        <w:spacing w:before="0"/>
        <w:ind w:left="0"/>
        <w:rPr>
          <w:rFonts w:ascii="Tahoma" w:hAnsi="Tahoma" w:cs="Tahoma"/>
          <w:sz w:val="18"/>
          <w:szCs w:val="18"/>
          <w:lang w:val="de-DE"/>
        </w:rPr>
      </w:pPr>
      <w:r w:rsidRPr="00BF6926">
        <w:rPr>
          <w:rFonts w:ascii="Tahoma" w:hAnsi="Tahoma" w:cs="Tahoma"/>
          <w:sz w:val="18"/>
          <w:szCs w:val="18"/>
          <w:lang w:val="de-DE"/>
        </w:rPr>
        <w:t>Es gibt drei verschiedene Abnahmestufen, die ein Kunde für Software Assurance auswählen kann</w:t>
      </w:r>
      <w:r w:rsidR="006257A7">
        <w:rPr>
          <w:rFonts w:ascii="Tahoma" w:hAnsi="Tahoma" w:cs="Tahoma"/>
          <w:sz w:val="18"/>
          <w:szCs w:val="18"/>
          <w:lang w:val="de-DE"/>
        </w:rPr>
        <w:t xml:space="preserve">. </w:t>
      </w:r>
      <w:r w:rsidRPr="00BF6926">
        <w:rPr>
          <w:rFonts w:ascii="Tahoma" w:hAnsi="Tahoma" w:cs="Tahoma"/>
          <w:sz w:val="18"/>
          <w:szCs w:val="18"/>
          <w:lang w:val="de-DE"/>
        </w:rPr>
        <w:t>Die verfügbaren Stufen hängen vom Programm ab</w:t>
      </w:r>
      <w:r w:rsidR="006257A7">
        <w:rPr>
          <w:rFonts w:ascii="Tahoma" w:hAnsi="Tahoma" w:cs="Tahoma"/>
          <w:sz w:val="18"/>
          <w:szCs w:val="18"/>
          <w:lang w:val="de-DE"/>
        </w:rPr>
        <w:t xml:space="preserve">. </w:t>
      </w:r>
      <w:r w:rsidRPr="00BF6926">
        <w:rPr>
          <w:rFonts w:ascii="Tahoma" w:hAnsi="Tahoma" w:cs="Tahoma"/>
          <w:sz w:val="18"/>
          <w:szCs w:val="18"/>
          <w:lang w:val="de-DE"/>
        </w:rPr>
        <w:t>Die Software Assurance-Abnahmestufe eines Kunden ist einer von vielen Faktoren, die die Vergünstigungsberechtigung eines Kunden bestimmen</w:t>
      </w:r>
      <w:r w:rsidR="006257A7">
        <w:rPr>
          <w:rFonts w:ascii="Tahoma" w:hAnsi="Tahoma" w:cs="Tahoma"/>
          <w:sz w:val="18"/>
          <w:szCs w:val="18"/>
          <w:lang w:val="de-DE"/>
        </w:rPr>
        <w:t xml:space="preserve">. </w:t>
      </w:r>
      <w:r w:rsidRPr="00BF6926">
        <w:rPr>
          <w:rFonts w:ascii="Tahoma" w:hAnsi="Tahoma" w:cs="Tahoma"/>
          <w:sz w:val="18"/>
          <w:szCs w:val="18"/>
          <w:lang w:val="de-DE"/>
        </w:rPr>
        <w:t>Ein Kunde kann</w:t>
      </w:r>
    </w:p>
    <w:p w:rsidR="008D4EE5" w:rsidRPr="00F83EE5" w:rsidRDefault="008D4EE5" w:rsidP="008D4EE5">
      <w:pPr>
        <w:pStyle w:val="AppendixIndent"/>
        <w:spacing w:before="0"/>
        <w:ind w:left="0" w:right="720"/>
        <w:rPr>
          <w:lang w:val="de-DE"/>
        </w:rPr>
      </w:pPr>
    </w:p>
    <w:p w:rsidR="008D4EE5" w:rsidRPr="00BF6926" w:rsidRDefault="004715B9" w:rsidP="00BF6926">
      <w:pPr>
        <w:pStyle w:val="AppendixIndent"/>
        <w:numPr>
          <w:ilvl w:val="0"/>
          <w:numId w:val="65"/>
        </w:numPr>
        <w:ind w:left="1440"/>
        <w:rPr>
          <w:rFonts w:ascii="Tahoma" w:hAnsi="Tahoma" w:cs="Tahoma"/>
          <w:sz w:val="18"/>
          <w:szCs w:val="18"/>
          <w:lang w:val="de-DE"/>
        </w:rPr>
      </w:pPr>
      <w:r>
        <w:rPr>
          <w:rFonts w:ascii="Tahoma" w:hAnsi="Tahoma" w:cs="Tahoma"/>
          <w:sz w:val="18"/>
          <w:lang w:val="de-DE"/>
        </w:rPr>
        <w:t>S</w:t>
      </w:r>
      <w:r w:rsidR="008D4EE5" w:rsidRPr="009123CB">
        <w:rPr>
          <w:rFonts w:ascii="Tahoma" w:hAnsi="Tahoma" w:cs="Tahoma"/>
          <w:sz w:val="18"/>
          <w:lang w:val="de-DE"/>
        </w:rPr>
        <w:t xml:space="preserve">ich verpflichten, </w:t>
      </w:r>
      <w:r w:rsidR="008D4EE5" w:rsidRPr="00BF6926">
        <w:rPr>
          <w:rFonts w:ascii="Tahoma" w:hAnsi="Tahoma" w:cs="Tahoma"/>
          <w:sz w:val="18"/>
          <w:szCs w:val="18"/>
          <w:lang w:val="de-DE"/>
        </w:rPr>
        <w:t>Software Assurance für alle Plattformprodukte zu erwerben</w:t>
      </w:r>
      <w:r w:rsidR="006257A7">
        <w:rPr>
          <w:rFonts w:ascii="Tahoma" w:hAnsi="Tahoma" w:cs="Tahoma"/>
          <w:sz w:val="18"/>
          <w:szCs w:val="18"/>
          <w:lang w:val="de-DE"/>
        </w:rPr>
        <w:t xml:space="preserve">. </w:t>
      </w:r>
      <w:r w:rsidR="008D4EE5" w:rsidRPr="00BF6926">
        <w:rPr>
          <w:rFonts w:ascii="Tahoma" w:hAnsi="Tahoma" w:cs="Tahoma"/>
          <w:sz w:val="18"/>
          <w:szCs w:val="18"/>
          <w:lang w:val="de-DE"/>
        </w:rPr>
        <w:t>Diese Stufe ist in der</w:t>
      </w:r>
      <w:r w:rsidR="00BF6926">
        <w:rPr>
          <w:rFonts w:ascii="Tahoma" w:hAnsi="Tahoma" w:cs="Tahoma"/>
          <w:sz w:val="18"/>
          <w:szCs w:val="18"/>
          <w:lang w:val="de-DE"/>
        </w:rPr>
        <w:t> </w:t>
      </w:r>
      <w:r w:rsidR="008D4EE5" w:rsidRPr="00BF6926">
        <w:rPr>
          <w:rFonts w:ascii="Tahoma" w:hAnsi="Tahoma" w:cs="Tahoma"/>
          <w:sz w:val="18"/>
          <w:szCs w:val="18"/>
          <w:lang w:val="de-DE"/>
        </w:rPr>
        <w:t>Regel für Konzernvertrag und Open Value verfügbar</w:t>
      </w:r>
      <w:r w:rsidR="006257A7">
        <w:rPr>
          <w:rFonts w:ascii="Tahoma" w:hAnsi="Tahoma" w:cs="Tahoma"/>
          <w:sz w:val="18"/>
          <w:szCs w:val="18"/>
          <w:lang w:val="de-DE"/>
        </w:rPr>
        <w:t xml:space="preserve">. </w:t>
      </w:r>
    </w:p>
    <w:p w:rsidR="008D4EE5" w:rsidRPr="00BF6926" w:rsidRDefault="004715B9" w:rsidP="00BF6926">
      <w:pPr>
        <w:pStyle w:val="AppendixIndent"/>
        <w:numPr>
          <w:ilvl w:val="0"/>
          <w:numId w:val="65"/>
        </w:numPr>
        <w:ind w:left="1440"/>
        <w:rPr>
          <w:rFonts w:ascii="Tahoma" w:hAnsi="Tahoma" w:cs="Tahoma"/>
          <w:sz w:val="18"/>
          <w:szCs w:val="18"/>
          <w:lang w:val="de-DE"/>
        </w:rPr>
      </w:pPr>
      <w:r>
        <w:rPr>
          <w:rFonts w:ascii="Tahoma" w:hAnsi="Tahoma" w:cs="Tahoma"/>
          <w:sz w:val="18"/>
          <w:szCs w:val="18"/>
          <w:lang w:val="de-DE"/>
        </w:rPr>
        <w:t>S</w:t>
      </w:r>
      <w:r w:rsidR="008D4EE5" w:rsidRPr="00BF6926">
        <w:rPr>
          <w:rFonts w:ascii="Tahoma" w:hAnsi="Tahoma" w:cs="Tahoma"/>
          <w:sz w:val="18"/>
          <w:szCs w:val="18"/>
          <w:lang w:val="de-DE"/>
        </w:rPr>
        <w:t>ich verpflichten, Software Assurance für alle Erwerbe unter einem bestimmten Produktpool (Anwendungen, Systeme oder Server) zu erwerben</w:t>
      </w:r>
      <w:r w:rsidR="006257A7">
        <w:rPr>
          <w:rFonts w:ascii="Tahoma" w:hAnsi="Tahoma" w:cs="Tahoma"/>
          <w:sz w:val="18"/>
          <w:szCs w:val="18"/>
          <w:lang w:val="de-DE"/>
        </w:rPr>
        <w:t xml:space="preserve">. </w:t>
      </w:r>
      <w:r w:rsidR="008D4EE5" w:rsidRPr="00BF6926">
        <w:rPr>
          <w:rFonts w:ascii="Tahoma" w:hAnsi="Tahoma" w:cs="Tahoma"/>
          <w:sz w:val="18"/>
          <w:szCs w:val="18"/>
          <w:lang w:val="de-DE"/>
        </w:rPr>
        <w:t>Dies wird als Mitgliedschaft bei Software Assurance (Software Assurance Membership, SAM) bezeichnet</w:t>
      </w:r>
      <w:r w:rsidR="006257A7">
        <w:rPr>
          <w:rFonts w:ascii="Tahoma" w:hAnsi="Tahoma" w:cs="Tahoma"/>
          <w:sz w:val="18"/>
          <w:szCs w:val="18"/>
          <w:lang w:val="de-DE"/>
        </w:rPr>
        <w:t xml:space="preserve">. </w:t>
      </w:r>
      <w:r w:rsidR="008D4EE5" w:rsidRPr="00BF6926">
        <w:rPr>
          <w:rFonts w:ascii="Tahoma" w:hAnsi="Tahoma" w:cs="Tahoma"/>
          <w:sz w:val="18"/>
          <w:szCs w:val="18"/>
          <w:lang w:val="de-DE"/>
        </w:rPr>
        <w:t>Eine unternehmensweite Abnahmeverpflichtung für Software Assurance ist hierfür nicht erforderlich</w:t>
      </w:r>
      <w:r w:rsidR="006257A7">
        <w:rPr>
          <w:rFonts w:ascii="Tahoma" w:hAnsi="Tahoma" w:cs="Tahoma"/>
          <w:sz w:val="18"/>
          <w:szCs w:val="18"/>
          <w:lang w:val="de-DE"/>
        </w:rPr>
        <w:t xml:space="preserve">. </w:t>
      </w:r>
      <w:r w:rsidR="008D4EE5" w:rsidRPr="00BF6926">
        <w:rPr>
          <w:rFonts w:ascii="Tahoma" w:hAnsi="Tahoma" w:cs="Tahoma"/>
          <w:sz w:val="18"/>
          <w:szCs w:val="18"/>
          <w:lang w:val="de-DE"/>
        </w:rPr>
        <w:t>Diese Stufe ist in der</w:t>
      </w:r>
      <w:r w:rsidR="00BF6926">
        <w:rPr>
          <w:rFonts w:ascii="Tahoma" w:hAnsi="Tahoma" w:cs="Tahoma"/>
          <w:sz w:val="18"/>
          <w:szCs w:val="18"/>
          <w:lang w:val="de-DE"/>
        </w:rPr>
        <w:t> </w:t>
      </w:r>
      <w:r w:rsidR="008D4EE5" w:rsidRPr="00BF6926">
        <w:rPr>
          <w:rFonts w:ascii="Tahoma" w:hAnsi="Tahoma" w:cs="Tahoma"/>
          <w:sz w:val="18"/>
          <w:szCs w:val="18"/>
          <w:lang w:val="de-DE"/>
        </w:rPr>
        <w:t>Regel für Select verfügbar</w:t>
      </w:r>
      <w:r w:rsidR="006257A7">
        <w:rPr>
          <w:rFonts w:ascii="Tahoma" w:hAnsi="Tahoma" w:cs="Tahoma"/>
          <w:sz w:val="18"/>
          <w:szCs w:val="18"/>
          <w:lang w:val="de-DE"/>
        </w:rPr>
        <w:t xml:space="preserve">. </w:t>
      </w:r>
    </w:p>
    <w:p w:rsidR="008D4EE5" w:rsidRPr="009123CB" w:rsidRDefault="008D4EE5" w:rsidP="00BF6926">
      <w:pPr>
        <w:pStyle w:val="AppendixIndent"/>
        <w:numPr>
          <w:ilvl w:val="0"/>
          <w:numId w:val="65"/>
        </w:numPr>
        <w:ind w:left="1440"/>
        <w:rPr>
          <w:lang w:val="de-DE"/>
        </w:rPr>
      </w:pPr>
      <w:r w:rsidRPr="00BF6926">
        <w:rPr>
          <w:rFonts w:ascii="Tahoma" w:hAnsi="Tahoma" w:cs="Tahoma"/>
          <w:sz w:val="18"/>
          <w:szCs w:val="18"/>
          <w:lang w:val="de-DE"/>
        </w:rPr>
        <w:t>Software Assurance für einzelne Produkte</w:t>
      </w:r>
      <w:r w:rsidRPr="009123CB">
        <w:rPr>
          <w:rFonts w:ascii="Tahoma" w:hAnsi="Tahoma" w:cs="Tahoma"/>
          <w:sz w:val="18"/>
          <w:lang w:val="de-DE"/>
        </w:rPr>
        <w:t xml:space="preserve"> erwerben, ohne sich zur Ausweitung von Software</w:t>
      </w:r>
      <w:r w:rsidR="00BF6926">
        <w:rPr>
          <w:rFonts w:ascii="Tahoma" w:hAnsi="Tahoma" w:cs="Tahoma"/>
          <w:sz w:val="18"/>
          <w:lang w:val="de-DE"/>
        </w:rPr>
        <w:t> </w:t>
      </w:r>
      <w:r w:rsidRPr="009123CB">
        <w:rPr>
          <w:rFonts w:ascii="Tahoma" w:hAnsi="Tahoma" w:cs="Tahoma"/>
          <w:sz w:val="18"/>
          <w:lang w:val="de-DE"/>
        </w:rPr>
        <w:t>Assurance auf andere Produkte zu verpflichten</w:t>
      </w:r>
      <w:r w:rsidR="006257A7">
        <w:rPr>
          <w:rFonts w:ascii="Tahoma" w:hAnsi="Tahoma" w:cs="Tahoma"/>
          <w:sz w:val="18"/>
          <w:lang w:val="de-DE"/>
        </w:rPr>
        <w:t xml:space="preserve">. </w:t>
      </w:r>
    </w:p>
    <w:p w:rsidR="008D4EE5" w:rsidRPr="009123CB" w:rsidRDefault="008D4EE5" w:rsidP="008D4EE5">
      <w:pPr>
        <w:pStyle w:val="AppendixBodyText"/>
        <w:spacing w:after="0"/>
        <w:ind w:right="720"/>
        <w:rPr>
          <w:lang w:val="de-DE"/>
        </w:rPr>
      </w:pPr>
    </w:p>
    <w:p w:rsidR="008D4EE5" w:rsidRPr="009123CB" w:rsidRDefault="008D4EE5" w:rsidP="00BF6926">
      <w:pPr>
        <w:pStyle w:val="AppendixBodyText"/>
        <w:spacing w:after="0"/>
        <w:ind w:right="90"/>
        <w:rPr>
          <w:lang w:val="de-DE"/>
        </w:rPr>
      </w:pPr>
      <w:r w:rsidRPr="009123CB">
        <w:rPr>
          <w:rFonts w:ascii="Tahoma" w:hAnsi="Tahoma" w:cs="Tahoma"/>
          <w:sz w:val="18"/>
          <w:lang w:val="de-DE"/>
        </w:rPr>
        <w:t>Software Assurance muss zeitgleich mit der Lizenz oder bei Verlängerung einer bestehenden Software Assurance-Laufzeit erworben werden</w:t>
      </w:r>
      <w:r w:rsidR="006257A7">
        <w:rPr>
          <w:rFonts w:ascii="Tahoma" w:hAnsi="Tahoma" w:cs="Tahoma"/>
          <w:sz w:val="18"/>
          <w:lang w:val="de-DE"/>
        </w:rPr>
        <w:t xml:space="preserve">. </w:t>
      </w:r>
      <w:r w:rsidRPr="009123CB">
        <w:rPr>
          <w:rFonts w:ascii="Tahoma" w:hAnsi="Tahoma" w:cs="Tahoma"/>
          <w:sz w:val="18"/>
          <w:lang w:val="de-DE"/>
        </w:rPr>
        <w:t>Andernfalls muss der Kunde eine neue Lizenz oder Lizenz und Software Assurance erwerben, um die Lizenz zu einem späteren Datum upzugraden (für das Windows Desktop-Betriebssystem ist die Option Upgrade und Software Assurance verfügbar)</w:t>
      </w:r>
      <w:r w:rsidR="006257A7">
        <w:rPr>
          <w:rFonts w:ascii="Tahoma" w:hAnsi="Tahoma" w:cs="Tahoma"/>
          <w:sz w:val="18"/>
          <w:lang w:val="de-DE"/>
        </w:rPr>
        <w:t xml:space="preserve">. </w:t>
      </w:r>
      <w:r w:rsidRPr="009123CB">
        <w:rPr>
          <w:rFonts w:ascii="Tahoma" w:hAnsi="Tahoma" w:cs="Tahoma"/>
          <w:sz w:val="18"/>
          <w:lang w:val="de-DE"/>
        </w:rPr>
        <w:t>Die Berechtigungsvorschriften für den Erwerb von Software Assurance finden Sie im Abschnitt zu den Verlängerungsvorschriften und im jeweiligen Programmvertrag</w:t>
      </w:r>
      <w:r w:rsidR="006257A7">
        <w:rPr>
          <w:rFonts w:ascii="Tahoma" w:hAnsi="Tahoma" w:cs="Tahoma"/>
          <w:sz w:val="18"/>
          <w:lang w:val="de-DE"/>
        </w:rPr>
        <w:t xml:space="preserve">. </w:t>
      </w:r>
    </w:p>
    <w:p w:rsidR="008D4EE5" w:rsidRPr="009123CB" w:rsidRDefault="008D4EE5" w:rsidP="008D4EE5">
      <w:pPr>
        <w:pStyle w:val="AppendixBodyText"/>
        <w:spacing w:after="0"/>
        <w:ind w:right="720"/>
        <w:rPr>
          <w:lang w:val="de-DE"/>
        </w:rPr>
      </w:pPr>
    </w:p>
    <w:p w:rsidR="008D4EE5" w:rsidRPr="009123CB" w:rsidRDefault="008D4EE5" w:rsidP="00BF6926">
      <w:pPr>
        <w:pStyle w:val="AppendixBodyText"/>
        <w:spacing w:after="0"/>
        <w:ind w:right="90"/>
        <w:rPr>
          <w:lang w:val="de-DE"/>
        </w:rPr>
      </w:pPr>
      <w:r w:rsidRPr="009123CB">
        <w:rPr>
          <w:rFonts w:ascii="Tahoma" w:hAnsi="Tahoma" w:cs="Tahoma"/>
          <w:sz w:val="18"/>
          <w:lang w:val="de-DE"/>
        </w:rPr>
        <w:t>Bei einer Übertragung von zeitlich unbeschränkten Lizenzen ist der Übertragungsempfänger berechtigt, innerhalb von 30 Tagen ab dem Übertragungsdatum Software Assurance für diese übertragenen Lizenzen zu erwerben, sofern die übertragenen Lizenzen zum Zeitpunkt der Übertragung über aktive Software Assurance verfügten</w:t>
      </w:r>
      <w:r w:rsidR="006257A7">
        <w:rPr>
          <w:rFonts w:ascii="Tahoma" w:hAnsi="Tahoma" w:cs="Tahoma"/>
          <w:sz w:val="18"/>
          <w:lang w:val="de-DE"/>
        </w:rPr>
        <w:t xml:space="preserve">. </w:t>
      </w:r>
    </w:p>
    <w:p w:rsidR="008D4EE5" w:rsidRPr="009123CB" w:rsidRDefault="008D4EE5" w:rsidP="008D4EE5">
      <w:pPr>
        <w:pStyle w:val="AppendixBodyText"/>
        <w:spacing w:after="0"/>
        <w:ind w:right="720"/>
        <w:rPr>
          <w:lang w:val="de-DE"/>
        </w:rPr>
      </w:pPr>
    </w:p>
    <w:p w:rsidR="008D4EE5" w:rsidRPr="009123CB" w:rsidRDefault="008D4EE5" w:rsidP="004715B9">
      <w:pPr>
        <w:pStyle w:val="AppendixBodyText"/>
        <w:spacing w:after="0"/>
        <w:ind w:right="90"/>
        <w:rPr>
          <w:lang w:val="de-DE"/>
        </w:rPr>
      </w:pPr>
      <w:r w:rsidRPr="009123CB">
        <w:rPr>
          <w:rFonts w:ascii="Tahoma" w:hAnsi="Tahoma" w:cs="Tahoma"/>
          <w:sz w:val="18"/>
          <w:lang w:val="de-DE"/>
        </w:rPr>
        <w:t>Kunden haben möglicherweise die Option, Software Assurance für bestimmte Lizenzen zu erwerben, die über den Einzelhandel (Full Packaged Product) oder von einem Original Equipment Manufacturer (OEM) erworben wurden</w:t>
      </w:r>
      <w:r w:rsidR="006257A7">
        <w:rPr>
          <w:rFonts w:ascii="Tahoma" w:hAnsi="Tahoma" w:cs="Tahoma"/>
          <w:sz w:val="18"/>
          <w:lang w:val="de-DE"/>
        </w:rPr>
        <w:t xml:space="preserve">. </w:t>
      </w:r>
      <w:r w:rsidRPr="009123CB">
        <w:rPr>
          <w:rFonts w:ascii="Tahoma" w:hAnsi="Tahoma" w:cs="Tahoma"/>
          <w:sz w:val="18"/>
          <w:lang w:val="de-DE"/>
        </w:rPr>
        <w:t>Die Berechtigung hängt vom Programm, vom Produktpool und der Lizenzherkunft ab (siehe unten)</w:t>
      </w:r>
      <w:r w:rsidR="006257A7">
        <w:rPr>
          <w:rFonts w:ascii="Tahoma" w:hAnsi="Tahoma" w:cs="Tahoma"/>
          <w:sz w:val="18"/>
          <w:lang w:val="de-DE"/>
        </w:rPr>
        <w:t xml:space="preserve">. </w:t>
      </w:r>
      <w:r w:rsidRPr="009123CB">
        <w:rPr>
          <w:rFonts w:ascii="Tahoma" w:hAnsi="Tahoma" w:cs="Tahoma"/>
          <w:sz w:val="18"/>
          <w:lang w:val="de-DE"/>
        </w:rPr>
        <w:t>Sofern nichts anderes angegeben ist, sind in jedem Fall nur Lizenzen für die neueste Version eines Produktes berechtigt, und Software Assurance muss innerhalb von 90 Tagen ab dem Datum, an dem die Lizenzen erworben wurden, erworben werden</w:t>
      </w:r>
      <w:r w:rsidR="006257A7">
        <w:rPr>
          <w:rFonts w:ascii="Tahoma" w:hAnsi="Tahoma" w:cs="Tahoma"/>
          <w:sz w:val="18"/>
          <w:lang w:val="de-DE"/>
        </w:rPr>
        <w:t xml:space="preserve">. </w:t>
      </w:r>
      <w:r w:rsidRPr="009123CB">
        <w:rPr>
          <w:rFonts w:ascii="Tahoma" w:hAnsi="Tahoma" w:cs="Tahoma"/>
          <w:sz w:val="18"/>
          <w:lang w:val="de-DE"/>
        </w:rPr>
        <w:t>Unter dem Open Value-Programm gilt diese Option nur für nicht organisationsweite/unternehmensweite Produkte</w:t>
      </w:r>
      <w:r w:rsidR="006257A7">
        <w:rPr>
          <w:rFonts w:ascii="Tahoma" w:hAnsi="Tahoma" w:cs="Tahoma"/>
          <w:sz w:val="18"/>
          <w:lang w:val="de-DE"/>
        </w:rPr>
        <w:t xml:space="preserve">. </w:t>
      </w:r>
      <w:r w:rsidRPr="009123CB">
        <w:rPr>
          <w:rFonts w:ascii="Tahoma" w:hAnsi="Tahoma" w:cs="Tahoma"/>
          <w:sz w:val="18"/>
          <w:lang w:val="de-DE"/>
        </w:rPr>
        <w:t>Unter Konzernverträgen gilt sie nur für Zusätzliche Produkte innerhalb von 90 Tagen</w:t>
      </w:r>
      <w:r w:rsidR="006257A7">
        <w:rPr>
          <w:rFonts w:ascii="Tahoma" w:hAnsi="Tahoma" w:cs="Tahoma"/>
          <w:sz w:val="18"/>
          <w:lang w:val="de-DE"/>
        </w:rPr>
        <w:t xml:space="preserve">. </w:t>
      </w:r>
      <w:r w:rsidRPr="009123CB">
        <w:rPr>
          <w:rFonts w:ascii="Tahoma" w:hAnsi="Tahoma" w:cs="Tahoma"/>
          <w:sz w:val="18"/>
          <w:lang w:val="de-DE"/>
        </w:rPr>
        <w:t>Kunden, die Software Assurance für OEM- oder Einzelhandelslizenzen erwerben, haben die Möglichkeit, die Volumenlizenzsoftware für die aktuelle Version jederzeit zu installieren und zu verwenden</w:t>
      </w:r>
      <w:r w:rsidR="006257A7">
        <w:rPr>
          <w:rFonts w:ascii="Tahoma" w:hAnsi="Tahoma" w:cs="Tahoma"/>
          <w:sz w:val="18"/>
          <w:lang w:val="de-DE"/>
        </w:rPr>
        <w:t xml:space="preserve">. </w:t>
      </w:r>
      <w:r w:rsidRPr="009123CB">
        <w:rPr>
          <w:rFonts w:ascii="Tahoma" w:hAnsi="Tahoma" w:cs="Tahoma"/>
          <w:sz w:val="18"/>
          <w:lang w:val="de-DE"/>
        </w:rPr>
        <w:t>In diesem Fall unterliegt</w:t>
      </w:r>
      <w:r w:rsidR="004715B9">
        <w:rPr>
          <w:rFonts w:ascii="Tahoma" w:hAnsi="Tahoma" w:cs="Tahoma"/>
          <w:sz w:val="18"/>
          <w:lang w:val="de-DE"/>
        </w:rPr>
        <w:t> </w:t>
      </w:r>
      <w:r w:rsidRPr="009123CB">
        <w:rPr>
          <w:rFonts w:ascii="Tahoma" w:hAnsi="Tahoma" w:cs="Tahoma"/>
          <w:sz w:val="18"/>
          <w:lang w:val="de-DE"/>
        </w:rPr>
        <w:t>ihre Nutzung der Software den Produktbenutzungsrechten für dieses Produkt und den Bestimmungen des</w:t>
      </w:r>
      <w:r w:rsidR="004715B9">
        <w:rPr>
          <w:rFonts w:ascii="Tahoma" w:hAnsi="Tahoma" w:cs="Tahoma"/>
          <w:sz w:val="18"/>
          <w:lang w:val="de-DE"/>
        </w:rPr>
        <w:t> </w:t>
      </w:r>
      <w:r w:rsidRPr="009123CB">
        <w:rPr>
          <w:rFonts w:ascii="Tahoma" w:hAnsi="Tahoma" w:cs="Tahoma"/>
          <w:sz w:val="18"/>
          <w:lang w:val="de-DE"/>
        </w:rPr>
        <w:t>Volumenlizenzvertrages des Kunden</w:t>
      </w:r>
      <w:r w:rsidR="006257A7">
        <w:rPr>
          <w:rFonts w:ascii="Tahoma" w:hAnsi="Tahoma" w:cs="Tahoma"/>
          <w:sz w:val="18"/>
          <w:lang w:val="de-DE"/>
        </w:rPr>
        <w:t xml:space="preserve">. </w:t>
      </w:r>
    </w:p>
    <w:p w:rsidR="008D4EE5" w:rsidRDefault="008D4EE5" w:rsidP="008D4EE5">
      <w:pPr>
        <w:pStyle w:val="AppendixIndent"/>
        <w:spacing w:before="0"/>
        <w:ind w:left="0" w:right="720"/>
        <w:rPr>
          <w:lang w:val="de-DE"/>
        </w:rPr>
      </w:pPr>
    </w:p>
    <w:p w:rsidR="00BF6926" w:rsidRDefault="00BF6926" w:rsidP="008D4EE5">
      <w:pPr>
        <w:pStyle w:val="AppendixIndent"/>
        <w:spacing w:before="0"/>
        <w:ind w:left="0" w:right="720"/>
        <w:rPr>
          <w:lang w:val="de-DE"/>
        </w:rPr>
      </w:pPr>
    </w:p>
    <w:p w:rsidR="00BF6926" w:rsidRDefault="00BF6926" w:rsidP="008D4EE5">
      <w:pPr>
        <w:pStyle w:val="AppendixIndent"/>
        <w:spacing w:before="0"/>
        <w:ind w:left="0" w:right="720"/>
        <w:rPr>
          <w:lang w:val="de-DE"/>
        </w:rPr>
      </w:pPr>
    </w:p>
    <w:p w:rsidR="00BF6926" w:rsidRPr="009123CB" w:rsidRDefault="00BF6926" w:rsidP="008D4EE5">
      <w:pPr>
        <w:pStyle w:val="AppendixIndent"/>
        <w:spacing w:before="0"/>
        <w:ind w:left="0" w:right="720"/>
        <w:rPr>
          <w:lang w:val="de-DE"/>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800"/>
        <w:gridCol w:w="2234"/>
        <w:gridCol w:w="2971"/>
      </w:tblGrid>
      <w:tr w:rsidR="008D4EE5" w:rsidRPr="00F84FA6" w:rsidTr="00BF6926">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8D4EE5" w:rsidRPr="009123CB" w:rsidRDefault="008D4EE5" w:rsidP="00A67771">
            <w:pPr>
              <w:pStyle w:val="AppendixTableHeadings"/>
              <w:rPr>
                <w:rFonts w:ascii="Tahoma" w:hAnsi="Tahoma" w:cs="Tahoma"/>
                <w:sz w:val="20"/>
                <w:szCs w:val="20"/>
                <w:lang w:val="de-DE"/>
              </w:rPr>
            </w:pPr>
          </w:p>
        </w:tc>
        <w:tc>
          <w:tcPr>
            <w:tcW w:w="180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8D4EE5" w:rsidRPr="00456002" w:rsidRDefault="008D4EE5" w:rsidP="00A67771">
            <w:pPr>
              <w:pStyle w:val="AppendixTableHeadings"/>
              <w:rPr>
                <w:rFonts w:ascii="Tahoma" w:hAnsi="Tahoma" w:cs="Tahoma"/>
                <w:sz w:val="20"/>
              </w:rPr>
            </w:pPr>
            <w:r>
              <w:rPr>
                <w:rFonts w:ascii="Tahoma" w:hAnsi="Tahoma" w:cs="Tahoma"/>
                <w:sz w:val="20"/>
              </w:rPr>
              <w:t>Full Packaged Products</w:t>
            </w:r>
          </w:p>
        </w:tc>
        <w:tc>
          <w:tcPr>
            <w:tcW w:w="2234"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8D4EE5" w:rsidRPr="00456002" w:rsidRDefault="008D4EE5" w:rsidP="00A67771">
            <w:pPr>
              <w:pStyle w:val="AppendixTableHeadings"/>
              <w:rPr>
                <w:rFonts w:ascii="Tahoma" w:hAnsi="Tahoma" w:cs="Tahoma"/>
                <w:sz w:val="20"/>
              </w:rPr>
            </w:pPr>
            <w:r>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8D4EE5" w:rsidRPr="00456002" w:rsidRDefault="008D4EE5" w:rsidP="00A67771">
            <w:pPr>
              <w:pStyle w:val="AppendixTableHeadings"/>
              <w:rPr>
                <w:rFonts w:ascii="Tahoma" w:hAnsi="Tahoma" w:cs="Tahoma"/>
                <w:sz w:val="20"/>
              </w:rPr>
            </w:pPr>
            <w:r>
              <w:rPr>
                <w:rFonts w:ascii="Tahoma" w:hAnsi="Tahoma" w:cs="Tahoma"/>
                <w:sz w:val="20"/>
              </w:rPr>
              <w:t>Programme</w:t>
            </w:r>
          </w:p>
        </w:tc>
      </w:tr>
      <w:tr w:rsidR="008D4EE5" w:rsidRPr="006257A7" w:rsidTr="00BF6926">
        <w:tc>
          <w:tcPr>
            <w:tcW w:w="1710" w:type="dxa"/>
            <w:tcBorders>
              <w:top w:val="single" w:sz="4" w:space="0" w:color="auto"/>
              <w:left w:val="single" w:sz="4" w:space="0" w:color="auto"/>
              <w:bottom w:val="single" w:sz="4" w:space="0" w:color="auto"/>
              <w:right w:val="single" w:sz="4" w:space="0" w:color="auto"/>
            </w:tcBorders>
            <w:vAlign w:val="center"/>
            <w:hideMark/>
          </w:tcPr>
          <w:p w:rsidR="008D4EE5" w:rsidRPr="00456002" w:rsidRDefault="008D4EE5" w:rsidP="00A67771">
            <w:pPr>
              <w:pStyle w:val="AppendixTableText"/>
              <w:rPr>
                <w:rFonts w:ascii="Tahoma" w:hAnsi="Tahoma" w:cs="Tahoma"/>
                <w:b/>
                <w:color w:val="000000"/>
                <w:sz w:val="20"/>
                <w:szCs w:val="20"/>
              </w:rPr>
            </w:pPr>
            <w:r>
              <w:rPr>
                <w:rFonts w:ascii="Tahoma" w:hAnsi="Tahoma" w:cs="Tahoma"/>
                <w:b/>
                <w:color w:val="000000"/>
                <w:sz w:val="20"/>
                <w:szCs w:val="20"/>
              </w:rPr>
              <w:t xml:space="preserve">Anwendungs-Pool </w:t>
            </w:r>
          </w:p>
        </w:tc>
        <w:tc>
          <w:tcPr>
            <w:tcW w:w="1800" w:type="dxa"/>
            <w:tcBorders>
              <w:top w:val="single" w:sz="4" w:space="0" w:color="auto"/>
              <w:left w:val="single" w:sz="4" w:space="0" w:color="auto"/>
              <w:bottom w:val="single" w:sz="4" w:space="0" w:color="auto"/>
              <w:right w:val="single" w:sz="4" w:space="0" w:color="auto"/>
            </w:tcBorders>
            <w:vAlign w:val="center"/>
            <w:hideMark/>
          </w:tcPr>
          <w:p w:rsidR="008D4EE5" w:rsidRDefault="008D4EE5" w:rsidP="00A67771">
            <w:pPr>
              <w:pStyle w:val="AppendixTableText"/>
              <w:rPr>
                <w:rFonts w:ascii="Tahoma" w:hAnsi="Tahoma" w:cs="Tahoma"/>
                <w:color w:val="000000"/>
              </w:rPr>
            </w:pPr>
            <w:r>
              <w:rPr>
                <w:rFonts w:ascii="Tahoma" w:hAnsi="Tahoma" w:cs="Tahoma"/>
                <w:color w:val="000000"/>
              </w:rPr>
              <w:t>-</w:t>
            </w:r>
          </w:p>
        </w:tc>
        <w:tc>
          <w:tcPr>
            <w:tcW w:w="2234" w:type="dxa"/>
            <w:tcBorders>
              <w:top w:val="single" w:sz="4" w:space="0" w:color="auto"/>
              <w:left w:val="single" w:sz="4" w:space="0" w:color="auto"/>
              <w:bottom w:val="single" w:sz="4" w:space="0" w:color="auto"/>
              <w:right w:val="single" w:sz="4" w:space="0" w:color="auto"/>
            </w:tcBorders>
            <w:vAlign w:val="center"/>
            <w:hideMark/>
          </w:tcPr>
          <w:p w:rsidR="008D4EE5" w:rsidRPr="009123CB" w:rsidRDefault="008D4EE5" w:rsidP="00A67771">
            <w:pPr>
              <w:pStyle w:val="AppendixTableText"/>
              <w:rPr>
                <w:rFonts w:ascii="Tahoma" w:hAnsi="Tahoma" w:cs="Tahoma"/>
                <w:color w:val="000000"/>
                <w:lang w:val="de-DE"/>
              </w:rPr>
            </w:pPr>
            <w:r w:rsidRPr="009123CB">
              <w:rPr>
                <w:rFonts w:ascii="Tahoma" w:hAnsi="Tahoma" w:cs="Tahoma"/>
                <w:color w:val="000000"/>
                <w:lang w:val="de-DE"/>
              </w:rPr>
              <w:t>SA nur wie nachstehend aufgeführt verfügbar</w:t>
            </w:r>
          </w:p>
        </w:tc>
        <w:tc>
          <w:tcPr>
            <w:tcW w:w="2971" w:type="dxa"/>
            <w:vMerge w:val="restart"/>
            <w:tcBorders>
              <w:top w:val="single" w:sz="4" w:space="0" w:color="auto"/>
              <w:left w:val="single" w:sz="4" w:space="0" w:color="auto"/>
              <w:bottom w:val="single" w:sz="4" w:space="0" w:color="auto"/>
              <w:right w:val="single" w:sz="4" w:space="0" w:color="auto"/>
            </w:tcBorders>
            <w:hideMark/>
          </w:tcPr>
          <w:p w:rsidR="008D4EE5" w:rsidRPr="00BF6926" w:rsidRDefault="008D4EE5" w:rsidP="00BF6926">
            <w:pPr>
              <w:pStyle w:val="AppendixTableText"/>
              <w:jc w:val="left"/>
              <w:rPr>
                <w:rFonts w:ascii="Tahoma" w:hAnsi="Tahoma" w:cs="Tahoma"/>
                <w:color w:val="000000"/>
                <w:lang w:val="de-DE"/>
              </w:rPr>
            </w:pPr>
            <w:r w:rsidRPr="009123CB">
              <w:rPr>
                <w:rFonts w:ascii="Tahoma" w:hAnsi="Tahoma" w:cs="Tahoma"/>
                <w:color w:val="000000"/>
                <w:lang w:val="de-DE"/>
              </w:rPr>
              <w:t>Gilt für Open-Lizenz, Select, Select</w:t>
            </w:r>
            <w:r w:rsidR="00BF6926">
              <w:rPr>
                <w:rFonts w:ascii="Tahoma" w:hAnsi="Tahoma" w:cs="Tahoma"/>
                <w:color w:val="000000"/>
                <w:lang w:val="de-DE"/>
              </w:rPr>
              <w:t> </w:t>
            </w:r>
            <w:r w:rsidRPr="009123CB">
              <w:rPr>
                <w:rFonts w:ascii="Tahoma" w:hAnsi="Tahoma" w:cs="Tahoma"/>
                <w:color w:val="000000"/>
                <w:lang w:val="de-DE"/>
              </w:rPr>
              <w:t xml:space="preserve">Plus und die nicht </w:t>
            </w:r>
            <w:r w:rsidRPr="009123CB">
              <w:rPr>
                <w:rFonts w:ascii="Tahoma" w:hAnsi="Tahoma" w:cs="Tahoma"/>
                <w:lang w:val="de-DE"/>
              </w:rPr>
              <w:t>Organisationsweite/Unternehmensweite</w:t>
            </w:r>
            <w:r w:rsidRPr="009123CB">
              <w:rPr>
                <w:rFonts w:ascii="Tahoma" w:hAnsi="Tahoma" w:cs="Tahoma"/>
                <w:color w:val="000000"/>
                <w:lang w:val="de-DE"/>
              </w:rPr>
              <w:t xml:space="preserve"> Option unter Open Value-Verträgen sowie Zusätzliche Produkte unter Konzernverträgen</w:t>
            </w:r>
            <w:r w:rsidR="006257A7">
              <w:rPr>
                <w:rFonts w:ascii="Tahoma" w:hAnsi="Tahoma" w:cs="Tahoma"/>
                <w:color w:val="000000"/>
                <w:lang w:val="de-DE"/>
              </w:rPr>
              <w:t xml:space="preserve">. </w:t>
            </w:r>
            <w:r w:rsidRPr="00BF6926">
              <w:rPr>
                <w:rFonts w:ascii="Tahoma" w:hAnsi="Tahoma" w:cs="Tahoma"/>
                <w:color w:val="000000"/>
                <w:lang w:val="de-DE"/>
              </w:rPr>
              <w:t>Gilt nicht für Konzernprodukte unter Open Value- und Konzernverträgen</w:t>
            </w:r>
          </w:p>
        </w:tc>
      </w:tr>
      <w:tr w:rsidR="008D4EE5" w:rsidTr="00BF6926">
        <w:tc>
          <w:tcPr>
            <w:tcW w:w="1710" w:type="dxa"/>
            <w:tcBorders>
              <w:top w:val="single" w:sz="4" w:space="0" w:color="auto"/>
              <w:left w:val="single" w:sz="4" w:space="0" w:color="auto"/>
              <w:bottom w:val="single" w:sz="4" w:space="0" w:color="auto"/>
              <w:right w:val="single" w:sz="4" w:space="0" w:color="auto"/>
            </w:tcBorders>
            <w:vAlign w:val="center"/>
            <w:hideMark/>
          </w:tcPr>
          <w:p w:rsidR="008D4EE5" w:rsidRPr="00456002" w:rsidRDefault="008D4EE5" w:rsidP="00A67771">
            <w:pPr>
              <w:pStyle w:val="AppendixTableText"/>
              <w:rPr>
                <w:rFonts w:ascii="Tahoma" w:hAnsi="Tahoma" w:cs="Tahoma"/>
                <w:b/>
                <w:color w:val="000000"/>
                <w:sz w:val="20"/>
                <w:szCs w:val="20"/>
              </w:rPr>
            </w:pPr>
            <w:r>
              <w:rPr>
                <w:rFonts w:ascii="Tahoma" w:hAnsi="Tahoma" w:cs="Tahoma"/>
                <w:b/>
                <w:color w:val="000000"/>
                <w:sz w:val="20"/>
                <w:szCs w:val="20"/>
              </w:rPr>
              <w:t xml:space="preserve">System-Pool </w:t>
            </w:r>
          </w:p>
        </w:tc>
        <w:tc>
          <w:tcPr>
            <w:tcW w:w="1800" w:type="dxa"/>
            <w:tcBorders>
              <w:top w:val="single" w:sz="4" w:space="0" w:color="auto"/>
              <w:left w:val="single" w:sz="4" w:space="0" w:color="auto"/>
              <w:bottom w:val="single" w:sz="4" w:space="0" w:color="auto"/>
              <w:right w:val="single" w:sz="4" w:space="0" w:color="auto"/>
            </w:tcBorders>
            <w:vAlign w:val="center"/>
            <w:hideMark/>
          </w:tcPr>
          <w:p w:rsidR="008D4EE5" w:rsidRDefault="008D4EE5" w:rsidP="00A67771">
            <w:pPr>
              <w:pStyle w:val="AppendixTableText"/>
              <w:rPr>
                <w:rFonts w:ascii="Tahoma" w:hAnsi="Tahoma" w:cs="Tahoma"/>
                <w:color w:val="000000"/>
              </w:rPr>
            </w:pPr>
            <w:r>
              <w:rPr>
                <w:rFonts w:ascii="Tahoma" w:hAnsi="Tahoma" w:cs="Tahoma"/>
                <w:color w:val="000000"/>
              </w:rPr>
              <w:t xml:space="preserve">SA verfügbar </w:t>
            </w:r>
          </w:p>
        </w:tc>
        <w:tc>
          <w:tcPr>
            <w:tcW w:w="2234" w:type="dxa"/>
            <w:tcBorders>
              <w:top w:val="single" w:sz="4" w:space="0" w:color="auto"/>
              <w:left w:val="single" w:sz="4" w:space="0" w:color="auto"/>
              <w:bottom w:val="single" w:sz="4" w:space="0" w:color="auto"/>
              <w:right w:val="single" w:sz="4" w:space="0" w:color="auto"/>
            </w:tcBorders>
            <w:vAlign w:val="center"/>
            <w:hideMark/>
          </w:tcPr>
          <w:p w:rsidR="008D4EE5" w:rsidRDefault="008D4EE5" w:rsidP="00A67771">
            <w:pPr>
              <w:pStyle w:val="AppendixTableText"/>
              <w:rPr>
                <w:rFonts w:ascii="Tahoma" w:hAnsi="Tahoma" w:cs="Tahoma"/>
                <w:color w:val="000000"/>
              </w:rPr>
            </w:pPr>
            <w:r>
              <w:rPr>
                <w:rFonts w:ascii="Tahoma" w:hAnsi="Tahoma" w:cs="Tahoma"/>
                <w:color w:val="000000"/>
              </w:rPr>
              <w:t xml:space="preserve">SA verfügbar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8D4EE5" w:rsidRDefault="008D4EE5" w:rsidP="00A67771">
            <w:pPr>
              <w:rPr>
                <w:rFonts w:cs="Tahoma"/>
                <w:color w:val="000000"/>
                <w:szCs w:val="18"/>
              </w:rPr>
            </w:pPr>
          </w:p>
        </w:tc>
      </w:tr>
      <w:tr w:rsidR="008D4EE5" w:rsidTr="00BF6926">
        <w:tc>
          <w:tcPr>
            <w:tcW w:w="1710" w:type="dxa"/>
            <w:tcBorders>
              <w:top w:val="single" w:sz="4" w:space="0" w:color="auto"/>
              <w:left w:val="single" w:sz="4" w:space="0" w:color="auto"/>
              <w:bottom w:val="single" w:sz="4" w:space="0" w:color="auto"/>
              <w:right w:val="single" w:sz="4" w:space="0" w:color="auto"/>
            </w:tcBorders>
            <w:vAlign w:val="center"/>
            <w:hideMark/>
          </w:tcPr>
          <w:p w:rsidR="008D4EE5" w:rsidRPr="00456002" w:rsidRDefault="008D4EE5" w:rsidP="00A67771">
            <w:pPr>
              <w:pStyle w:val="AppendixTableText"/>
              <w:rPr>
                <w:rFonts w:ascii="Tahoma" w:hAnsi="Tahoma" w:cs="Tahoma"/>
                <w:b/>
                <w:color w:val="000000"/>
                <w:sz w:val="20"/>
                <w:szCs w:val="20"/>
              </w:rPr>
            </w:pPr>
            <w:r>
              <w:rPr>
                <w:rFonts w:ascii="Tahoma" w:hAnsi="Tahoma" w:cs="Tahoma"/>
                <w:b/>
                <w:color w:val="000000"/>
                <w:sz w:val="20"/>
                <w:szCs w:val="20"/>
              </w:rPr>
              <w:t>Server-Pool</w:t>
            </w:r>
          </w:p>
        </w:tc>
        <w:tc>
          <w:tcPr>
            <w:tcW w:w="1800" w:type="dxa"/>
            <w:tcBorders>
              <w:top w:val="single" w:sz="4" w:space="0" w:color="auto"/>
              <w:left w:val="single" w:sz="4" w:space="0" w:color="auto"/>
              <w:bottom w:val="single" w:sz="4" w:space="0" w:color="auto"/>
              <w:right w:val="single" w:sz="4" w:space="0" w:color="auto"/>
            </w:tcBorders>
            <w:vAlign w:val="center"/>
            <w:hideMark/>
          </w:tcPr>
          <w:p w:rsidR="008D4EE5" w:rsidRDefault="008D4EE5" w:rsidP="00A67771">
            <w:pPr>
              <w:pStyle w:val="AppendixTableText"/>
              <w:rPr>
                <w:rFonts w:ascii="Tahoma" w:hAnsi="Tahoma" w:cs="Tahoma"/>
                <w:color w:val="000000"/>
              </w:rPr>
            </w:pPr>
            <w:r>
              <w:rPr>
                <w:rFonts w:ascii="Tahoma" w:hAnsi="Tahoma" w:cs="Tahoma"/>
                <w:color w:val="000000"/>
              </w:rPr>
              <w:t xml:space="preserve">SA verfügbar </w:t>
            </w:r>
          </w:p>
        </w:tc>
        <w:tc>
          <w:tcPr>
            <w:tcW w:w="2234" w:type="dxa"/>
            <w:tcBorders>
              <w:top w:val="single" w:sz="4" w:space="0" w:color="auto"/>
              <w:left w:val="single" w:sz="4" w:space="0" w:color="auto"/>
              <w:bottom w:val="single" w:sz="4" w:space="0" w:color="auto"/>
              <w:right w:val="single" w:sz="4" w:space="0" w:color="auto"/>
            </w:tcBorders>
            <w:vAlign w:val="center"/>
            <w:hideMark/>
          </w:tcPr>
          <w:p w:rsidR="008D4EE5" w:rsidRDefault="008D4EE5" w:rsidP="00A67771">
            <w:pPr>
              <w:pStyle w:val="AppendixTableText"/>
              <w:rPr>
                <w:rFonts w:ascii="Tahoma" w:hAnsi="Tahoma" w:cs="Tahoma"/>
                <w:color w:val="000000"/>
              </w:rPr>
            </w:pPr>
            <w:r>
              <w:rPr>
                <w:rFonts w:ascii="Tahoma" w:hAnsi="Tahoma" w:cs="Tahoma"/>
                <w:color w:val="000000"/>
              </w:rPr>
              <w:t>SA verfügbar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8D4EE5" w:rsidRDefault="008D4EE5" w:rsidP="00A67771">
            <w:pPr>
              <w:rPr>
                <w:rFonts w:cs="Tahoma"/>
                <w:color w:val="000000"/>
                <w:szCs w:val="18"/>
              </w:rPr>
            </w:pPr>
          </w:p>
        </w:tc>
      </w:tr>
    </w:tbl>
    <w:p w:rsidR="008D4EE5" w:rsidRPr="0062435A" w:rsidRDefault="008D4EE5" w:rsidP="008D4EE5">
      <w:pPr>
        <w:ind w:right="720"/>
      </w:pPr>
    </w:p>
    <w:p w:rsidR="008D4EE5" w:rsidRPr="006257A7" w:rsidRDefault="008D4EE5" w:rsidP="00BF6926">
      <w:pPr>
        <w:pStyle w:val="AppendixBodyText"/>
        <w:spacing w:after="0"/>
        <w:ind w:right="90"/>
        <w:rPr>
          <w:lang w:val="de-DE"/>
        </w:rPr>
      </w:pPr>
      <w:r w:rsidRPr="006257A7">
        <w:rPr>
          <w:rFonts w:ascii="Tahoma" w:hAnsi="Tahoma" w:cs="Tahoma"/>
          <w:sz w:val="18"/>
          <w:szCs w:val="18"/>
          <w:lang w:val="de-DE"/>
        </w:rPr>
        <w:t>Kunden, die Microsoft Office Professional 2010 von einem OEM erwerben, können Software Assurance für Microsoft</w:t>
      </w:r>
      <w:r w:rsidR="00BF6926" w:rsidRPr="006257A7">
        <w:rPr>
          <w:rFonts w:ascii="Tahoma" w:hAnsi="Tahoma" w:cs="Tahoma"/>
          <w:sz w:val="18"/>
          <w:szCs w:val="18"/>
          <w:lang w:val="de-DE"/>
        </w:rPr>
        <w:t> </w:t>
      </w:r>
      <w:r w:rsidRPr="006257A7">
        <w:rPr>
          <w:rFonts w:ascii="Tahoma" w:hAnsi="Tahoma" w:cs="Tahoma"/>
          <w:sz w:val="18"/>
          <w:szCs w:val="18"/>
          <w:lang w:val="de-DE"/>
        </w:rPr>
        <w:t>Office Standard 2010 in den Open-Lizenzprogrammen, Select- und Select Plus-Programmen und der nicht</w:t>
      </w:r>
      <w:r w:rsidR="00BF6926" w:rsidRPr="006257A7">
        <w:rPr>
          <w:rFonts w:ascii="Tahoma" w:hAnsi="Tahoma" w:cs="Tahoma"/>
          <w:sz w:val="18"/>
          <w:szCs w:val="18"/>
          <w:lang w:val="de-DE"/>
        </w:rPr>
        <w:t> </w:t>
      </w:r>
      <w:r w:rsidRPr="006257A7">
        <w:rPr>
          <w:rFonts w:ascii="Tahoma" w:hAnsi="Tahoma" w:cs="Tahoma"/>
          <w:sz w:val="18"/>
          <w:szCs w:val="18"/>
          <w:lang w:val="de-DE"/>
        </w:rPr>
        <w:t>unternehmensweiten Option unter Open Value innerhalb von 90 Tagen ab dem Datum des OEM-Kaufs erwerben</w:t>
      </w:r>
      <w:r w:rsidR="006257A7" w:rsidRPr="006257A7">
        <w:rPr>
          <w:rFonts w:ascii="Tahoma" w:hAnsi="Tahoma" w:cs="Tahoma"/>
          <w:sz w:val="18"/>
          <w:szCs w:val="18"/>
          <w:lang w:val="de-DE"/>
        </w:rPr>
        <w:t xml:space="preserve">. </w:t>
      </w:r>
      <w:r w:rsidRPr="006257A7">
        <w:rPr>
          <w:rFonts w:ascii="Tahoma" w:hAnsi="Tahoma" w:cs="Tahoma"/>
          <w:sz w:val="18"/>
          <w:szCs w:val="18"/>
          <w:lang w:val="de-DE"/>
        </w:rPr>
        <w:t>Office Product Key Cards (PKC) gelten als Full Packaged Product-Angebot (Einzelhandel) und sind nicht</w:t>
      </w:r>
      <w:r w:rsidR="00BF6926" w:rsidRPr="006257A7">
        <w:rPr>
          <w:rFonts w:ascii="Tahoma" w:hAnsi="Tahoma" w:cs="Tahoma"/>
          <w:sz w:val="18"/>
          <w:szCs w:val="18"/>
          <w:lang w:val="de-DE"/>
        </w:rPr>
        <w:t> </w:t>
      </w:r>
      <w:r w:rsidRPr="006257A7">
        <w:rPr>
          <w:rFonts w:ascii="Tahoma" w:hAnsi="Tahoma" w:cs="Tahoma"/>
          <w:sz w:val="18"/>
          <w:szCs w:val="18"/>
          <w:lang w:val="de-DE"/>
        </w:rPr>
        <w:t>für die Option zum Erwerb von Software Assurance berechtigt</w:t>
      </w:r>
      <w:r w:rsidR="006257A7" w:rsidRPr="006257A7">
        <w:rPr>
          <w:rFonts w:ascii="Tahoma" w:hAnsi="Tahoma" w:cs="Tahoma"/>
          <w:sz w:val="18"/>
          <w:szCs w:val="18"/>
          <w:lang w:val="de-DE"/>
        </w:rPr>
        <w:t xml:space="preserve">. </w:t>
      </w:r>
    </w:p>
    <w:p w:rsidR="008D4EE5" w:rsidRPr="006257A7" w:rsidRDefault="008D4EE5" w:rsidP="008D4EE5">
      <w:pPr>
        <w:pStyle w:val="AppendixBodyText"/>
        <w:spacing w:after="0"/>
        <w:ind w:right="720"/>
        <w:rPr>
          <w:lang w:val="de-DE"/>
        </w:rPr>
      </w:pPr>
    </w:p>
    <w:p w:rsidR="008D4EE5" w:rsidRPr="009123CB" w:rsidRDefault="008D4EE5" w:rsidP="008D4EE5">
      <w:pPr>
        <w:pStyle w:val="Heading2"/>
        <w:ind w:left="0" w:right="720"/>
        <w:rPr>
          <w:lang w:val="de-DE"/>
        </w:rPr>
      </w:pPr>
      <w:bookmarkStart w:id="648" w:name="_Toc323819651"/>
      <w:bookmarkStart w:id="649" w:name="_Toc336338202"/>
      <w:bookmarkStart w:id="650" w:name="_Toc363998939"/>
      <w:r w:rsidRPr="009123CB">
        <w:rPr>
          <w:rFonts w:ascii="Tahoma" w:hAnsi="Tahoma" w:cs="Tahoma"/>
          <w:lang w:val="de-DE"/>
        </w:rPr>
        <w:t>Step Up-Lizenzen</w:t>
      </w:r>
      <w:bookmarkEnd w:id="648"/>
      <w:bookmarkEnd w:id="649"/>
      <w:bookmarkEnd w:id="650"/>
    </w:p>
    <w:p w:rsidR="008D4EE5" w:rsidRPr="009123CB" w:rsidRDefault="008D4EE5" w:rsidP="008D4EE5">
      <w:pPr>
        <w:ind w:right="720"/>
        <w:rPr>
          <w:lang w:val="de-DE"/>
        </w:rPr>
      </w:pPr>
    </w:p>
    <w:p w:rsidR="008D4EE5" w:rsidRPr="009123CB" w:rsidRDefault="008D4EE5" w:rsidP="00BF6926">
      <w:pPr>
        <w:pStyle w:val="AppendixIndent"/>
        <w:ind w:left="0" w:right="90"/>
        <w:rPr>
          <w:lang w:val="de-DE"/>
        </w:rPr>
      </w:pPr>
      <w:r w:rsidRPr="009123CB">
        <w:rPr>
          <w:rFonts w:ascii="Tahoma" w:hAnsi="Tahoma" w:cs="Tahoma"/>
          <w:sz w:val="18"/>
          <w:lang w:val="de-DE"/>
        </w:rPr>
        <w:t>Kunden können von der Standard Edition zu einer Premium Edition bestimmter Produkte migrieren, und zwar mit</w:t>
      </w:r>
      <w:r w:rsidR="00BF6926">
        <w:rPr>
          <w:rFonts w:ascii="Tahoma" w:hAnsi="Tahoma" w:cs="Tahoma"/>
          <w:sz w:val="18"/>
          <w:lang w:val="de-DE"/>
        </w:rPr>
        <w:t> </w:t>
      </w:r>
      <w:r w:rsidRPr="009123CB">
        <w:rPr>
          <w:rFonts w:ascii="Tahoma" w:hAnsi="Tahoma" w:cs="Tahoma"/>
          <w:sz w:val="18"/>
          <w:lang w:val="de-DE"/>
        </w:rPr>
        <w:t>einer Step Up-Lizenz</w:t>
      </w:r>
      <w:r w:rsidR="006257A7">
        <w:rPr>
          <w:rFonts w:ascii="Tahoma" w:hAnsi="Tahoma" w:cs="Tahoma"/>
          <w:sz w:val="18"/>
          <w:lang w:val="de-DE"/>
        </w:rPr>
        <w:t xml:space="preserve">. </w:t>
      </w:r>
      <w:r w:rsidRPr="009123CB">
        <w:rPr>
          <w:rFonts w:ascii="Tahoma" w:hAnsi="Tahoma" w:cs="Tahoma"/>
          <w:sz w:val="18"/>
          <w:lang w:val="de-DE"/>
        </w:rPr>
        <w:t xml:space="preserve">Um eine Step Up-Lizenz erwerben zu können, müssen die Kunden über eine Lizenz </w:t>
      </w:r>
      <w:r w:rsidRPr="009123CB">
        <w:rPr>
          <w:rFonts w:ascii="Tahoma" w:hAnsi="Tahoma" w:cs="Tahoma"/>
          <w:sz w:val="18"/>
          <w:szCs w:val="18"/>
          <w:lang w:val="de-DE"/>
        </w:rPr>
        <w:t xml:space="preserve">mit aktiver Software </w:t>
      </w:r>
      <w:r w:rsidRPr="009123CB">
        <w:rPr>
          <w:rFonts w:ascii="Tahoma" w:hAnsi="Tahoma" w:cs="Tahoma"/>
          <w:color w:val="000000"/>
          <w:sz w:val="18"/>
          <w:szCs w:val="18"/>
          <w:lang w:val="de-DE"/>
        </w:rPr>
        <w:t>Assurance für das qualifizierende Produkt verfügen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Die Step Up-Lizenz muss unter demselben Volumenlizenzprogramm-Vertrag und -Beitritt (sofern vorhanden) erworben werden, unter dem bzw</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denen das Upgrade-Programm für das qualifizierende Produkt ursprünglich erworben wurde</w:t>
      </w:r>
      <w:r w:rsidR="006257A7">
        <w:rPr>
          <w:rFonts w:ascii="Tahoma" w:hAnsi="Tahoma" w:cs="Tahoma"/>
          <w:color w:val="000000"/>
          <w:sz w:val="18"/>
          <w:szCs w:val="18"/>
          <w:lang w:val="de-DE"/>
        </w:rPr>
        <w:t xml:space="preserve">. </w:t>
      </w:r>
      <w:r w:rsidRPr="009123CB">
        <w:rPr>
          <w:rFonts w:ascii="Tahoma" w:hAnsi="Tahoma" w:cs="Tahoma"/>
          <w:color w:val="000000"/>
          <w:sz w:val="18"/>
          <w:lang w:val="de-DE"/>
        </w:rPr>
        <w:t>Das Recht des Kunden, Software</w:t>
      </w:r>
      <w:r w:rsidR="00BF6926">
        <w:rPr>
          <w:rFonts w:ascii="Tahoma" w:hAnsi="Tahoma" w:cs="Tahoma"/>
          <w:color w:val="000000"/>
          <w:sz w:val="18"/>
          <w:lang w:val="de-DE"/>
        </w:rPr>
        <w:t> </w:t>
      </w:r>
      <w:r w:rsidRPr="009123CB">
        <w:rPr>
          <w:rFonts w:ascii="Tahoma" w:hAnsi="Tahoma" w:cs="Tahoma"/>
          <w:color w:val="000000"/>
          <w:sz w:val="18"/>
          <w:lang w:val="de-DE"/>
        </w:rPr>
        <w:t>unter einer Step Up-Lizenz zu nutzen, setzt voraus, dass der Kunde eine Lizenz für das</w:t>
      </w:r>
      <w:r w:rsidRPr="009123CB">
        <w:rPr>
          <w:rFonts w:ascii="Tahoma" w:hAnsi="Tahoma" w:cs="Tahoma"/>
          <w:sz w:val="18"/>
          <w:lang w:val="de-DE"/>
        </w:rPr>
        <w:t xml:space="preserve"> qualifizierende Produkt besitzt und diese behält</w:t>
      </w:r>
      <w:r w:rsidR="006257A7">
        <w:rPr>
          <w:rFonts w:ascii="Tahoma" w:hAnsi="Tahoma" w:cs="Tahoma"/>
          <w:sz w:val="18"/>
          <w:lang w:val="de-DE"/>
        </w:rPr>
        <w:t xml:space="preserve">. </w:t>
      </w:r>
      <w:r w:rsidRPr="009123CB">
        <w:rPr>
          <w:rFonts w:ascii="Tahoma" w:hAnsi="Tahoma" w:cs="Tahoma"/>
          <w:sz w:val="18"/>
          <w:lang w:val="de-DE"/>
        </w:rPr>
        <w:t>Die Kunden können die Lizenz für das qualifizierende Produkt nicht separat von der</w:t>
      </w:r>
      <w:r w:rsidR="00BF6926">
        <w:rPr>
          <w:rFonts w:ascii="Tahoma" w:hAnsi="Tahoma" w:cs="Tahoma"/>
          <w:sz w:val="18"/>
          <w:lang w:val="de-DE"/>
        </w:rPr>
        <w:t> </w:t>
      </w:r>
      <w:r w:rsidRPr="009123CB">
        <w:rPr>
          <w:rFonts w:ascii="Tahoma" w:hAnsi="Tahoma" w:cs="Tahoma"/>
          <w:sz w:val="18"/>
          <w:szCs w:val="18"/>
          <w:lang w:val="de-DE"/>
        </w:rPr>
        <w:t>Step Up-Lizenz übertragen</w:t>
      </w:r>
      <w:r w:rsidR="006257A7">
        <w:rPr>
          <w:rFonts w:ascii="Tahoma" w:hAnsi="Tahoma" w:cs="Tahoma"/>
          <w:sz w:val="18"/>
          <w:szCs w:val="18"/>
          <w:lang w:val="de-DE"/>
        </w:rPr>
        <w:t xml:space="preserve">. </w:t>
      </w:r>
      <w:r w:rsidRPr="009123CB">
        <w:rPr>
          <w:rFonts w:ascii="Tahoma" w:hAnsi="Tahoma" w:cs="Tahoma"/>
          <w:sz w:val="18"/>
          <w:szCs w:val="18"/>
          <w:lang w:val="de-DE"/>
        </w:rPr>
        <w:t>Weitere Informationen und Angaben zur Lizenzverfügbarkeit erhalten Sie in der Volumenlizenz-Kurzdarstellung zu Step Up-Lizenzen für Enterprise Edition: http://</w:t>
      </w:r>
      <w:hyperlink r:id="rId20" w:history="1">
        <w:r w:rsidR="00E869D6" w:rsidRPr="00420E1C">
          <w:rPr>
            <w:rStyle w:val="Hyperlink"/>
            <w:rFonts w:ascii="Tahoma" w:hAnsi="Tahoma" w:cs="Tahoma"/>
            <w:sz w:val="18"/>
            <w:szCs w:val="18"/>
            <w:lang w:val="de-DE"/>
          </w:rPr>
          <w:t>www.microsoft.com/licensing</w:t>
        </w:r>
      </w:hyperlink>
      <w:r w:rsidR="006257A7">
        <w:rPr>
          <w:rFonts w:ascii="Tahoma" w:hAnsi="Tahoma" w:cs="Tahoma"/>
          <w:sz w:val="18"/>
          <w:szCs w:val="18"/>
          <w:lang w:val="de-DE"/>
        </w:rPr>
        <w:t xml:space="preserve">. </w:t>
      </w:r>
    </w:p>
    <w:p w:rsidR="008D4EE5" w:rsidRPr="009123CB" w:rsidRDefault="008D4EE5" w:rsidP="008D4EE5">
      <w:pPr>
        <w:rPr>
          <w:lang w:val="de-DE"/>
        </w:rPr>
      </w:pPr>
    </w:p>
    <w:p w:rsidR="008D4EE5" w:rsidRPr="009123CB" w:rsidRDefault="008D4EE5" w:rsidP="008D4EE5">
      <w:pPr>
        <w:pStyle w:val="Heading2"/>
        <w:ind w:left="0" w:right="720"/>
        <w:rPr>
          <w:lang w:val="de-DE"/>
        </w:rPr>
      </w:pPr>
      <w:bookmarkStart w:id="651" w:name="_Toc323819652"/>
      <w:bookmarkStart w:id="652" w:name="_Toc336338203"/>
      <w:bookmarkStart w:id="653" w:name="_Toc363998940"/>
      <w:r w:rsidRPr="009123CB">
        <w:rPr>
          <w:rFonts w:ascii="Tahoma" w:hAnsi="Tahoma" w:cs="Tahoma"/>
          <w:lang w:val="de-DE"/>
        </w:rPr>
        <w:t>Abonnementlizenzen</w:t>
      </w:r>
      <w:bookmarkEnd w:id="651"/>
      <w:bookmarkEnd w:id="652"/>
      <w:bookmarkEnd w:id="653"/>
      <w:r w:rsidRPr="009123CB">
        <w:rPr>
          <w:rFonts w:ascii="Tahoma" w:hAnsi="Tahoma" w:cs="Tahoma"/>
          <w:lang w:val="de-DE"/>
        </w:rPr>
        <w:t xml:space="preserve"> </w:t>
      </w:r>
    </w:p>
    <w:p w:rsidR="008D4EE5" w:rsidRPr="009123CB" w:rsidRDefault="008D4EE5" w:rsidP="008D4EE5">
      <w:pPr>
        <w:ind w:right="720"/>
        <w:rPr>
          <w:lang w:val="de-DE"/>
        </w:rPr>
      </w:pPr>
    </w:p>
    <w:p w:rsidR="008D4EE5" w:rsidRPr="00BF6926" w:rsidRDefault="008D4EE5" w:rsidP="00BF6926">
      <w:pPr>
        <w:pStyle w:val="AppendixIndent"/>
        <w:spacing w:before="0"/>
        <w:ind w:left="0" w:right="90"/>
        <w:rPr>
          <w:lang w:val="de-DE"/>
        </w:rPr>
      </w:pPr>
      <w:r w:rsidRPr="009123CB">
        <w:rPr>
          <w:rFonts w:ascii="Tahoma" w:hAnsi="Tahoma" w:cs="Tahoma"/>
          <w:sz w:val="18"/>
          <w:lang w:val="de-DE"/>
        </w:rPr>
        <w:t>Dieser Produkttyp ist für Onlinedienste und einige Softwareprodukte verfügbar und nicht versionsspezifisch</w:t>
      </w:r>
      <w:r w:rsidR="006257A7">
        <w:rPr>
          <w:rFonts w:ascii="Tahoma" w:hAnsi="Tahoma" w:cs="Tahoma"/>
          <w:sz w:val="18"/>
          <w:lang w:val="de-DE"/>
        </w:rPr>
        <w:t xml:space="preserve">. </w:t>
      </w:r>
      <w:r w:rsidRPr="009123CB">
        <w:rPr>
          <w:rFonts w:ascii="Tahoma" w:hAnsi="Tahoma" w:cs="Tahoma"/>
          <w:sz w:val="18"/>
          <w:lang w:val="de-DE"/>
        </w:rPr>
        <w:t>Er</w:t>
      </w:r>
      <w:r w:rsidR="00BF6926">
        <w:rPr>
          <w:rFonts w:ascii="Tahoma" w:hAnsi="Tahoma" w:cs="Tahoma"/>
          <w:sz w:val="18"/>
          <w:lang w:val="de-DE"/>
        </w:rPr>
        <w:t> </w:t>
      </w:r>
      <w:r w:rsidRPr="009123CB">
        <w:rPr>
          <w:rFonts w:ascii="Tahoma" w:hAnsi="Tahoma" w:cs="Tahoma"/>
          <w:sz w:val="18"/>
          <w:lang w:val="de-DE"/>
        </w:rPr>
        <w:t>bietet Kunden die Möglichkeit, die Software, und im Falle von Onlinediensten, den Dienst während der Laufzeit</w:t>
      </w:r>
      <w:r w:rsidR="00BF6926">
        <w:rPr>
          <w:rFonts w:ascii="Tahoma" w:hAnsi="Tahoma" w:cs="Tahoma"/>
          <w:sz w:val="18"/>
          <w:lang w:val="de-DE"/>
        </w:rPr>
        <w:t> </w:t>
      </w:r>
      <w:r w:rsidRPr="009123CB">
        <w:rPr>
          <w:rFonts w:ascii="Tahoma" w:hAnsi="Tahoma" w:cs="Tahoma"/>
          <w:sz w:val="18"/>
          <w:lang w:val="de-DE"/>
        </w:rPr>
        <w:t>des Select- oder Konzernbeitritts oder Open-Vertrages, unter dem sie bzw</w:t>
      </w:r>
      <w:r w:rsidR="006257A7">
        <w:rPr>
          <w:rFonts w:ascii="Tahoma" w:hAnsi="Tahoma" w:cs="Tahoma"/>
          <w:sz w:val="18"/>
          <w:lang w:val="de-DE"/>
        </w:rPr>
        <w:t xml:space="preserve">. </w:t>
      </w:r>
      <w:r w:rsidRPr="009123CB">
        <w:rPr>
          <w:rFonts w:ascii="Tahoma" w:hAnsi="Tahoma" w:cs="Tahoma"/>
          <w:sz w:val="18"/>
          <w:lang w:val="de-DE"/>
        </w:rPr>
        <w:t>er erworben wurde, zu nutzen</w:t>
      </w:r>
      <w:r w:rsidR="006257A7">
        <w:rPr>
          <w:rFonts w:ascii="Tahoma" w:hAnsi="Tahoma" w:cs="Tahoma"/>
          <w:sz w:val="18"/>
          <w:lang w:val="de-DE"/>
        </w:rPr>
        <w:t xml:space="preserve">. </w:t>
      </w:r>
      <w:r w:rsidRPr="009123CB">
        <w:rPr>
          <w:rFonts w:ascii="Tahoma" w:hAnsi="Tahoma" w:cs="Tahoma"/>
          <w:sz w:val="18"/>
          <w:lang w:val="de-DE"/>
        </w:rPr>
        <w:t>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w:t>
      </w:r>
      <w:r w:rsidR="006257A7">
        <w:rPr>
          <w:rFonts w:ascii="Tahoma" w:hAnsi="Tahoma" w:cs="Tahoma"/>
          <w:sz w:val="18"/>
          <w:lang w:val="de-DE"/>
        </w:rPr>
        <w:t xml:space="preserve">. </w:t>
      </w:r>
      <w:r w:rsidRPr="00BF6926">
        <w:rPr>
          <w:rFonts w:ascii="Tahoma" w:hAnsi="Tahoma" w:cs="Tahoma"/>
          <w:sz w:val="18"/>
          <w:lang w:val="de-DE"/>
        </w:rPr>
        <w:t xml:space="preserve">Für die folgenden Programme verfügbar: </w:t>
      </w:r>
    </w:p>
    <w:p w:rsidR="008D4EE5" w:rsidRPr="00BF6926" w:rsidRDefault="008D4EE5" w:rsidP="008D4EE5">
      <w:pPr>
        <w:pStyle w:val="AppendixIndent"/>
        <w:spacing w:before="0"/>
        <w:ind w:left="0" w:right="720"/>
        <w:rPr>
          <w:lang w:val="de-DE"/>
        </w:rPr>
      </w:pPr>
    </w:p>
    <w:p w:rsidR="008D4EE5" w:rsidRPr="0062435A" w:rsidRDefault="008D4EE5" w:rsidP="008D4EE5">
      <w:pPr>
        <w:pStyle w:val="AppendixBulletIndent"/>
        <w:numPr>
          <w:ilvl w:val="0"/>
          <w:numId w:val="66"/>
        </w:numPr>
        <w:tabs>
          <w:tab w:val="left" w:pos="1440"/>
        </w:tabs>
        <w:spacing w:after="60"/>
        <w:ind w:left="1440" w:right="720"/>
      </w:pPr>
      <w:r>
        <w:rPr>
          <w:rFonts w:ascii="Tahoma" w:hAnsi="Tahoma" w:cs="Tahoma"/>
          <w:sz w:val="18"/>
        </w:rPr>
        <w:t>Open Value</w:t>
      </w:r>
    </w:p>
    <w:p w:rsidR="008D4EE5" w:rsidRPr="0062435A" w:rsidRDefault="008D4EE5" w:rsidP="008D4EE5">
      <w:pPr>
        <w:pStyle w:val="AppendixBulletIndent"/>
        <w:numPr>
          <w:ilvl w:val="0"/>
          <w:numId w:val="66"/>
        </w:numPr>
        <w:tabs>
          <w:tab w:val="left" w:pos="1440"/>
        </w:tabs>
        <w:spacing w:after="60"/>
        <w:ind w:left="1440" w:right="720"/>
      </w:pPr>
      <w:r>
        <w:rPr>
          <w:rFonts w:ascii="Tahoma" w:hAnsi="Tahoma" w:cs="Tahoma"/>
          <w:sz w:val="18"/>
        </w:rPr>
        <w:t xml:space="preserve">Open Value Subscription </w:t>
      </w:r>
    </w:p>
    <w:p w:rsidR="008D4EE5" w:rsidRPr="0062435A" w:rsidRDefault="008D4EE5" w:rsidP="008D4EE5">
      <w:pPr>
        <w:pStyle w:val="AppendixBulletIndent"/>
        <w:numPr>
          <w:ilvl w:val="0"/>
          <w:numId w:val="66"/>
        </w:numPr>
        <w:tabs>
          <w:tab w:val="left" w:pos="1440"/>
        </w:tabs>
        <w:spacing w:after="60"/>
        <w:ind w:left="1440" w:right="720"/>
      </w:pPr>
      <w:r>
        <w:rPr>
          <w:rFonts w:ascii="Tahoma" w:hAnsi="Tahoma" w:cs="Tahoma"/>
          <w:sz w:val="18"/>
        </w:rPr>
        <w:t xml:space="preserve">Select </w:t>
      </w:r>
    </w:p>
    <w:p w:rsidR="008D4EE5" w:rsidRPr="0062435A" w:rsidRDefault="008D4EE5" w:rsidP="008D4EE5">
      <w:pPr>
        <w:pStyle w:val="AppendixBulletIndent"/>
        <w:numPr>
          <w:ilvl w:val="0"/>
          <w:numId w:val="66"/>
        </w:numPr>
        <w:tabs>
          <w:tab w:val="left" w:pos="1440"/>
        </w:tabs>
        <w:spacing w:after="60"/>
        <w:ind w:left="1440" w:right="720"/>
      </w:pPr>
      <w:r>
        <w:rPr>
          <w:rFonts w:ascii="Tahoma" w:hAnsi="Tahoma" w:cs="Tahoma"/>
          <w:sz w:val="18"/>
        </w:rPr>
        <w:t>Select Plus</w:t>
      </w:r>
    </w:p>
    <w:p w:rsidR="008D4EE5" w:rsidRPr="0062435A" w:rsidRDefault="008D4EE5" w:rsidP="008D4EE5">
      <w:pPr>
        <w:pStyle w:val="AppendixBulletIndent"/>
        <w:numPr>
          <w:ilvl w:val="0"/>
          <w:numId w:val="66"/>
        </w:numPr>
        <w:tabs>
          <w:tab w:val="left" w:pos="1440"/>
        </w:tabs>
        <w:spacing w:after="60"/>
        <w:ind w:left="1440" w:right="720"/>
      </w:pPr>
      <w:r>
        <w:rPr>
          <w:rFonts w:ascii="Tahoma" w:hAnsi="Tahoma" w:cs="Tahoma"/>
          <w:sz w:val="18"/>
        </w:rPr>
        <w:t>School-Vertrag</w:t>
      </w:r>
    </w:p>
    <w:p w:rsidR="008D4EE5" w:rsidRPr="0062435A" w:rsidRDefault="008D4EE5" w:rsidP="008D4EE5">
      <w:pPr>
        <w:pStyle w:val="AppendixBulletIndent"/>
        <w:numPr>
          <w:ilvl w:val="0"/>
          <w:numId w:val="66"/>
        </w:numPr>
        <w:tabs>
          <w:tab w:val="left" w:pos="1440"/>
        </w:tabs>
        <w:spacing w:after="60"/>
        <w:ind w:left="1440" w:right="720"/>
      </w:pPr>
      <w:r>
        <w:rPr>
          <w:rFonts w:ascii="Tahoma" w:hAnsi="Tahoma" w:cs="Tahoma"/>
          <w:sz w:val="18"/>
        </w:rPr>
        <w:t>EES</w:t>
      </w:r>
    </w:p>
    <w:p w:rsidR="008D4EE5" w:rsidRPr="0062435A" w:rsidRDefault="008D4EE5" w:rsidP="008D4EE5">
      <w:pPr>
        <w:pStyle w:val="AppendixBulletIndent"/>
        <w:numPr>
          <w:ilvl w:val="0"/>
          <w:numId w:val="66"/>
        </w:numPr>
        <w:tabs>
          <w:tab w:val="left" w:pos="1440"/>
        </w:tabs>
        <w:spacing w:after="60"/>
        <w:ind w:left="1440" w:right="720"/>
      </w:pPr>
      <w:r>
        <w:rPr>
          <w:rFonts w:ascii="Tahoma" w:hAnsi="Tahoma" w:cs="Tahoma"/>
          <w:sz w:val="18"/>
        </w:rPr>
        <w:t>Konzernvertrag</w:t>
      </w:r>
    </w:p>
    <w:p w:rsidR="008D4EE5" w:rsidRPr="0062435A" w:rsidRDefault="008D4EE5" w:rsidP="008D4EE5">
      <w:pPr>
        <w:pStyle w:val="AppendixIndent"/>
        <w:numPr>
          <w:ilvl w:val="0"/>
          <w:numId w:val="66"/>
        </w:numPr>
        <w:tabs>
          <w:tab w:val="left" w:pos="1440"/>
        </w:tabs>
        <w:spacing w:before="0"/>
        <w:ind w:left="1440" w:right="720"/>
      </w:pPr>
      <w:r>
        <w:rPr>
          <w:rFonts w:ascii="Tahoma" w:hAnsi="Tahoma" w:cs="Tahoma"/>
          <w:sz w:val="18"/>
        </w:rPr>
        <w:t>Konzern-Abonnement-Vertrag</w:t>
      </w:r>
    </w:p>
    <w:p w:rsidR="008D4EE5" w:rsidRDefault="008D4EE5" w:rsidP="008D4EE5"/>
    <w:p w:rsidR="00BF6926" w:rsidRDefault="00BF6926" w:rsidP="008D4EE5"/>
    <w:p w:rsidR="00BF6926" w:rsidRDefault="00BF6926" w:rsidP="008D4EE5"/>
    <w:p w:rsidR="00BF6926" w:rsidRDefault="00BF6926" w:rsidP="008D4EE5"/>
    <w:p w:rsidR="00BF6926" w:rsidRDefault="00BF6926" w:rsidP="008D4EE5"/>
    <w:p w:rsidR="00BF6926" w:rsidRPr="0062435A" w:rsidRDefault="00BF6926" w:rsidP="008D4EE5"/>
    <w:p w:rsidR="008D4EE5" w:rsidRPr="0062435A" w:rsidRDefault="008D4EE5" w:rsidP="008D4EE5">
      <w:pPr>
        <w:pStyle w:val="Heading2"/>
        <w:ind w:left="0" w:right="720"/>
      </w:pPr>
      <w:bookmarkStart w:id="654" w:name="_Toc323819653"/>
      <w:bookmarkStart w:id="655" w:name="_Toc336338204"/>
      <w:bookmarkStart w:id="656" w:name="_Toc363998941"/>
      <w:r>
        <w:rPr>
          <w:rFonts w:ascii="Tahoma" w:hAnsi="Tahoma" w:cs="Tahoma"/>
        </w:rPr>
        <w:t>Upgrade</w:t>
      </w:r>
      <w:bookmarkEnd w:id="654"/>
      <w:bookmarkEnd w:id="655"/>
      <w:bookmarkEnd w:id="656"/>
    </w:p>
    <w:p w:rsidR="008D4EE5" w:rsidRPr="00BF6926" w:rsidRDefault="008D4EE5" w:rsidP="00BF6926">
      <w:pPr>
        <w:pStyle w:val="AppendixIndent"/>
        <w:spacing w:before="0" w:line="216" w:lineRule="auto"/>
        <w:ind w:left="0" w:right="720"/>
        <w:rPr>
          <w:rFonts w:ascii="Tahoma" w:hAnsi="Tahoma" w:cs="Tahoma"/>
          <w:sz w:val="18"/>
          <w:szCs w:val="18"/>
        </w:rPr>
      </w:pPr>
    </w:p>
    <w:p w:rsidR="008D4EE5" w:rsidRPr="00F83EE5" w:rsidRDefault="008D4EE5" w:rsidP="00BF6926">
      <w:pPr>
        <w:pStyle w:val="AppendixIndent"/>
        <w:spacing w:before="0"/>
        <w:ind w:left="0" w:right="90"/>
        <w:rPr>
          <w:lang w:val="de-DE"/>
        </w:rPr>
      </w:pPr>
      <w:r w:rsidRPr="009123CB">
        <w:rPr>
          <w:rFonts w:ascii="Tahoma" w:hAnsi="Tahoma" w:cs="Tahoma"/>
          <w:sz w:val="18"/>
          <w:lang w:val="de-DE"/>
        </w:rPr>
        <w:t xml:space="preserve">Dieser Produkttyp ist nur für das </w:t>
      </w:r>
      <w:r w:rsidRPr="009123CB">
        <w:rPr>
          <w:rFonts w:ascii="Tahoma" w:hAnsi="Tahoma" w:cs="Tahoma"/>
          <w:sz w:val="18"/>
          <w:u w:val="single"/>
          <w:lang w:val="de-DE"/>
        </w:rPr>
        <w:t>Windows Desktop-Betriebssystem</w:t>
      </w:r>
      <w:r w:rsidRPr="009123CB">
        <w:rPr>
          <w:rFonts w:ascii="Tahoma" w:hAnsi="Tahoma" w:cs="Tahoma"/>
          <w:sz w:val="18"/>
          <w:lang w:val="de-DE"/>
        </w:rPr>
        <w:t xml:space="preserve"> verfügbar und versionsspezifisch</w:t>
      </w:r>
      <w:r w:rsidR="006257A7">
        <w:rPr>
          <w:rFonts w:ascii="Tahoma" w:hAnsi="Tahoma" w:cs="Tahoma"/>
          <w:sz w:val="18"/>
          <w:lang w:val="de-DE"/>
        </w:rPr>
        <w:t xml:space="preserve">. </w:t>
      </w:r>
      <w:r w:rsidRPr="009123CB">
        <w:rPr>
          <w:rFonts w:ascii="Tahoma" w:hAnsi="Tahoma" w:cs="Tahoma"/>
          <w:sz w:val="18"/>
          <w:lang w:val="de-DE"/>
        </w:rPr>
        <w:t>Er</w:t>
      </w:r>
      <w:r w:rsidR="00BF6926">
        <w:rPr>
          <w:rFonts w:ascii="Tahoma" w:hAnsi="Tahoma" w:cs="Tahoma"/>
          <w:sz w:val="18"/>
          <w:lang w:val="de-DE"/>
        </w:rPr>
        <w:t> </w:t>
      </w:r>
      <w:r w:rsidRPr="009123CB">
        <w:rPr>
          <w:rFonts w:ascii="Tahoma" w:hAnsi="Tahoma" w:cs="Tahoma"/>
          <w:sz w:val="18"/>
          <w:lang w:val="de-DE"/>
        </w:rPr>
        <w:t>gewährt</w:t>
      </w:r>
      <w:r w:rsidR="00BF6926">
        <w:rPr>
          <w:rFonts w:ascii="Tahoma" w:hAnsi="Tahoma" w:cs="Tahoma"/>
          <w:sz w:val="18"/>
          <w:lang w:val="de-DE"/>
        </w:rPr>
        <w:t> </w:t>
      </w:r>
      <w:r w:rsidRPr="009123CB">
        <w:rPr>
          <w:rFonts w:ascii="Tahoma" w:hAnsi="Tahoma" w:cs="Tahoma"/>
          <w:sz w:val="18"/>
          <w:lang w:val="de-DE"/>
        </w:rPr>
        <w:t>das Recht, die Version des Produktes auszuführen, für die er bestellt wurde</w:t>
      </w:r>
      <w:r w:rsidR="006257A7">
        <w:rPr>
          <w:rFonts w:ascii="Tahoma" w:hAnsi="Tahoma" w:cs="Tahoma"/>
          <w:sz w:val="18"/>
          <w:lang w:val="de-DE"/>
        </w:rPr>
        <w:t xml:space="preserve">. </w:t>
      </w:r>
      <w:r w:rsidRPr="00F83EE5">
        <w:rPr>
          <w:rFonts w:ascii="Tahoma" w:hAnsi="Tahoma" w:cs="Tahoma"/>
          <w:sz w:val="18"/>
          <w:lang w:val="de-DE"/>
        </w:rPr>
        <w:t>Für die folgenden Programme verfügbar:</w:t>
      </w:r>
    </w:p>
    <w:p w:rsidR="008D4EE5" w:rsidRPr="00BF6926" w:rsidRDefault="008D4EE5" w:rsidP="00BF6926">
      <w:pPr>
        <w:pStyle w:val="AppendixIndent"/>
        <w:spacing w:before="0" w:line="216" w:lineRule="auto"/>
        <w:ind w:left="0" w:right="720"/>
        <w:rPr>
          <w:rFonts w:ascii="Tahoma" w:hAnsi="Tahoma" w:cs="Tahoma"/>
          <w:sz w:val="18"/>
          <w:szCs w:val="18"/>
          <w:lang w:val="de-DE"/>
        </w:rPr>
      </w:pPr>
    </w:p>
    <w:p w:rsidR="008D4EE5" w:rsidRPr="0062435A" w:rsidRDefault="008D4EE5" w:rsidP="008D4EE5">
      <w:pPr>
        <w:pStyle w:val="AppendixBulletIndent"/>
        <w:numPr>
          <w:ilvl w:val="0"/>
          <w:numId w:val="59"/>
        </w:numPr>
        <w:tabs>
          <w:tab w:val="left" w:pos="1440"/>
        </w:tabs>
        <w:spacing w:after="60"/>
        <w:ind w:left="1440" w:right="720"/>
      </w:pPr>
      <w:r>
        <w:rPr>
          <w:rFonts w:ascii="Tahoma" w:hAnsi="Tahoma" w:cs="Tahoma"/>
          <w:sz w:val="18"/>
          <w:szCs w:val="18"/>
        </w:rPr>
        <w:t>Open-Lizenz</w:t>
      </w:r>
    </w:p>
    <w:p w:rsidR="008D4EE5" w:rsidRPr="009123CB" w:rsidRDefault="008D4EE5" w:rsidP="008D4EE5">
      <w:pPr>
        <w:pStyle w:val="AppendixBulletIndent"/>
        <w:numPr>
          <w:ilvl w:val="0"/>
          <w:numId w:val="59"/>
        </w:numPr>
        <w:tabs>
          <w:tab w:val="left" w:pos="1440"/>
        </w:tabs>
        <w:spacing w:after="60"/>
        <w:ind w:left="1440" w:right="720"/>
        <w:rPr>
          <w:lang w:val="de-DE"/>
        </w:rPr>
      </w:pPr>
      <w:r w:rsidRPr="009123CB">
        <w:rPr>
          <w:rFonts w:ascii="Tahoma" w:hAnsi="Tahoma" w:cs="Tahoma"/>
          <w:sz w:val="18"/>
          <w:szCs w:val="18"/>
          <w:lang w:val="de-DE"/>
        </w:rPr>
        <w:t xml:space="preserve">Open Value Subscription (nur für Buy-Out-Bestellungen) </w:t>
      </w:r>
    </w:p>
    <w:p w:rsidR="008D4EE5" w:rsidRPr="0062435A" w:rsidRDefault="008D4EE5" w:rsidP="008D4EE5">
      <w:pPr>
        <w:pStyle w:val="AppendixBulletIndent"/>
        <w:numPr>
          <w:ilvl w:val="0"/>
          <w:numId w:val="59"/>
        </w:numPr>
        <w:tabs>
          <w:tab w:val="left" w:pos="1440"/>
        </w:tabs>
        <w:spacing w:after="60"/>
        <w:ind w:left="1440" w:right="720"/>
      </w:pPr>
      <w:r>
        <w:rPr>
          <w:rFonts w:ascii="Tahoma" w:hAnsi="Tahoma" w:cs="Tahoma"/>
          <w:sz w:val="18"/>
          <w:szCs w:val="18"/>
        </w:rPr>
        <w:t xml:space="preserve">Select </w:t>
      </w:r>
    </w:p>
    <w:p w:rsidR="008D4EE5" w:rsidRPr="0062435A" w:rsidRDefault="008D4EE5" w:rsidP="008D4EE5">
      <w:pPr>
        <w:pStyle w:val="AppendixBulletIndent"/>
        <w:numPr>
          <w:ilvl w:val="0"/>
          <w:numId w:val="59"/>
        </w:numPr>
        <w:tabs>
          <w:tab w:val="left" w:pos="1440"/>
        </w:tabs>
        <w:spacing w:after="60"/>
        <w:ind w:left="1440" w:right="720"/>
      </w:pPr>
      <w:r>
        <w:rPr>
          <w:rFonts w:ascii="Tahoma" w:hAnsi="Tahoma" w:cs="Tahoma"/>
          <w:sz w:val="18"/>
          <w:szCs w:val="18"/>
        </w:rPr>
        <w:t>Select Plus</w:t>
      </w:r>
    </w:p>
    <w:p w:rsidR="008D4EE5" w:rsidRPr="009123CB" w:rsidRDefault="008D4EE5" w:rsidP="008D4EE5">
      <w:pPr>
        <w:pStyle w:val="AppendixBulletIndent"/>
        <w:numPr>
          <w:ilvl w:val="0"/>
          <w:numId w:val="59"/>
        </w:numPr>
        <w:tabs>
          <w:tab w:val="left" w:pos="1440"/>
        </w:tabs>
        <w:spacing w:after="60"/>
        <w:ind w:left="1440" w:right="720"/>
        <w:rPr>
          <w:lang w:val="de-DE"/>
        </w:rPr>
      </w:pPr>
      <w:r w:rsidRPr="009123CB">
        <w:rPr>
          <w:rFonts w:ascii="Tahoma" w:hAnsi="Tahoma" w:cs="Tahoma"/>
          <w:sz w:val="18"/>
          <w:szCs w:val="18"/>
          <w:lang w:val="de-DE"/>
        </w:rPr>
        <w:t>School-Vertrag (nur für Buy-Out-Bestellungen)</w:t>
      </w:r>
    </w:p>
    <w:p w:rsidR="008D4EE5" w:rsidRPr="009123CB" w:rsidRDefault="008D4EE5" w:rsidP="008D4EE5">
      <w:pPr>
        <w:pStyle w:val="AppendixBulletIndent"/>
        <w:numPr>
          <w:ilvl w:val="0"/>
          <w:numId w:val="59"/>
        </w:numPr>
        <w:tabs>
          <w:tab w:val="left" w:pos="1440"/>
        </w:tabs>
        <w:spacing w:after="60"/>
        <w:ind w:left="1440" w:right="720"/>
        <w:rPr>
          <w:lang w:val="de-DE"/>
        </w:rPr>
      </w:pPr>
      <w:r w:rsidRPr="009123CB">
        <w:rPr>
          <w:rFonts w:ascii="Tahoma" w:hAnsi="Tahoma" w:cs="Tahoma"/>
          <w:sz w:val="18"/>
          <w:szCs w:val="18"/>
          <w:lang w:val="de-DE"/>
        </w:rPr>
        <w:t>EES (nur für Buy-Out-Bestellungen)</w:t>
      </w:r>
    </w:p>
    <w:p w:rsidR="008D4EE5" w:rsidRPr="009123CB" w:rsidRDefault="008D4EE5" w:rsidP="008D4EE5">
      <w:pPr>
        <w:pStyle w:val="AppendixBulletIndent"/>
        <w:numPr>
          <w:ilvl w:val="0"/>
          <w:numId w:val="59"/>
        </w:numPr>
        <w:tabs>
          <w:tab w:val="left" w:pos="1440"/>
        </w:tabs>
        <w:ind w:left="1440" w:right="720"/>
        <w:rPr>
          <w:lang w:val="de-DE"/>
        </w:rPr>
      </w:pPr>
      <w:r w:rsidRPr="009123CB">
        <w:rPr>
          <w:rFonts w:ascii="Tahoma" w:hAnsi="Tahoma" w:cs="Tahoma"/>
          <w:sz w:val="18"/>
          <w:szCs w:val="18"/>
          <w:lang w:val="de-DE"/>
        </w:rPr>
        <w:t>Konzern-Abonnement-Vertrag (nur für Buy-Out-Bestellungen)</w:t>
      </w:r>
    </w:p>
    <w:p w:rsidR="008D4EE5" w:rsidRPr="00BF6926" w:rsidRDefault="008D4EE5" w:rsidP="00BF6926">
      <w:pPr>
        <w:pStyle w:val="AppendixIndent"/>
        <w:spacing w:before="0" w:line="216" w:lineRule="auto"/>
        <w:ind w:left="0" w:right="720"/>
        <w:rPr>
          <w:rFonts w:ascii="Tahoma" w:hAnsi="Tahoma" w:cs="Tahoma"/>
          <w:sz w:val="18"/>
          <w:szCs w:val="18"/>
          <w:lang w:val="de-DE"/>
        </w:rPr>
      </w:pPr>
    </w:p>
    <w:p w:rsidR="008D4EE5" w:rsidRPr="009123CB" w:rsidRDefault="008D4EE5" w:rsidP="00BF6926">
      <w:pPr>
        <w:pStyle w:val="AppendixIndent"/>
        <w:spacing w:before="0"/>
        <w:ind w:left="0" w:right="720"/>
        <w:rPr>
          <w:lang w:val="de-DE"/>
        </w:rPr>
      </w:pPr>
      <w:r w:rsidRPr="009123CB">
        <w:rPr>
          <w:rFonts w:ascii="Tahoma" w:hAnsi="Tahoma" w:cs="Tahoma"/>
          <w:sz w:val="18"/>
          <w:lang w:val="de-DE"/>
        </w:rPr>
        <w:t>Der Kunde muss über eine qualifizierende, zugrunde liegende Desktop-Betriebssystemlizenz verfügen, bevor</w:t>
      </w:r>
      <w:r w:rsidR="00BF6926">
        <w:rPr>
          <w:rFonts w:ascii="Tahoma" w:hAnsi="Tahoma" w:cs="Tahoma"/>
          <w:sz w:val="18"/>
          <w:lang w:val="de-DE"/>
        </w:rPr>
        <w:t> </w:t>
      </w:r>
      <w:r w:rsidRPr="009123CB">
        <w:rPr>
          <w:rFonts w:ascii="Tahoma" w:hAnsi="Tahoma" w:cs="Tahoma"/>
          <w:sz w:val="18"/>
          <w:lang w:val="de-DE"/>
        </w:rPr>
        <w:t>er die Lizenz für das Windows Desktop Betriebssystem-Upgrade erwerben darf</w:t>
      </w:r>
      <w:r w:rsidR="006257A7">
        <w:rPr>
          <w:rFonts w:ascii="Tahoma" w:hAnsi="Tahoma" w:cs="Tahoma"/>
          <w:sz w:val="18"/>
          <w:lang w:val="de-DE"/>
        </w:rPr>
        <w:t xml:space="preserve">. </w:t>
      </w:r>
      <w:r w:rsidRPr="009123CB">
        <w:rPr>
          <w:rFonts w:ascii="Tahoma" w:hAnsi="Tahoma" w:cs="Tahoma"/>
          <w:sz w:val="18"/>
          <w:lang w:val="de-DE"/>
        </w:rPr>
        <w:t>Eine Liste der qualifizierenden Desktop-Betriebssysteme finden Sie im Abschnitt über Systemprodukte</w:t>
      </w:r>
      <w:r w:rsidR="006257A7">
        <w:rPr>
          <w:rFonts w:ascii="Tahoma" w:hAnsi="Tahoma" w:cs="Tahoma"/>
          <w:sz w:val="18"/>
          <w:lang w:val="de-DE"/>
        </w:rPr>
        <w:t xml:space="preserve">. </w:t>
      </w:r>
      <w:r w:rsidRPr="009123CB">
        <w:rPr>
          <w:rFonts w:ascii="Tahoma" w:hAnsi="Tahoma" w:cs="Tahoma"/>
          <w:sz w:val="18"/>
          <w:lang w:val="de-DE"/>
        </w:rPr>
        <w:t>Diese Liste hängt vom Programm und den Umständen einer Bestellung ab</w:t>
      </w:r>
      <w:r w:rsidR="006257A7">
        <w:rPr>
          <w:rFonts w:ascii="Tahoma" w:hAnsi="Tahoma" w:cs="Tahoma"/>
          <w:sz w:val="18"/>
          <w:lang w:val="de-DE"/>
        </w:rPr>
        <w:t xml:space="preserve">. </w:t>
      </w:r>
    </w:p>
    <w:p w:rsidR="008D4EE5" w:rsidRPr="00BF6926" w:rsidRDefault="008D4EE5" w:rsidP="00BF6926">
      <w:pPr>
        <w:spacing w:line="216" w:lineRule="auto"/>
        <w:rPr>
          <w:rFonts w:cs="Tahoma"/>
          <w:szCs w:val="18"/>
          <w:lang w:val="de-DE"/>
        </w:rPr>
      </w:pPr>
      <w:bookmarkStart w:id="657" w:name="_Toc323819654"/>
      <w:bookmarkStart w:id="658" w:name="_Toc336338205"/>
    </w:p>
    <w:p w:rsidR="008D4EE5" w:rsidRPr="009123CB" w:rsidRDefault="008D4EE5" w:rsidP="008D4EE5">
      <w:pPr>
        <w:pStyle w:val="Heading2"/>
        <w:keepNext/>
        <w:ind w:left="0" w:right="720"/>
        <w:rPr>
          <w:lang w:val="de-DE"/>
        </w:rPr>
      </w:pPr>
      <w:bookmarkStart w:id="659" w:name="_Toc363998942"/>
      <w:r w:rsidRPr="009123CB">
        <w:rPr>
          <w:rFonts w:ascii="Tahoma" w:hAnsi="Tahoma" w:cs="Tahoma"/>
          <w:lang w:val="de-DE"/>
        </w:rPr>
        <w:t>Upgrade und Software Assurance</w:t>
      </w:r>
      <w:bookmarkEnd w:id="657"/>
      <w:bookmarkEnd w:id="658"/>
      <w:bookmarkEnd w:id="659"/>
      <w:r w:rsidRPr="009123CB">
        <w:rPr>
          <w:rFonts w:ascii="Tahoma" w:hAnsi="Tahoma" w:cs="Tahoma"/>
          <w:lang w:val="de-DE"/>
        </w:rPr>
        <w:t xml:space="preserve"> </w:t>
      </w:r>
    </w:p>
    <w:p w:rsidR="008D4EE5" w:rsidRPr="00BF6926" w:rsidRDefault="008D4EE5" w:rsidP="00BF6926">
      <w:pPr>
        <w:keepNext/>
        <w:spacing w:line="216" w:lineRule="auto"/>
        <w:ind w:right="720"/>
        <w:rPr>
          <w:rFonts w:cs="Tahoma"/>
          <w:szCs w:val="18"/>
          <w:lang w:val="de-DE"/>
        </w:rPr>
      </w:pPr>
    </w:p>
    <w:p w:rsidR="008D4EE5" w:rsidRPr="006257A7" w:rsidRDefault="008D4EE5" w:rsidP="008D4EE5">
      <w:pPr>
        <w:pStyle w:val="AppendixIndent"/>
        <w:spacing w:before="0"/>
        <w:ind w:left="0" w:right="720"/>
        <w:rPr>
          <w:lang w:val="de-DE"/>
        </w:rPr>
      </w:pPr>
      <w:r w:rsidRPr="009123CB">
        <w:rPr>
          <w:rFonts w:ascii="Tahoma" w:hAnsi="Tahoma" w:cs="Tahoma"/>
          <w:sz w:val="18"/>
          <w:lang w:val="de-DE"/>
        </w:rPr>
        <w:t>Dieser Produkttyp ist nur für das Windows Desktop-Betriebssystem verfügbar und nicht versionsspezifisch</w:t>
      </w:r>
      <w:r w:rsidR="006257A7">
        <w:rPr>
          <w:rFonts w:ascii="Tahoma" w:hAnsi="Tahoma" w:cs="Tahoma"/>
          <w:sz w:val="18"/>
          <w:lang w:val="de-DE"/>
        </w:rPr>
        <w:t xml:space="preserve">. </w:t>
      </w:r>
      <w:r w:rsidRPr="009123CB">
        <w:rPr>
          <w:rFonts w:ascii="Tahoma" w:hAnsi="Tahoma" w:cs="Tahoma"/>
          <w:sz w:val="18"/>
          <w:lang w:val="de-DE"/>
        </w:rPr>
        <w:t>Er ermöglicht es Kunden, gleichzeitig das Upgrade und Software Assurance für das Desktop-Betriebssystem zu erwerben</w:t>
      </w:r>
      <w:r w:rsidR="006257A7">
        <w:rPr>
          <w:rFonts w:ascii="Tahoma" w:hAnsi="Tahoma" w:cs="Tahoma"/>
          <w:sz w:val="18"/>
          <w:lang w:val="de-DE"/>
        </w:rPr>
        <w:t xml:space="preserve">. </w:t>
      </w:r>
      <w:r w:rsidRPr="006257A7">
        <w:rPr>
          <w:rFonts w:ascii="Tahoma" w:hAnsi="Tahoma" w:cs="Tahoma"/>
          <w:sz w:val="18"/>
          <w:lang w:val="de-DE"/>
        </w:rPr>
        <w:t>Für die folgenden Programme verfügbar:</w:t>
      </w:r>
    </w:p>
    <w:p w:rsidR="008D4EE5" w:rsidRPr="006257A7" w:rsidRDefault="008D4EE5" w:rsidP="00BF6926">
      <w:pPr>
        <w:pStyle w:val="AppendixIndent"/>
        <w:spacing w:before="0" w:line="216" w:lineRule="auto"/>
        <w:ind w:left="0" w:right="720"/>
        <w:rPr>
          <w:rFonts w:ascii="Tahoma" w:hAnsi="Tahoma" w:cs="Tahoma"/>
          <w:sz w:val="18"/>
          <w:szCs w:val="18"/>
          <w:lang w:val="de-DE"/>
        </w:rPr>
      </w:pPr>
    </w:p>
    <w:p w:rsidR="008D4EE5" w:rsidRPr="0062435A" w:rsidRDefault="008D4EE5" w:rsidP="008D4EE5">
      <w:pPr>
        <w:pStyle w:val="AppendixBulletIndent"/>
        <w:numPr>
          <w:ilvl w:val="0"/>
          <w:numId w:val="60"/>
        </w:numPr>
        <w:tabs>
          <w:tab w:val="clear" w:pos="360"/>
          <w:tab w:val="num" w:pos="1440"/>
        </w:tabs>
        <w:spacing w:after="60"/>
        <w:ind w:left="1440" w:right="720"/>
      </w:pPr>
      <w:r>
        <w:rPr>
          <w:rFonts w:ascii="Tahoma" w:hAnsi="Tahoma" w:cs="Tahoma"/>
          <w:sz w:val="18"/>
        </w:rPr>
        <w:t>Open-Lizenz</w:t>
      </w:r>
    </w:p>
    <w:p w:rsidR="008D4EE5" w:rsidRPr="0062435A" w:rsidRDefault="008D4EE5" w:rsidP="008D4EE5">
      <w:pPr>
        <w:pStyle w:val="AppendixBulletIndent"/>
        <w:numPr>
          <w:ilvl w:val="0"/>
          <w:numId w:val="60"/>
        </w:numPr>
        <w:tabs>
          <w:tab w:val="clear" w:pos="360"/>
          <w:tab w:val="num" w:pos="1440"/>
        </w:tabs>
        <w:spacing w:after="60"/>
        <w:ind w:left="1440" w:right="720"/>
      </w:pPr>
      <w:r>
        <w:rPr>
          <w:rFonts w:ascii="Tahoma" w:hAnsi="Tahoma" w:cs="Tahoma"/>
          <w:sz w:val="18"/>
        </w:rPr>
        <w:t>Open Value</w:t>
      </w:r>
    </w:p>
    <w:p w:rsidR="008D4EE5" w:rsidRPr="0062435A" w:rsidRDefault="008D4EE5" w:rsidP="008D4EE5">
      <w:pPr>
        <w:pStyle w:val="AppendixBulletIndent"/>
        <w:numPr>
          <w:ilvl w:val="0"/>
          <w:numId w:val="60"/>
        </w:numPr>
        <w:tabs>
          <w:tab w:val="clear" w:pos="360"/>
          <w:tab w:val="num" w:pos="1440"/>
        </w:tabs>
        <w:spacing w:after="60"/>
        <w:ind w:left="1440" w:right="720"/>
      </w:pPr>
      <w:r>
        <w:rPr>
          <w:rFonts w:ascii="Tahoma" w:hAnsi="Tahoma" w:cs="Tahoma"/>
          <w:sz w:val="18"/>
        </w:rPr>
        <w:t>Open Value Subscription</w:t>
      </w:r>
    </w:p>
    <w:p w:rsidR="008D4EE5" w:rsidRPr="0062435A" w:rsidRDefault="008D4EE5" w:rsidP="008D4EE5">
      <w:pPr>
        <w:pStyle w:val="AppendixBulletIndent"/>
        <w:numPr>
          <w:ilvl w:val="0"/>
          <w:numId w:val="60"/>
        </w:numPr>
        <w:tabs>
          <w:tab w:val="clear" w:pos="360"/>
          <w:tab w:val="num" w:pos="1440"/>
        </w:tabs>
        <w:spacing w:after="60"/>
        <w:ind w:left="1440" w:right="720"/>
      </w:pPr>
      <w:r>
        <w:rPr>
          <w:rFonts w:ascii="Tahoma" w:hAnsi="Tahoma" w:cs="Tahoma"/>
          <w:sz w:val="18"/>
        </w:rPr>
        <w:t xml:space="preserve">Select </w:t>
      </w:r>
    </w:p>
    <w:p w:rsidR="008D4EE5" w:rsidRPr="0062435A" w:rsidRDefault="008D4EE5" w:rsidP="008D4EE5">
      <w:pPr>
        <w:pStyle w:val="AppendixBulletIndent"/>
        <w:numPr>
          <w:ilvl w:val="0"/>
          <w:numId w:val="60"/>
        </w:numPr>
        <w:tabs>
          <w:tab w:val="clear" w:pos="360"/>
          <w:tab w:val="num" w:pos="1440"/>
        </w:tabs>
        <w:spacing w:after="60"/>
        <w:ind w:left="1440" w:right="720"/>
      </w:pPr>
      <w:r>
        <w:rPr>
          <w:rFonts w:ascii="Tahoma" w:hAnsi="Tahoma" w:cs="Tahoma"/>
          <w:sz w:val="18"/>
        </w:rPr>
        <w:t>Select Plus</w:t>
      </w:r>
    </w:p>
    <w:p w:rsidR="008D4EE5" w:rsidRPr="0062435A" w:rsidRDefault="008D4EE5" w:rsidP="008D4EE5">
      <w:pPr>
        <w:pStyle w:val="AppendixBulletIndent"/>
        <w:numPr>
          <w:ilvl w:val="0"/>
          <w:numId w:val="60"/>
        </w:numPr>
        <w:tabs>
          <w:tab w:val="clear" w:pos="360"/>
          <w:tab w:val="num" w:pos="1440"/>
        </w:tabs>
        <w:spacing w:after="60"/>
        <w:ind w:left="1440" w:right="720"/>
      </w:pPr>
      <w:r>
        <w:rPr>
          <w:rFonts w:ascii="Tahoma" w:hAnsi="Tahoma" w:cs="Tahoma"/>
          <w:sz w:val="18"/>
        </w:rPr>
        <w:t>School-Vertrag</w:t>
      </w:r>
    </w:p>
    <w:p w:rsidR="008D4EE5" w:rsidRPr="0062435A" w:rsidRDefault="008D4EE5" w:rsidP="008D4EE5">
      <w:pPr>
        <w:pStyle w:val="AppendixBulletIndent"/>
        <w:numPr>
          <w:ilvl w:val="0"/>
          <w:numId w:val="60"/>
        </w:numPr>
        <w:tabs>
          <w:tab w:val="clear" w:pos="360"/>
          <w:tab w:val="num" w:pos="1440"/>
        </w:tabs>
        <w:spacing w:after="60"/>
        <w:ind w:left="1440" w:right="720"/>
      </w:pPr>
      <w:r>
        <w:rPr>
          <w:rFonts w:ascii="Tahoma" w:hAnsi="Tahoma" w:cs="Tahoma"/>
          <w:sz w:val="18"/>
        </w:rPr>
        <w:t>ESS</w:t>
      </w:r>
    </w:p>
    <w:p w:rsidR="008D4EE5" w:rsidRPr="0062435A" w:rsidRDefault="008D4EE5" w:rsidP="008D4EE5">
      <w:pPr>
        <w:pStyle w:val="AppendixBulletIndent"/>
        <w:numPr>
          <w:ilvl w:val="0"/>
          <w:numId w:val="60"/>
        </w:numPr>
        <w:tabs>
          <w:tab w:val="clear" w:pos="360"/>
          <w:tab w:val="num" w:pos="1440"/>
        </w:tabs>
        <w:spacing w:after="60"/>
        <w:ind w:left="1440" w:right="720"/>
      </w:pPr>
      <w:r>
        <w:rPr>
          <w:rFonts w:ascii="Tahoma" w:hAnsi="Tahoma" w:cs="Tahoma"/>
          <w:sz w:val="18"/>
        </w:rPr>
        <w:t>Konzernvertrag</w:t>
      </w:r>
    </w:p>
    <w:p w:rsidR="008D4EE5" w:rsidRPr="0062435A" w:rsidRDefault="008D4EE5" w:rsidP="008D4EE5">
      <w:pPr>
        <w:pStyle w:val="AppendixBulletIndent"/>
        <w:numPr>
          <w:ilvl w:val="0"/>
          <w:numId w:val="60"/>
        </w:numPr>
        <w:tabs>
          <w:tab w:val="clear" w:pos="360"/>
          <w:tab w:val="num" w:pos="1440"/>
        </w:tabs>
        <w:ind w:left="1440" w:right="720"/>
      </w:pPr>
      <w:r>
        <w:rPr>
          <w:rFonts w:ascii="Tahoma" w:hAnsi="Tahoma" w:cs="Tahoma"/>
          <w:sz w:val="18"/>
        </w:rPr>
        <w:t>Konzern-Abonnement-Vertrag</w:t>
      </w:r>
    </w:p>
    <w:p w:rsidR="008D4EE5" w:rsidRPr="00BF6926" w:rsidRDefault="008D4EE5" w:rsidP="00BF6926">
      <w:pPr>
        <w:pStyle w:val="AppendixIndent"/>
        <w:spacing w:before="0" w:line="216" w:lineRule="auto"/>
        <w:ind w:left="0" w:right="720"/>
        <w:rPr>
          <w:rFonts w:ascii="Tahoma" w:hAnsi="Tahoma" w:cs="Tahoma"/>
          <w:sz w:val="18"/>
          <w:szCs w:val="18"/>
        </w:rPr>
      </w:pPr>
    </w:p>
    <w:p w:rsidR="008D4EE5" w:rsidRPr="009123CB" w:rsidRDefault="008D4EE5" w:rsidP="008D4EE5">
      <w:pPr>
        <w:pStyle w:val="AppendixIndent"/>
        <w:spacing w:before="0"/>
        <w:ind w:left="0" w:right="720"/>
        <w:rPr>
          <w:lang w:val="de-DE"/>
        </w:rPr>
      </w:pPr>
      <w:r w:rsidRPr="009123CB">
        <w:rPr>
          <w:rFonts w:ascii="Tahoma" w:hAnsi="Tahoma" w:cs="Tahoma"/>
          <w:sz w:val="18"/>
          <w:lang w:val="de-DE"/>
        </w:rPr>
        <w:t>Der Kunde muss über eine qualifizierende, zugrunde liegende Desktop-Betriebssystemlizenz verfügen, bevor er das Upgrade erwerben darf</w:t>
      </w:r>
      <w:r w:rsidR="006257A7">
        <w:rPr>
          <w:rFonts w:ascii="Tahoma" w:hAnsi="Tahoma" w:cs="Tahoma"/>
          <w:sz w:val="18"/>
          <w:lang w:val="de-DE"/>
        </w:rPr>
        <w:t xml:space="preserve">. </w:t>
      </w:r>
      <w:r w:rsidRPr="009123CB">
        <w:rPr>
          <w:rFonts w:ascii="Tahoma" w:hAnsi="Tahoma" w:cs="Tahoma"/>
          <w:sz w:val="18"/>
          <w:lang w:val="de-DE"/>
        </w:rPr>
        <w:t>Software Assurance muss zeitgleich mit dem entsprechenden Upgrade erworben werden, außer im Fall von Abonnementprogrammen, bei denen das Upgrade bei Verlängerung einer bestehenden Software Assurance-Laufzeit erworben werden muss</w:t>
      </w:r>
      <w:r w:rsidR="006257A7">
        <w:rPr>
          <w:rFonts w:ascii="Tahoma" w:hAnsi="Tahoma" w:cs="Tahoma"/>
          <w:sz w:val="18"/>
          <w:lang w:val="de-DE"/>
        </w:rPr>
        <w:t xml:space="preserve">. </w:t>
      </w:r>
    </w:p>
    <w:p w:rsidR="008D4EE5" w:rsidRPr="00BF6926" w:rsidRDefault="008D4EE5" w:rsidP="00BF6926">
      <w:pPr>
        <w:pStyle w:val="AppendixIndent"/>
        <w:spacing w:before="0" w:line="216" w:lineRule="auto"/>
        <w:ind w:left="0" w:right="720"/>
        <w:rPr>
          <w:rFonts w:ascii="Tahoma" w:hAnsi="Tahoma" w:cs="Tahoma"/>
          <w:sz w:val="18"/>
          <w:szCs w:val="18"/>
          <w:lang w:val="de-DE"/>
        </w:rPr>
      </w:pPr>
    </w:p>
    <w:p w:rsidR="008D4EE5" w:rsidRPr="009123CB" w:rsidRDefault="008D4EE5" w:rsidP="008D4EE5">
      <w:pPr>
        <w:pStyle w:val="Heading2"/>
        <w:ind w:left="0" w:right="720"/>
        <w:rPr>
          <w:lang w:val="de-DE"/>
        </w:rPr>
      </w:pPr>
      <w:bookmarkStart w:id="660" w:name="_Toc323819656"/>
      <w:bookmarkStart w:id="661" w:name="_Toc336338206"/>
      <w:bookmarkStart w:id="662" w:name="_Toc363998943"/>
      <w:r w:rsidRPr="009123CB">
        <w:rPr>
          <w:rFonts w:ascii="Tahoma" w:hAnsi="Tahoma" w:cs="Tahoma"/>
          <w:lang w:val="de-DE"/>
        </w:rPr>
        <w:t>Work-at-Home-Lizenzen</w:t>
      </w:r>
      <w:bookmarkEnd w:id="660"/>
      <w:bookmarkEnd w:id="661"/>
      <w:bookmarkEnd w:id="662"/>
    </w:p>
    <w:p w:rsidR="008D4EE5" w:rsidRPr="00BF6926" w:rsidRDefault="008D4EE5" w:rsidP="00BF6926">
      <w:pPr>
        <w:spacing w:line="216" w:lineRule="auto"/>
        <w:ind w:right="720"/>
        <w:rPr>
          <w:rFonts w:cs="Tahoma"/>
          <w:szCs w:val="18"/>
          <w:lang w:val="de-DE"/>
        </w:rPr>
      </w:pPr>
    </w:p>
    <w:p w:rsidR="008D4EE5" w:rsidRPr="009123CB" w:rsidRDefault="008D4EE5" w:rsidP="008D4EE5">
      <w:pPr>
        <w:pStyle w:val="AppendixIndent"/>
        <w:spacing w:before="0"/>
        <w:ind w:left="0" w:right="720"/>
        <w:rPr>
          <w:lang w:val="de-DE"/>
        </w:rPr>
      </w:pPr>
      <w:r w:rsidRPr="009123CB">
        <w:rPr>
          <w:rFonts w:ascii="Tahoma" w:hAnsi="Tahoma" w:cs="Tahoma"/>
          <w:sz w:val="18"/>
          <w:lang w:val="de-DE"/>
        </w:rPr>
        <w:t>Für die folgenden Programme verfügbar:</w:t>
      </w:r>
    </w:p>
    <w:p w:rsidR="008D4EE5" w:rsidRPr="00BF6926" w:rsidRDefault="008D4EE5" w:rsidP="00BF6926">
      <w:pPr>
        <w:pStyle w:val="AppendixBulletIndent"/>
        <w:spacing w:line="216" w:lineRule="auto"/>
        <w:ind w:left="0" w:right="720" w:firstLine="0"/>
        <w:rPr>
          <w:rFonts w:ascii="Tahoma" w:hAnsi="Tahoma" w:cs="Tahoma"/>
          <w:sz w:val="18"/>
          <w:szCs w:val="18"/>
          <w:lang w:val="de-DE"/>
        </w:rPr>
      </w:pPr>
    </w:p>
    <w:p w:rsidR="008D4EE5" w:rsidRPr="0062435A" w:rsidRDefault="008D4EE5" w:rsidP="008D4EE5">
      <w:pPr>
        <w:pStyle w:val="AppendixBulletIndent"/>
        <w:numPr>
          <w:ilvl w:val="0"/>
          <w:numId w:val="62"/>
        </w:numPr>
        <w:tabs>
          <w:tab w:val="clear" w:pos="360"/>
          <w:tab w:val="num" w:pos="1440"/>
        </w:tabs>
        <w:spacing w:after="60"/>
        <w:ind w:left="1440" w:right="720"/>
      </w:pPr>
      <w:r>
        <w:rPr>
          <w:rFonts w:ascii="Tahoma" w:hAnsi="Tahoma" w:cs="Tahoma"/>
          <w:sz w:val="18"/>
        </w:rPr>
        <w:t xml:space="preserve">Select </w:t>
      </w:r>
    </w:p>
    <w:p w:rsidR="008D4EE5" w:rsidRPr="0062435A" w:rsidRDefault="008D4EE5" w:rsidP="008D4EE5">
      <w:pPr>
        <w:pStyle w:val="AppendixBulletIndent"/>
        <w:numPr>
          <w:ilvl w:val="0"/>
          <w:numId w:val="62"/>
        </w:numPr>
        <w:tabs>
          <w:tab w:val="clear" w:pos="360"/>
          <w:tab w:val="num" w:pos="1440"/>
        </w:tabs>
        <w:spacing w:after="60"/>
        <w:ind w:left="1440" w:right="720"/>
      </w:pPr>
      <w:r>
        <w:rPr>
          <w:rFonts w:ascii="Tahoma" w:hAnsi="Tahoma" w:cs="Tahoma"/>
          <w:sz w:val="18"/>
        </w:rPr>
        <w:t>Select Plus</w:t>
      </w:r>
    </w:p>
    <w:p w:rsidR="008D4EE5" w:rsidRPr="0062435A" w:rsidRDefault="008D4EE5" w:rsidP="008D4EE5">
      <w:pPr>
        <w:pStyle w:val="AppendixBulletIndent"/>
        <w:numPr>
          <w:ilvl w:val="0"/>
          <w:numId w:val="62"/>
        </w:numPr>
        <w:tabs>
          <w:tab w:val="clear" w:pos="360"/>
          <w:tab w:val="num" w:pos="1440"/>
        </w:tabs>
        <w:ind w:left="1440" w:right="720"/>
      </w:pPr>
      <w:r>
        <w:rPr>
          <w:rFonts w:ascii="Tahoma" w:hAnsi="Tahoma" w:cs="Tahoma"/>
          <w:sz w:val="18"/>
        </w:rPr>
        <w:t>Konzernvertrag</w:t>
      </w:r>
    </w:p>
    <w:p w:rsidR="008D4EE5" w:rsidRPr="00BF6926" w:rsidRDefault="008D4EE5" w:rsidP="00BF6926">
      <w:pPr>
        <w:pStyle w:val="AppendixBulletIndent"/>
        <w:spacing w:line="216" w:lineRule="auto"/>
        <w:ind w:left="0" w:right="720" w:firstLine="0"/>
        <w:rPr>
          <w:rFonts w:ascii="Tahoma" w:hAnsi="Tahoma" w:cs="Tahoma"/>
          <w:sz w:val="18"/>
          <w:szCs w:val="18"/>
        </w:rPr>
      </w:pPr>
    </w:p>
    <w:p w:rsidR="008D4EE5" w:rsidRPr="009123CB" w:rsidRDefault="008D4EE5" w:rsidP="008D4EE5">
      <w:pPr>
        <w:rPr>
          <w:lang w:val="de-DE"/>
        </w:rPr>
      </w:pPr>
      <w:r w:rsidRPr="009123CB">
        <w:rPr>
          <w:lang w:val="de-DE"/>
        </w:rPr>
        <w:t>Eine Work-at-Home-Lizenz kann nur in Verbindung mit einem Produkt erworben werde, für dessen Nutzung auf einem At-Work-Desktop eine Lizenz vorhanden ist</w:t>
      </w:r>
      <w:r w:rsidR="006257A7">
        <w:rPr>
          <w:lang w:val="de-DE"/>
        </w:rPr>
        <w:t xml:space="preserve">. </w:t>
      </w:r>
      <w:r w:rsidRPr="009123CB">
        <w:rPr>
          <w:lang w:val="de-DE"/>
        </w:rPr>
        <w:t>Das Work-at-Home-Angebot ist kein Angebot im Rahmen eines Employee Purchase Program</w:t>
      </w:r>
      <w:r w:rsidR="006257A7">
        <w:rPr>
          <w:lang w:val="de-DE"/>
        </w:rPr>
        <w:t xml:space="preserve">. </w:t>
      </w:r>
      <w:r w:rsidRPr="009123CB">
        <w:rPr>
          <w:lang w:val="de-DE"/>
        </w:rPr>
        <w:t>Die Rechte an der Work-at-Home-Lizenz verbleiben beim Select-, Select Plus- oder Konzernvertragskunden (nicht beim Mitarbeiter)</w:t>
      </w:r>
      <w:r w:rsidR="006257A7">
        <w:rPr>
          <w:lang w:val="de-DE"/>
        </w:rPr>
        <w:t xml:space="preserve">. </w:t>
      </w:r>
      <w:r w:rsidRPr="009123CB">
        <w:rPr>
          <w:lang w:val="de-DE"/>
        </w:rPr>
        <w:t>Weitere Informationen zu den Work-at-Home-Rechten, die berechtigten Kunden akademischer Einrichtungen zur Verfügung stehen, finden Sie im Vertrag/Beitritt</w:t>
      </w:r>
      <w:r w:rsidR="006257A7">
        <w:rPr>
          <w:lang w:val="de-DE"/>
        </w:rPr>
        <w:t xml:space="preserve">. </w:t>
      </w:r>
    </w:p>
    <w:p w:rsidR="008D4EE5" w:rsidRPr="009123CB" w:rsidRDefault="008D4EE5" w:rsidP="00BF6926">
      <w:pPr>
        <w:pStyle w:val="Heading1"/>
        <w:spacing w:before="0"/>
        <w:rPr>
          <w:lang w:val="de-DE"/>
        </w:rPr>
      </w:pPr>
      <w:bookmarkStart w:id="663" w:name="_Section_5_–"/>
      <w:bookmarkStart w:id="664" w:name="_Abschnitt_5_–"/>
      <w:bookmarkStart w:id="665" w:name="_Toc336338207"/>
      <w:bookmarkStart w:id="666" w:name="_Toc363998944"/>
      <w:bookmarkEnd w:id="663"/>
      <w:bookmarkEnd w:id="664"/>
      <w:r w:rsidRPr="009123CB">
        <w:rPr>
          <w:lang w:val="de-DE"/>
        </w:rPr>
        <w:t>Abschnitt 5 –</w:t>
      </w:r>
      <w:bookmarkStart w:id="667" w:name="Sect5_OnlineServices"/>
      <w:r w:rsidRPr="009123CB">
        <w:rPr>
          <w:lang w:val="de-DE"/>
        </w:rPr>
        <w:t xml:space="preserve"> PREISE FÜR ONLINEDIENSTE, ZAHLUNG und Ergänzende BESTIMMUNGEN</w:t>
      </w:r>
      <w:bookmarkEnd w:id="665"/>
      <w:bookmarkEnd w:id="666"/>
      <w:bookmarkEnd w:id="667"/>
    </w:p>
    <w:p w:rsidR="008D4EE5" w:rsidRPr="009123CB" w:rsidRDefault="008D4EE5" w:rsidP="008D71A1">
      <w:pPr>
        <w:spacing w:line="192" w:lineRule="auto"/>
        <w:outlineLvl w:val="2"/>
        <w:rPr>
          <w:lang w:val="de-DE"/>
        </w:rPr>
      </w:pPr>
    </w:p>
    <w:p w:rsidR="008D4EE5" w:rsidRPr="009123CB" w:rsidRDefault="008D4EE5" w:rsidP="008D4EE5">
      <w:pPr>
        <w:pStyle w:val="Heading2"/>
        <w:ind w:left="0"/>
        <w:rPr>
          <w:lang w:val="de-DE"/>
        </w:rPr>
      </w:pPr>
      <w:bookmarkStart w:id="668" w:name="_Toc363998945"/>
      <w:r w:rsidRPr="009123CB">
        <w:rPr>
          <w:rFonts w:ascii="Tahoma" w:hAnsi="Tahoma" w:cs="Tahoma"/>
          <w:sz w:val="32"/>
          <w:lang w:val="de-DE"/>
        </w:rPr>
        <w:t>Preise und Zahlungsbestimmungen für Onlinedienste</w:t>
      </w:r>
      <w:bookmarkEnd w:id="668"/>
    </w:p>
    <w:p w:rsidR="008D4EE5" w:rsidRPr="009123CB" w:rsidRDefault="008D4EE5" w:rsidP="008D71A1">
      <w:pPr>
        <w:spacing w:line="192" w:lineRule="auto"/>
        <w:outlineLvl w:val="2"/>
        <w:rPr>
          <w:lang w:val="de-DE"/>
        </w:rPr>
      </w:pPr>
    </w:p>
    <w:p w:rsidR="008D4EE5" w:rsidRPr="00F11DE6" w:rsidRDefault="008D4EE5" w:rsidP="00F11DE6">
      <w:pPr>
        <w:outlineLvl w:val="2"/>
        <w:rPr>
          <w:lang w:val="de-DE"/>
        </w:rPr>
      </w:pPr>
      <w:r w:rsidRPr="009123CB">
        <w:rPr>
          <w:rFonts w:cs="Tahoma"/>
          <w:szCs w:val="18"/>
          <w:lang w:val="de-DE"/>
        </w:rPr>
        <w:t>Onlinedienste sind Produkte, die aus Software mit auf Abonnementbasis erhältlichen Diensten bestehen, wie in den</w:t>
      </w:r>
      <w:r w:rsidR="00F11DE6">
        <w:rPr>
          <w:rFonts w:cs="Tahoma"/>
          <w:szCs w:val="18"/>
          <w:lang w:val="de-DE"/>
        </w:rPr>
        <w:t> </w:t>
      </w:r>
      <w:r w:rsidRPr="009123CB">
        <w:rPr>
          <w:rFonts w:cs="Tahoma"/>
          <w:szCs w:val="18"/>
          <w:lang w:val="de-DE"/>
        </w:rPr>
        <w:t>Produktbenutzungsrechten beschrieben, und online zur Verfügung gestellt werden</w:t>
      </w:r>
      <w:r w:rsidR="006257A7">
        <w:rPr>
          <w:rFonts w:cs="Tahoma"/>
          <w:szCs w:val="18"/>
          <w:lang w:val="de-DE"/>
        </w:rPr>
        <w:t xml:space="preserve">. </w:t>
      </w:r>
      <w:r w:rsidRPr="009123CB">
        <w:rPr>
          <w:rFonts w:cs="Tahoma"/>
          <w:szCs w:val="18"/>
          <w:lang w:val="de-DE"/>
        </w:rPr>
        <w:t>In einigen Volumenlizenzverträgen werden Kunden auf die Produktliste verwiesen, um eine Liste der verfügbaren „Onlinedienste“ zu erhalten</w:t>
      </w:r>
      <w:r w:rsidR="006257A7">
        <w:rPr>
          <w:rFonts w:cs="Tahoma"/>
          <w:szCs w:val="18"/>
          <w:lang w:val="de-DE"/>
        </w:rPr>
        <w:t xml:space="preserve">. </w:t>
      </w:r>
      <w:r w:rsidRPr="00F11DE6">
        <w:rPr>
          <w:rFonts w:cs="Tahoma"/>
          <w:szCs w:val="18"/>
          <w:lang w:val="de-DE"/>
        </w:rPr>
        <w:t>Im Sinne dieses Verweises umfassen Onlinedienste Folgendes:</w:t>
      </w:r>
    </w:p>
    <w:p w:rsidR="008D4EE5" w:rsidRPr="00F11DE6" w:rsidRDefault="008D4EE5" w:rsidP="008D71A1">
      <w:pPr>
        <w:spacing w:line="192" w:lineRule="auto"/>
        <w:outlineLvl w:val="2"/>
        <w:rPr>
          <w:lang w:val="de-DE"/>
        </w:rPr>
      </w:pPr>
    </w:p>
    <w:p w:rsidR="008D4EE5" w:rsidRPr="0062435A" w:rsidRDefault="008D4EE5" w:rsidP="008D71A1">
      <w:pPr>
        <w:numPr>
          <w:ilvl w:val="0"/>
          <w:numId w:val="67"/>
        </w:numPr>
        <w:spacing w:after="60" w:line="228" w:lineRule="auto"/>
      </w:pPr>
      <w:r>
        <w:rPr>
          <w:rFonts w:eastAsia="Calibri" w:cs="Tahoma"/>
          <w:color w:val="000000"/>
          <w:szCs w:val="18"/>
        </w:rPr>
        <w:t>Microsoft Dynamics CRM Online</w:t>
      </w:r>
    </w:p>
    <w:p w:rsidR="008D4EE5" w:rsidRPr="009123CB" w:rsidRDefault="008D4EE5" w:rsidP="008D71A1">
      <w:pPr>
        <w:numPr>
          <w:ilvl w:val="0"/>
          <w:numId w:val="67"/>
        </w:numPr>
        <w:spacing w:after="60" w:line="228" w:lineRule="auto"/>
        <w:rPr>
          <w:lang w:val="de-DE"/>
        </w:rPr>
      </w:pPr>
      <w:r w:rsidRPr="009123CB">
        <w:rPr>
          <w:rFonts w:eastAsia="Calibri" w:cs="Tahoma"/>
          <w:color w:val="000000"/>
          <w:szCs w:val="18"/>
          <w:lang w:val="de-DE"/>
        </w:rPr>
        <w:t>Exchange Online-Archivierung für Exchange Server</w:t>
      </w:r>
    </w:p>
    <w:p w:rsidR="008D4EE5" w:rsidRPr="009123CB" w:rsidRDefault="008D4EE5" w:rsidP="008D71A1">
      <w:pPr>
        <w:numPr>
          <w:ilvl w:val="0"/>
          <w:numId w:val="67"/>
        </w:numPr>
        <w:spacing w:after="60" w:line="228" w:lineRule="auto"/>
        <w:rPr>
          <w:lang w:val="de-DE"/>
        </w:rPr>
      </w:pPr>
      <w:r w:rsidRPr="009123CB">
        <w:rPr>
          <w:rFonts w:eastAsia="Calibri" w:cs="Tahoma"/>
          <w:color w:val="000000"/>
          <w:szCs w:val="18"/>
          <w:lang w:val="de-DE"/>
        </w:rPr>
        <w:t xml:space="preserve">Exchange Online Kiosk, Plan 1 und Plan 2 </w:t>
      </w:r>
    </w:p>
    <w:p w:rsidR="008D4EE5" w:rsidRPr="0062435A" w:rsidRDefault="008D4EE5" w:rsidP="008D71A1">
      <w:pPr>
        <w:numPr>
          <w:ilvl w:val="0"/>
          <w:numId w:val="67"/>
        </w:numPr>
        <w:spacing w:after="60" w:line="228" w:lineRule="auto"/>
      </w:pPr>
      <w:r>
        <w:rPr>
          <w:rFonts w:eastAsia="Calibri" w:cs="Tahoma"/>
          <w:color w:val="000000"/>
          <w:szCs w:val="18"/>
        </w:rPr>
        <w:t>Lync Online Plan 1, 2 und 3</w:t>
      </w:r>
    </w:p>
    <w:p w:rsidR="008D4EE5" w:rsidRPr="0062435A" w:rsidRDefault="008D4EE5" w:rsidP="008D71A1">
      <w:pPr>
        <w:numPr>
          <w:ilvl w:val="0"/>
          <w:numId w:val="67"/>
        </w:numPr>
        <w:spacing w:after="60" w:line="228" w:lineRule="auto"/>
      </w:pPr>
      <w:r>
        <w:rPr>
          <w:rFonts w:eastAsia="Calibri" w:cs="Tahoma"/>
          <w:color w:val="000000"/>
          <w:szCs w:val="18"/>
        </w:rPr>
        <w:t>Microsoft Exchange Hosted Continuity</w:t>
      </w:r>
    </w:p>
    <w:p w:rsidR="008D4EE5" w:rsidRPr="0062435A" w:rsidRDefault="008D4EE5" w:rsidP="008D71A1">
      <w:pPr>
        <w:numPr>
          <w:ilvl w:val="0"/>
          <w:numId w:val="67"/>
        </w:numPr>
        <w:spacing w:after="60" w:line="228" w:lineRule="auto"/>
      </w:pPr>
      <w:r>
        <w:rPr>
          <w:rFonts w:eastAsia="Calibri" w:cs="Tahoma"/>
          <w:color w:val="000000"/>
          <w:szCs w:val="18"/>
        </w:rPr>
        <w:t>Microsoft Exchange Hosted Encryption</w:t>
      </w:r>
    </w:p>
    <w:p w:rsidR="008D4EE5" w:rsidRPr="009123CB" w:rsidRDefault="008D4EE5" w:rsidP="008D71A1">
      <w:pPr>
        <w:numPr>
          <w:ilvl w:val="0"/>
          <w:numId w:val="67"/>
        </w:numPr>
        <w:spacing w:after="60" w:line="228" w:lineRule="auto"/>
        <w:rPr>
          <w:lang w:val="it-IT"/>
        </w:rPr>
      </w:pPr>
      <w:r w:rsidRPr="009123CB">
        <w:rPr>
          <w:rFonts w:eastAsia="Calibri" w:cs="Tahoma"/>
          <w:color w:val="000000"/>
          <w:szCs w:val="18"/>
          <w:lang w:val="it-IT"/>
        </w:rPr>
        <w:t>Office 365 Enterprise K1, E1, E3 und E4</w:t>
      </w:r>
    </w:p>
    <w:p w:rsidR="008D4EE5" w:rsidRPr="0062435A" w:rsidRDefault="008D4EE5" w:rsidP="008D71A1">
      <w:pPr>
        <w:numPr>
          <w:ilvl w:val="0"/>
          <w:numId w:val="67"/>
        </w:numPr>
        <w:spacing w:after="60" w:line="228" w:lineRule="auto"/>
      </w:pPr>
      <w:r>
        <w:rPr>
          <w:rFonts w:eastAsia="Calibri" w:cs="Tahoma"/>
          <w:color w:val="000000"/>
          <w:szCs w:val="18"/>
        </w:rPr>
        <w:t>Lync Server Public Instant Messaging Connectivity mit America Online (AOL) Instant Messaging Service und Windows Live Messenger Service</w:t>
      </w:r>
    </w:p>
    <w:p w:rsidR="008D4EE5" w:rsidRPr="0062435A" w:rsidRDefault="008D4EE5" w:rsidP="008D71A1">
      <w:pPr>
        <w:numPr>
          <w:ilvl w:val="0"/>
          <w:numId w:val="67"/>
        </w:numPr>
        <w:spacing w:after="60" w:line="228" w:lineRule="auto"/>
      </w:pPr>
      <w:r>
        <w:rPr>
          <w:rFonts w:eastAsia="Calibri" w:cs="Tahoma"/>
          <w:color w:val="000000"/>
          <w:szCs w:val="18"/>
        </w:rPr>
        <w:t xml:space="preserve">Lync Server Public Instant Messaging Connectivity mit Instant Messaging Service von Yahoo </w:t>
      </w:r>
    </w:p>
    <w:p w:rsidR="008D4EE5" w:rsidRPr="0062435A" w:rsidRDefault="008D4EE5" w:rsidP="008D71A1">
      <w:pPr>
        <w:numPr>
          <w:ilvl w:val="0"/>
          <w:numId w:val="67"/>
        </w:numPr>
        <w:spacing w:after="60" w:line="228" w:lineRule="auto"/>
      </w:pPr>
      <w:r>
        <w:rPr>
          <w:rFonts w:eastAsia="Calibri" w:cs="Tahoma"/>
          <w:color w:val="000000"/>
          <w:szCs w:val="18"/>
        </w:rPr>
        <w:t xml:space="preserve">Office Groove Enterprise Services </w:t>
      </w:r>
    </w:p>
    <w:p w:rsidR="008D4EE5" w:rsidRPr="0062435A" w:rsidRDefault="008D4EE5" w:rsidP="008D71A1">
      <w:pPr>
        <w:numPr>
          <w:ilvl w:val="0"/>
          <w:numId w:val="67"/>
        </w:numPr>
        <w:spacing w:after="60" w:line="228" w:lineRule="auto"/>
      </w:pPr>
      <w:r>
        <w:rPr>
          <w:rFonts w:eastAsia="Calibri" w:cs="Tahoma"/>
          <w:color w:val="000000"/>
          <w:szCs w:val="18"/>
        </w:rPr>
        <w:t>Office 365 ProPlus</w:t>
      </w:r>
    </w:p>
    <w:p w:rsidR="008D4EE5" w:rsidRPr="0062435A" w:rsidRDefault="008D4EE5" w:rsidP="008D71A1">
      <w:pPr>
        <w:numPr>
          <w:ilvl w:val="0"/>
          <w:numId w:val="67"/>
        </w:numPr>
        <w:spacing w:after="60" w:line="228" w:lineRule="auto"/>
      </w:pPr>
      <w:r>
        <w:rPr>
          <w:rFonts w:eastAsia="Calibri" w:cs="Tahoma"/>
          <w:color w:val="000000"/>
          <w:szCs w:val="18"/>
        </w:rPr>
        <w:t>Office Live Meeting Standard und Professional Edition</w:t>
      </w:r>
    </w:p>
    <w:p w:rsidR="008D4EE5" w:rsidRPr="0062435A" w:rsidRDefault="008D4EE5" w:rsidP="008D71A1">
      <w:pPr>
        <w:numPr>
          <w:ilvl w:val="0"/>
          <w:numId w:val="67"/>
        </w:numPr>
        <w:spacing w:after="60" w:line="228" w:lineRule="auto"/>
      </w:pPr>
      <w:r>
        <w:rPr>
          <w:rFonts w:eastAsia="Calibri" w:cs="Tahoma"/>
          <w:color w:val="000000"/>
          <w:szCs w:val="18"/>
        </w:rPr>
        <w:t>Project Online</w:t>
      </w:r>
    </w:p>
    <w:p w:rsidR="008D4EE5" w:rsidRPr="0062435A" w:rsidRDefault="008D4EE5" w:rsidP="008D71A1">
      <w:pPr>
        <w:numPr>
          <w:ilvl w:val="0"/>
          <w:numId w:val="67"/>
        </w:numPr>
        <w:spacing w:after="60" w:line="228" w:lineRule="auto"/>
      </w:pPr>
      <w:r>
        <w:rPr>
          <w:rFonts w:eastAsia="Calibri" w:cs="Tahoma"/>
          <w:color w:val="000000"/>
          <w:szCs w:val="18"/>
        </w:rPr>
        <w:t>Project Pro für Office 365</w:t>
      </w:r>
    </w:p>
    <w:p w:rsidR="008D4EE5" w:rsidRPr="0062435A" w:rsidRDefault="008D4EE5" w:rsidP="008D71A1">
      <w:pPr>
        <w:numPr>
          <w:ilvl w:val="0"/>
          <w:numId w:val="67"/>
        </w:numPr>
        <w:spacing w:after="60" w:line="228" w:lineRule="auto"/>
      </w:pPr>
      <w:r>
        <w:rPr>
          <w:rFonts w:eastAsia="Calibri" w:cs="Tahoma"/>
          <w:color w:val="000000"/>
          <w:szCs w:val="18"/>
        </w:rPr>
        <w:t xml:space="preserve">SharePoint Online Plan 1 und Plan 2 </w:t>
      </w:r>
    </w:p>
    <w:p w:rsidR="008D4EE5" w:rsidRPr="0062435A" w:rsidRDefault="008D4EE5" w:rsidP="008D71A1">
      <w:pPr>
        <w:numPr>
          <w:ilvl w:val="0"/>
          <w:numId w:val="67"/>
        </w:numPr>
        <w:spacing w:after="60" w:line="228" w:lineRule="auto"/>
      </w:pPr>
      <w:r>
        <w:rPr>
          <w:rFonts w:eastAsia="Calibri" w:cs="Tahoma"/>
          <w:color w:val="000000"/>
          <w:szCs w:val="18"/>
        </w:rPr>
        <w:t>System Center Advisor</w:t>
      </w:r>
    </w:p>
    <w:p w:rsidR="008D4EE5" w:rsidRPr="0062435A" w:rsidRDefault="008D4EE5" w:rsidP="008D71A1">
      <w:pPr>
        <w:numPr>
          <w:ilvl w:val="0"/>
          <w:numId w:val="67"/>
        </w:numPr>
        <w:spacing w:after="60" w:line="228" w:lineRule="auto"/>
      </w:pPr>
      <w:r>
        <w:rPr>
          <w:rFonts w:eastAsia="Calibri" w:cs="Tahoma"/>
          <w:color w:val="000000"/>
          <w:szCs w:val="18"/>
        </w:rPr>
        <w:t>Visio Pro für Office 365</w:t>
      </w:r>
    </w:p>
    <w:p w:rsidR="008D4EE5" w:rsidRPr="0062435A" w:rsidRDefault="008D4EE5" w:rsidP="008D71A1">
      <w:pPr>
        <w:numPr>
          <w:ilvl w:val="0"/>
          <w:numId w:val="67"/>
        </w:numPr>
        <w:spacing w:after="60" w:line="228" w:lineRule="auto"/>
      </w:pPr>
      <w:r>
        <w:rPr>
          <w:rFonts w:eastAsia="Calibri" w:cs="Tahoma"/>
          <w:color w:val="000000"/>
          <w:szCs w:val="18"/>
        </w:rPr>
        <w:t>Windows Azure-Dienste</w:t>
      </w:r>
    </w:p>
    <w:p w:rsidR="008D4EE5" w:rsidRPr="0062435A" w:rsidRDefault="008D4EE5" w:rsidP="008D71A1">
      <w:pPr>
        <w:numPr>
          <w:ilvl w:val="0"/>
          <w:numId w:val="67"/>
        </w:numPr>
        <w:spacing w:after="60" w:line="228" w:lineRule="auto"/>
      </w:pPr>
      <w:r>
        <w:rPr>
          <w:rFonts w:eastAsia="Calibri" w:cs="Tahoma"/>
          <w:color w:val="000000"/>
          <w:szCs w:val="18"/>
        </w:rPr>
        <w:t>Windows Intune und Add-On für Windows Intune für System Center Configuration Manager und System Center Endpoint Protection</w:t>
      </w:r>
    </w:p>
    <w:p w:rsidR="008D4EE5" w:rsidRPr="0062435A" w:rsidRDefault="008D4EE5" w:rsidP="008D71A1">
      <w:pPr>
        <w:spacing w:line="192" w:lineRule="auto"/>
      </w:pPr>
    </w:p>
    <w:p w:rsidR="008D4EE5" w:rsidRPr="008D71A1" w:rsidRDefault="008D4EE5" w:rsidP="008D71A1">
      <w:pPr>
        <w:outlineLvl w:val="2"/>
        <w:rPr>
          <w:rFonts w:cs="Tahoma"/>
          <w:szCs w:val="18"/>
          <w:lang w:val="de-DE"/>
        </w:rPr>
      </w:pPr>
      <w:r w:rsidRPr="009123CB">
        <w:rPr>
          <w:rFonts w:cs="Tahoma"/>
          <w:szCs w:val="18"/>
          <w:lang w:val="de-DE"/>
        </w:rPr>
        <w:t>Zusätzlich zu den genannten gibt es weitere Angebote, die im Abschnitt „Onlinedienste“ der Produktbenutzungsrechte aufgeführt werden</w:t>
      </w:r>
      <w:r w:rsidR="006257A7">
        <w:rPr>
          <w:rFonts w:cs="Tahoma"/>
          <w:szCs w:val="18"/>
          <w:lang w:val="de-DE"/>
        </w:rPr>
        <w:t xml:space="preserve">. </w:t>
      </w:r>
      <w:r w:rsidRPr="009123CB">
        <w:rPr>
          <w:rFonts w:cs="Tahoma"/>
          <w:szCs w:val="18"/>
          <w:lang w:val="de-DE"/>
        </w:rPr>
        <w:t>Die übrigen Abschnitte dieser „Preise und Zahlungsbestimmungen für</w:t>
      </w:r>
      <w:r w:rsidR="008D71A1">
        <w:rPr>
          <w:rFonts w:cs="Tahoma"/>
          <w:szCs w:val="18"/>
          <w:lang w:val="de-DE"/>
        </w:rPr>
        <w:t> </w:t>
      </w:r>
      <w:r w:rsidRPr="009123CB">
        <w:rPr>
          <w:rFonts w:cs="Tahoma"/>
          <w:szCs w:val="18"/>
          <w:lang w:val="de-DE"/>
        </w:rPr>
        <w:t>Onlinedienste“ gelten für die oben namentlich genannten Onlinedienste und diese weiteren Angebote</w:t>
      </w:r>
      <w:r w:rsidR="006257A7">
        <w:rPr>
          <w:rFonts w:cs="Tahoma"/>
          <w:szCs w:val="18"/>
          <w:lang w:val="de-DE"/>
        </w:rPr>
        <w:t xml:space="preserve">. </w:t>
      </w:r>
    </w:p>
    <w:p w:rsidR="008D4EE5" w:rsidRPr="009123CB" w:rsidRDefault="008D4EE5" w:rsidP="008D71A1">
      <w:pPr>
        <w:spacing w:line="192" w:lineRule="auto"/>
        <w:outlineLvl w:val="2"/>
        <w:rPr>
          <w:lang w:val="de-DE"/>
        </w:rPr>
      </w:pPr>
    </w:p>
    <w:p w:rsidR="008D4EE5" w:rsidRPr="009123CB" w:rsidRDefault="008D4EE5" w:rsidP="008D4EE5">
      <w:pPr>
        <w:pStyle w:val="Heading2"/>
        <w:ind w:left="0"/>
        <w:rPr>
          <w:lang w:val="de-DE"/>
        </w:rPr>
      </w:pPr>
      <w:bookmarkStart w:id="669" w:name="_Toc336338208"/>
      <w:bookmarkStart w:id="670" w:name="_Toc363998946"/>
      <w:r w:rsidRPr="009123CB">
        <w:rPr>
          <w:rFonts w:ascii="Tahoma" w:hAnsi="Tahoma" w:cs="Tahoma"/>
          <w:lang w:val="de-DE"/>
        </w:rPr>
        <w:t>Laufzeit eines Onlinedienste-Abonnements</w:t>
      </w:r>
      <w:bookmarkEnd w:id="669"/>
      <w:bookmarkEnd w:id="670"/>
    </w:p>
    <w:p w:rsidR="008D4EE5" w:rsidRPr="009123CB" w:rsidRDefault="008D4EE5" w:rsidP="008D71A1">
      <w:pPr>
        <w:spacing w:line="192" w:lineRule="auto"/>
        <w:outlineLvl w:val="2"/>
        <w:rPr>
          <w:lang w:val="de-DE"/>
        </w:rPr>
      </w:pPr>
    </w:p>
    <w:p w:rsidR="008D4EE5" w:rsidRPr="008D71A1" w:rsidRDefault="008D4EE5" w:rsidP="008D71A1">
      <w:pPr>
        <w:spacing w:line="216" w:lineRule="auto"/>
        <w:outlineLvl w:val="2"/>
        <w:rPr>
          <w:rFonts w:cs="Tahoma"/>
          <w:szCs w:val="18"/>
          <w:lang w:val="de-DE"/>
        </w:rPr>
      </w:pPr>
      <w:r w:rsidRPr="009123CB">
        <w:rPr>
          <w:rFonts w:cs="Tahoma"/>
          <w:szCs w:val="18"/>
          <w:lang w:val="de-DE"/>
        </w:rPr>
        <w:t>Der erste Erwerb eines neuen Onlinedienste-Abonnements bestimmt die Laufzeitdauer des Abonnements</w:t>
      </w:r>
      <w:r w:rsidR="006257A7">
        <w:rPr>
          <w:rFonts w:cs="Tahoma"/>
          <w:szCs w:val="18"/>
          <w:lang w:val="de-DE"/>
        </w:rPr>
        <w:t xml:space="preserve">. </w:t>
      </w:r>
      <w:r w:rsidRPr="009123CB">
        <w:rPr>
          <w:rFonts w:cs="Tahoma"/>
          <w:szCs w:val="18"/>
          <w:lang w:val="de-DE"/>
        </w:rPr>
        <w:t>Bei einigen Diensten kann der Kunde entweder eine einjährige Abonnementlaufzeit oder ein Abonnement wählen, das am selben Datum wie der Vertrag des Kunden oder am Enddatum des Beitritts endet („identische Laufzeit“), wie in der Tabelle unten angegeben</w:t>
      </w:r>
      <w:r w:rsidR="006257A7">
        <w:rPr>
          <w:rFonts w:cs="Tahoma"/>
          <w:szCs w:val="18"/>
          <w:lang w:val="de-DE"/>
        </w:rPr>
        <w:t xml:space="preserve">. </w:t>
      </w:r>
      <w:r w:rsidRPr="009123CB">
        <w:rPr>
          <w:rFonts w:cs="Tahoma"/>
          <w:szCs w:val="18"/>
          <w:lang w:val="de-DE"/>
        </w:rPr>
        <w:t>Select Plus verfügt nicht über die Option der identischen Laufzeit, bietet dem Kunden jedoch die Wahl bei der Abonnementlaufzeit, darunter 1 Jahr oder 3 Jahre, sowie die Möglichkeit, die Laufzeit auf den 2</w:t>
      </w:r>
      <w:r w:rsidR="006257A7">
        <w:rPr>
          <w:rFonts w:cs="Tahoma"/>
          <w:szCs w:val="18"/>
          <w:lang w:val="de-DE"/>
        </w:rPr>
        <w:t xml:space="preserve">. </w:t>
      </w:r>
      <w:r w:rsidRPr="009123CB">
        <w:rPr>
          <w:rFonts w:cs="Tahoma"/>
          <w:szCs w:val="18"/>
          <w:lang w:val="de-DE"/>
        </w:rPr>
        <w:t>Jahrestag ab dem Startdatum der Laufzeit abzustimmen</w:t>
      </w:r>
      <w:r w:rsidR="006257A7">
        <w:rPr>
          <w:rFonts w:cs="Tahoma"/>
          <w:szCs w:val="18"/>
          <w:lang w:val="de-DE"/>
        </w:rPr>
        <w:t xml:space="preserve">. </w:t>
      </w:r>
      <w:r w:rsidRPr="009123CB">
        <w:rPr>
          <w:rFonts w:cs="Tahoma"/>
          <w:szCs w:val="18"/>
          <w:lang w:val="de-DE"/>
        </w:rPr>
        <w:t>Eine einjährige Abonnementlaufzeit kann möglicherweise nicht auf das Enddatum des Kundenvertrages abgestimmt werden und läuft womöglich nicht an diesem Tag ab</w:t>
      </w:r>
      <w:r w:rsidR="006257A7">
        <w:rPr>
          <w:rFonts w:cs="Tahoma"/>
          <w:szCs w:val="18"/>
          <w:lang w:val="de-DE"/>
        </w:rPr>
        <w:t xml:space="preserve">. </w:t>
      </w:r>
      <w:r w:rsidRPr="009123CB">
        <w:rPr>
          <w:rFonts w:cs="Tahoma"/>
          <w:szCs w:val="18"/>
          <w:lang w:val="de-DE"/>
        </w:rPr>
        <w:t>Wenn die einjährige Abonnementlaufzeit nach dem Vertrag endet, muss der Kunde über einen aktiven Volumenlizenzvertrag verfügen, um zusätzliche Lizenzen zu bestellen oder den Dienst verlängern zu können</w:t>
      </w:r>
      <w:r w:rsidR="006257A7">
        <w:rPr>
          <w:rFonts w:cs="Tahoma"/>
          <w:szCs w:val="18"/>
          <w:lang w:val="de-DE"/>
        </w:rPr>
        <w:t xml:space="preserve">. </w:t>
      </w:r>
      <w:r w:rsidRPr="009123CB">
        <w:rPr>
          <w:rFonts w:cs="Tahoma"/>
          <w:szCs w:val="18"/>
          <w:lang w:val="de-DE"/>
        </w:rPr>
        <w:t>Wenn der Kunde zusätzliche Dienste erwirbt, muss die Abonnementlaufzeit des zusätzlichen Erwerbs mit der bestehenden Abonnementlaufzeit des Kunden für denselben Service übereinstimmen</w:t>
      </w:r>
      <w:r w:rsidR="006257A7">
        <w:rPr>
          <w:rFonts w:cs="Tahoma"/>
          <w:szCs w:val="18"/>
          <w:lang w:val="de-DE"/>
        </w:rPr>
        <w:t xml:space="preserve">. </w:t>
      </w:r>
      <w:r w:rsidRPr="009123CB">
        <w:rPr>
          <w:rFonts w:cs="Tahoma"/>
          <w:szCs w:val="18"/>
          <w:lang w:val="de-DE"/>
        </w:rPr>
        <w:t>Wenn die Preise für zusätzliche Bestellungen von Produkten oder Diensten im vorhandenen Vertrag des Kunden nicht genannt werden, ist der Preis, den wir dem eingetragenen Rechnungsempfänger für zusätzliche Mengen von Diensten in Rechnung stellen, der gleiche Preis wie beim ersten Erwerb</w:t>
      </w:r>
      <w:r w:rsidR="006257A7">
        <w:rPr>
          <w:rFonts w:cs="Tahoma"/>
          <w:szCs w:val="18"/>
          <w:lang w:val="de-DE"/>
        </w:rPr>
        <w:t xml:space="preserve">. </w:t>
      </w:r>
      <w:r w:rsidRPr="009123CB">
        <w:rPr>
          <w:rFonts w:cs="Tahoma"/>
          <w:szCs w:val="18"/>
          <w:lang w:val="de-DE"/>
        </w:rPr>
        <w:t>Spezifische Informationen zu Windows Azure-Diensten finden Sie unten im Abschnitt „Windows Azure-Dienste“</w:t>
      </w:r>
      <w:r w:rsidR="006257A7">
        <w:rPr>
          <w:rFonts w:cs="Tahoma"/>
          <w:szCs w:val="18"/>
          <w:lang w:val="de-DE"/>
        </w:rPr>
        <w:t xml:space="preserve">. </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8D4EE5" w:rsidRPr="00FB51BA" w:rsidTr="00A67771">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8D4EE5" w:rsidRPr="009123CB" w:rsidRDefault="008D4EE5" w:rsidP="00A67771">
            <w:pPr>
              <w:jc w:val="center"/>
              <w:rPr>
                <w:rFonts w:eastAsia="Calibri" w:cs="Tahoma"/>
                <w:b/>
                <w:bCs/>
                <w:sz w:val="20"/>
                <w:szCs w:val="18"/>
                <w:lang w:val="de-DE"/>
              </w:rPr>
            </w:pPr>
            <w:r w:rsidRPr="009123CB">
              <w:rPr>
                <w:rFonts w:eastAsia="Calibri" w:cs="Tahoma"/>
                <w:b/>
                <w:bCs/>
                <w:sz w:val="20"/>
                <w:szCs w:val="18"/>
                <w:lang w:val="de-DE"/>
              </w:rPr>
              <w:t>Verfügbare Onlinedienste für ein Abonnement mit einer Laufzeit von einem Jahr oder mit identischer Laufzeit</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8D4EE5" w:rsidRPr="009123CB" w:rsidRDefault="008D4EE5" w:rsidP="00A67771">
            <w:pPr>
              <w:jc w:val="center"/>
              <w:rPr>
                <w:rFonts w:eastAsia="Calibri" w:cs="Tahoma"/>
                <w:b/>
                <w:bCs/>
                <w:sz w:val="20"/>
                <w:szCs w:val="18"/>
                <w:lang w:val="de-DE"/>
              </w:rPr>
            </w:pPr>
            <w:r w:rsidRPr="009123CB">
              <w:rPr>
                <w:rFonts w:eastAsia="Calibri" w:cs="Tahoma"/>
                <w:b/>
                <w:bCs/>
                <w:sz w:val="20"/>
                <w:szCs w:val="18"/>
                <w:lang w:val="de-DE"/>
              </w:rPr>
              <w:t>Verfügbare Onlinedienste nur für ein Abonnement mit identischer Laufzeit</w:t>
            </w:r>
          </w:p>
        </w:tc>
      </w:tr>
      <w:tr w:rsidR="008D4EE5" w:rsidRPr="000C32C3" w:rsidTr="00A67771">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D4EE5" w:rsidRPr="0062435A" w:rsidRDefault="008D4EE5" w:rsidP="00A67771">
            <w:pPr>
              <w:numPr>
                <w:ilvl w:val="0"/>
                <w:numId w:val="68"/>
              </w:numPr>
              <w:spacing w:after="60"/>
              <w:ind w:left="720" w:right="259"/>
            </w:pPr>
            <w:r>
              <w:rPr>
                <w:rFonts w:eastAsia="Calibri" w:cs="Tahoma"/>
                <w:color w:val="000000"/>
                <w:szCs w:val="18"/>
              </w:rPr>
              <w:t>Bing Maps Enterprise</w:t>
            </w:r>
          </w:p>
          <w:p w:rsidR="008D4EE5" w:rsidRPr="0062435A" w:rsidRDefault="008D4EE5" w:rsidP="00A67771">
            <w:pPr>
              <w:numPr>
                <w:ilvl w:val="0"/>
                <w:numId w:val="68"/>
              </w:numPr>
              <w:spacing w:after="60"/>
              <w:ind w:left="720" w:right="259"/>
            </w:pPr>
            <w:r>
              <w:rPr>
                <w:rFonts w:eastAsia="Calibri" w:cs="Tahoma"/>
                <w:color w:val="000000"/>
                <w:szCs w:val="18"/>
              </w:rPr>
              <w:t>Bing Maps Mobile Asset Management</w:t>
            </w:r>
          </w:p>
          <w:p w:rsidR="008D4EE5" w:rsidRPr="0062435A" w:rsidRDefault="008D4EE5" w:rsidP="00A67771">
            <w:pPr>
              <w:numPr>
                <w:ilvl w:val="0"/>
                <w:numId w:val="68"/>
              </w:numPr>
              <w:spacing w:after="60"/>
              <w:ind w:left="720" w:right="259"/>
            </w:pPr>
            <w:r>
              <w:rPr>
                <w:rFonts w:eastAsia="Calibri" w:cs="Tahoma"/>
                <w:color w:val="000000"/>
                <w:szCs w:val="18"/>
              </w:rPr>
              <w:t>Exchange Online Protection</w:t>
            </w:r>
          </w:p>
          <w:p w:rsidR="008D4EE5" w:rsidRPr="0062435A" w:rsidRDefault="008D4EE5" w:rsidP="00A67771">
            <w:pPr>
              <w:numPr>
                <w:ilvl w:val="0"/>
                <w:numId w:val="68"/>
              </w:numPr>
              <w:spacing w:after="60"/>
              <w:ind w:left="720" w:right="259"/>
            </w:pPr>
            <w:r>
              <w:rPr>
                <w:rFonts w:eastAsia="Calibri" w:cs="Tahoma"/>
                <w:color w:val="000000"/>
                <w:szCs w:val="18"/>
              </w:rPr>
              <w:t>Forefront Protection 2010 für Exchange Server</w:t>
            </w:r>
          </w:p>
          <w:p w:rsidR="008D4EE5" w:rsidRPr="0062435A" w:rsidRDefault="008D4EE5" w:rsidP="00A67771">
            <w:pPr>
              <w:numPr>
                <w:ilvl w:val="0"/>
                <w:numId w:val="68"/>
              </w:numPr>
              <w:spacing w:after="60"/>
              <w:ind w:left="720" w:right="259"/>
            </w:pPr>
            <w:r>
              <w:rPr>
                <w:rFonts w:eastAsia="Calibri" w:cs="Tahoma"/>
                <w:color w:val="000000"/>
                <w:szCs w:val="18"/>
              </w:rPr>
              <w:t xml:space="preserve">Forefront Protection 2010 für SharePoint </w:t>
            </w:r>
          </w:p>
          <w:p w:rsidR="008D4EE5" w:rsidRPr="0062435A" w:rsidRDefault="008D4EE5" w:rsidP="00A67771">
            <w:pPr>
              <w:numPr>
                <w:ilvl w:val="0"/>
                <w:numId w:val="68"/>
              </w:numPr>
              <w:spacing w:after="60"/>
              <w:ind w:left="720" w:right="259"/>
            </w:pPr>
            <w:r>
              <w:rPr>
                <w:rFonts w:eastAsia="Calibri" w:cs="Tahoma"/>
                <w:color w:val="000000"/>
                <w:szCs w:val="18"/>
              </w:rPr>
              <w:t>Forefront Protection Suite</w:t>
            </w:r>
          </w:p>
          <w:p w:rsidR="008D4EE5" w:rsidRPr="0062435A" w:rsidRDefault="008D4EE5" w:rsidP="00A67771">
            <w:pPr>
              <w:numPr>
                <w:ilvl w:val="0"/>
                <w:numId w:val="68"/>
              </w:numPr>
              <w:spacing w:after="60"/>
              <w:ind w:left="720" w:right="259"/>
            </w:pPr>
            <w:r>
              <w:rPr>
                <w:rFonts w:eastAsia="Calibri" w:cs="Tahoma"/>
                <w:color w:val="000000"/>
                <w:szCs w:val="18"/>
              </w:rPr>
              <w:t>Forefront Security für Office Communications Server</w:t>
            </w:r>
          </w:p>
          <w:p w:rsidR="008D4EE5" w:rsidRPr="0062435A" w:rsidRDefault="008D4EE5" w:rsidP="00A67771">
            <w:pPr>
              <w:numPr>
                <w:ilvl w:val="0"/>
                <w:numId w:val="68"/>
              </w:numPr>
              <w:spacing w:after="60"/>
              <w:ind w:left="720" w:right="259"/>
            </w:pPr>
            <w:r>
              <w:rPr>
                <w:rFonts w:eastAsia="Calibri" w:cs="Tahoma"/>
                <w:color w:val="000000"/>
                <w:szCs w:val="18"/>
              </w:rPr>
              <w:t>Forefront Threat Management Gateway Web Protection Service</w:t>
            </w:r>
          </w:p>
          <w:p w:rsidR="008D4EE5" w:rsidRPr="0062435A" w:rsidRDefault="008D4EE5" w:rsidP="00A67771">
            <w:pPr>
              <w:numPr>
                <w:ilvl w:val="0"/>
                <w:numId w:val="68"/>
              </w:numPr>
              <w:spacing w:after="60"/>
              <w:ind w:left="720" w:right="259"/>
            </w:pPr>
            <w:r>
              <w:rPr>
                <w:rFonts w:eastAsia="Calibri" w:cs="Tahoma"/>
                <w:color w:val="000000"/>
                <w:szCs w:val="18"/>
              </w:rPr>
              <w:t>Lync Server Public Instant Messaging Connectivity mit America Online (AOL) Instant Messaging Service und Windows Live Messenger Service</w:t>
            </w:r>
          </w:p>
          <w:p w:rsidR="008D4EE5" w:rsidRPr="0062435A" w:rsidRDefault="008D4EE5" w:rsidP="00A67771">
            <w:pPr>
              <w:numPr>
                <w:ilvl w:val="0"/>
                <w:numId w:val="68"/>
              </w:numPr>
              <w:spacing w:after="60"/>
              <w:ind w:left="720" w:right="259"/>
            </w:pPr>
            <w:r>
              <w:rPr>
                <w:rFonts w:eastAsia="Calibri" w:cs="Tahoma"/>
                <w:color w:val="000000"/>
                <w:szCs w:val="18"/>
              </w:rPr>
              <w:t xml:space="preserve">Lync Server Public Instant Messaging Connectivity mit Instant Messaging Service von Yahoo </w:t>
            </w:r>
          </w:p>
          <w:p w:rsidR="008D4EE5" w:rsidRPr="0062435A" w:rsidRDefault="008D4EE5" w:rsidP="00A67771">
            <w:pPr>
              <w:numPr>
                <w:ilvl w:val="0"/>
                <w:numId w:val="68"/>
              </w:numPr>
              <w:spacing w:after="60"/>
              <w:ind w:left="720" w:right="259"/>
            </w:pPr>
            <w:r>
              <w:rPr>
                <w:rFonts w:eastAsia="Calibri" w:cs="Tahoma"/>
                <w:color w:val="000000"/>
                <w:szCs w:val="18"/>
              </w:rPr>
              <w:t>Microsoft Exchange Hosted Encryption</w:t>
            </w:r>
          </w:p>
          <w:p w:rsidR="008D4EE5" w:rsidRPr="0062435A" w:rsidRDefault="008D4EE5" w:rsidP="00A67771">
            <w:pPr>
              <w:numPr>
                <w:ilvl w:val="0"/>
                <w:numId w:val="68"/>
              </w:numPr>
              <w:spacing w:after="60"/>
              <w:ind w:left="720" w:right="259"/>
            </w:pPr>
            <w:r>
              <w:rPr>
                <w:rFonts w:eastAsia="Calibri" w:cs="Tahoma"/>
                <w:color w:val="000000"/>
                <w:szCs w:val="18"/>
              </w:rPr>
              <w:t>Microsoft Learning</w:t>
            </w:r>
          </w:p>
          <w:p w:rsidR="008D4EE5" w:rsidRPr="0062435A" w:rsidRDefault="008D4EE5" w:rsidP="00A67771">
            <w:pPr>
              <w:numPr>
                <w:ilvl w:val="0"/>
                <w:numId w:val="68"/>
              </w:numPr>
              <w:spacing w:after="60"/>
              <w:ind w:left="720" w:right="259"/>
            </w:pPr>
            <w:r>
              <w:rPr>
                <w:rFonts w:eastAsia="Calibri" w:cs="Tahoma"/>
                <w:color w:val="000000"/>
                <w:szCs w:val="18"/>
              </w:rPr>
              <w:t>Office Groove Enterprise Services</w:t>
            </w:r>
          </w:p>
          <w:p w:rsidR="008D4EE5" w:rsidRPr="0062435A" w:rsidRDefault="008D4EE5" w:rsidP="00A67771">
            <w:pPr>
              <w:numPr>
                <w:ilvl w:val="0"/>
                <w:numId w:val="68"/>
              </w:numPr>
              <w:spacing w:after="60"/>
              <w:ind w:left="720" w:right="259"/>
            </w:pPr>
            <w:r>
              <w:rPr>
                <w:rFonts w:eastAsia="Calibri" w:cs="Tahoma"/>
                <w:color w:val="000000"/>
                <w:szCs w:val="18"/>
              </w:rPr>
              <w:t>System Center 2012 Endpoint Protection</w:t>
            </w:r>
          </w:p>
          <w:p w:rsidR="008D4EE5" w:rsidRPr="00116EDC" w:rsidRDefault="008D4EE5" w:rsidP="00A67771">
            <w:pPr>
              <w:numPr>
                <w:ilvl w:val="0"/>
                <w:numId w:val="68"/>
              </w:numPr>
              <w:spacing w:after="60"/>
              <w:ind w:left="720" w:right="259"/>
              <w:rPr>
                <w:rFonts w:eastAsia="Calibri" w:cs="Tahoma"/>
                <w:color w:val="000000"/>
                <w:szCs w:val="18"/>
              </w:rPr>
            </w:pPr>
            <w:r>
              <w:rPr>
                <w:rFonts w:eastAsia="Calibri" w:cs="Tahoma"/>
                <w:color w:val="000000"/>
                <w:szCs w:val="18"/>
              </w:rPr>
              <w:t>Windows Azure-Dienste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8D4EE5" w:rsidRPr="0062435A" w:rsidRDefault="008D4EE5" w:rsidP="00A67771">
            <w:pPr>
              <w:numPr>
                <w:ilvl w:val="0"/>
                <w:numId w:val="69"/>
              </w:numPr>
              <w:spacing w:after="60"/>
              <w:ind w:left="576" w:right="187"/>
            </w:pPr>
            <w:r>
              <w:rPr>
                <w:rFonts w:eastAsia="Calibri" w:cs="Tahoma"/>
                <w:color w:val="000000"/>
                <w:szCs w:val="18"/>
              </w:rPr>
              <w:t xml:space="preserve">Microsoft Dynamics CRM Online </w:t>
            </w:r>
          </w:p>
          <w:p w:rsidR="008D4EE5" w:rsidRPr="0062435A" w:rsidRDefault="008D4EE5" w:rsidP="00A67771">
            <w:pPr>
              <w:numPr>
                <w:ilvl w:val="0"/>
                <w:numId w:val="69"/>
              </w:numPr>
              <w:spacing w:after="60"/>
              <w:ind w:left="576" w:right="187"/>
            </w:pPr>
            <w:r>
              <w:rPr>
                <w:rFonts w:eastAsia="Calibri" w:cs="Tahoma"/>
                <w:color w:val="000000"/>
                <w:szCs w:val="18"/>
              </w:rPr>
              <w:t>Dynamics Mobile</w:t>
            </w:r>
          </w:p>
          <w:p w:rsidR="008D4EE5" w:rsidRPr="0062435A" w:rsidRDefault="008D4EE5" w:rsidP="00A67771">
            <w:pPr>
              <w:numPr>
                <w:ilvl w:val="0"/>
                <w:numId w:val="69"/>
              </w:numPr>
              <w:spacing w:after="60"/>
              <w:ind w:left="576" w:right="187"/>
            </w:pPr>
            <w:r>
              <w:rPr>
                <w:rFonts w:eastAsia="Calibri" w:cs="Tahoma"/>
                <w:color w:val="000000"/>
                <w:szCs w:val="18"/>
              </w:rPr>
              <w:t>Dynamics Onprem Mobile</w:t>
            </w:r>
          </w:p>
          <w:p w:rsidR="008D4EE5" w:rsidRPr="009123CB" w:rsidRDefault="008D4EE5" w:rsidP="00A67771">
            <w:pPr>
              <w:numPr>
                <w:ilvl w:val="0"/>
                <w:numId w:val="69"/>
              </w:numPr>
              <w:spacing w:after="60"/>
              <w:ind w:left="576" w:right="187"/>
              <w:rPr>
                <w:lang w:val="de-DE"/>
              </w:rPr>
            </w:pPr>
            <w:r w:rsidRPr="009123CB">
              <w:rPr>
                <w:rFonts w:eastAsia="Calibri" w:cs="Tahoma"/>
                <w:color w:val="000000"/>
                <w:szCs w:val="18"/>
                <w:lang w:val="de-DE"/>
              </w:rPr>
              <w:t>Exchange Online-Archivierung für Exchange Online</w:t>
            </w:r>
          </w:p>
          <w:p w:rsidR="008D4EE5" w:rsidRPr="009123CB" w:rsidRDefault="008D4EE5" w:rsidP="00A67771">
            <w:pPr>
              <w:numPr>
                <w:ilvl w:val="0"/>
                <w:numId w:val="69"/>
              </w:numPr>
              <w:spacing w:after="60"/>
              <w:ind w:left="576" w:right="187"/>
              <w:rPr>
                <w:lang w:val="de-DE"/>
              </w:rPr>
            </w:pPr>
            <w:r w:rsidRPr="009123CB">
              <w:rPr>
                <w:rFonts w:eastAsia="Calibri" w:cs="Tahoma"/>
                <w:color w:val="000000"/>
                <w:szCs w:val="18"/>
                <w:lang w:val="de-DE"/>
              </w:rPr>
              <w:t>Exchange Online-Archivierung für Exchange Server</w:t>
            </w:r>
          </w:p>
          <w:p w:rsidR="008D4EE5" w:rsidRPr="009123CB" w:rsidRDefault="008D4EE5" w:rsidP="00A67771">
            <w:pPr>
              <w:numPr>
                <w:ilvl w:val="0"/>
                <w:numId w:val="69"/>
              </w:numPr>
              <w:spacing w:after="60"/>
              <w:ind w:left="576" w:right="187"/>
              <w:rPr>
                <w:lang w:val="de-DE"/>
              </w:rPr>
            </w:pPr>
            <w:r w:rsidRPr="009123CB">
              <w:rPr>
                <w:rFonts w:eastAsia="Calibri" w:cs="Tahoma"/>
                <w:color w:val="000000"/>
                <w:szCs w:val="18"/>
                <w:lang w:val="de-DE"/>
              </w:rPr>
              <w:t xml:space="preserve">Exchange Online Kiosk, Plan 1 und Plan 2 </w:t>
            </w:r>
          </w:p>
          <w:p w:rsidR="008D4EE5" w:rsidRPr="0062435A" w:rsidRDefault="008D4EE5" w:rsidP="00A67771">
            <w:pPr>
              <w:numPr>
                <w:ilvl w:val="0"/>
                <w:numId w:val="69"/>
              </w:numPr>
              <w:spacing w:after="60"/>
              <w:ind w:left="576" w:right="187"/>
            </w:pPr>
            <w:r>
              <w:rPr>
                <w:rFonts w:eastAsia="Calibri" w:cs="Tahoma"/>
                <w:color w:val="000000"/>
                <w:szCs w:val="18"/>
              </w:rPr>
              <w:t>Lync Online Plan 1, 2 und 3</w:t>
            </w:r>
          </w:p>
          <w:p w:rsidR="008D4EE5" w:rsidRPr="0062435A" w:rsidRDefault="008D4EE5" w:rsidP="00A67771">
            <w:pPr>
              <w:numPr>
                <w:ilvl w:val="0"/>
                <w:numId w:val="69"/>
              </w:numPr>
              <w:spacing w:after="60"/>
              <w:ind w:left="576" w:right="187"/>
            </w:pPr>
            <w:r>
              <w:rPr>
                <w:rFonts w:eastAsia="Calibri" w:cs="Tahoma"/>
                <w:color w:val="000000"/>
                <w:szCs w:val="18"/>
              </w:rPr>
              <w:t>Office 365 Education A2, A3 und A4</w:t>
            </w:r>
          </w:p>
          <w:p w:rsidR="008D4EE5" w:rsidRPr="009123CB" w:rsidRDefault="008D4EE5" w:rsidP="00A67771">
            <w:pPr>
              <w:numPr>
                <w:ilvl w:val="0"/>
                <w:numId w:val="69"/>
              </w:numPr>
              <w:spacing w:after="60"/>
              <w:ind w:left="576" w:right="187"/>
              <w:rPr>
                <w:lang w:val="it-IT"/>
              </w:rPr>
            </w:pPr>
            <w:r w:rsidRPr="009123CB">
              <w:rPr>
                <w:rFonts w:eastAsia="Calibri" w:cs="Tahoma"/>
                <w:color w:val="000000"/>
                <w:szCs w:val="18"/>
                <w:lang w:val="it-IT"/>
              </w:rPr>
              <w:t>Office 365 Enterprise K1, E1, E3 und E4</w:t>
            </w:r>
          </w:p>
          <w:p w:rsidR="008D4EE5" w:rsidRPr="0062435A" w:rsidRDefault="008D4EE5" w:rsidP="00A67771">
            <w:pPr>
              <w:numPr>
                <w:ilvl w:val="0"/>
                <w:numId w:val="69"/>
              </w:numPr>
              <w:spacing w:after="60"/>
              <w:ind w:left="576" w:right="187"/>
            </w:pPr>
            <w:r>
              <w:rPr>
                <w:rFonts w:eastAsia="Calibri" w:cs="Tahoma"/>
                <w:color w:val="000000"/>
                <w:szCs w:val="18"/>
              </w:rPr>
              <w:t>Office 365 ProPlus</w:t>
            </w:r>
          </w:p>
          <w:p w:rsidR="008D4EE5" w:rsidRPr="0062435A" w:rsidRDefault="008D4EE5" w:rsidP="00A67771">
            <w:pPr>
              <w:numPr>
                <w:ilvl w:val="0"/>
                <w:numId w:val="69"/>
              </w:numPr>
              <w:spacing w:after="60"/>
              <w:ind w:left="576" w:right="187"/>
            </w:pPr>
            <w:r>
              <w:rPr>
                <w:rFonts w:eastAsia="Calibri" w:cs="Tahoma"/>
                <w:color w:val="000000"/>
                <w:szCs w:val="18"/>
              </w:rPr>
              <w:t>Office-Webanwendungen</w:t>
            </w:r>
          </w:p>
          <w:p w:rsidR="008D4EE5" w:rsidRPr="0062435A" w:rsidRDefault="008D4EE5" w:rsidP="00A67771">
            <w:pPr>
              <w:numPr>
                <w:ilvl w:val="0"/>
                <w:numId w:val="69"/>
              </w:numPr>
              <w:spacing w:after="60"/>
              <w:ind w:left="576" w:right="187"/>
            </w:pPr>
            <w:r>
              <w:rPr>
                <w:rFonts w:eastAsia="Calibri" w:cs="Tahoma"/>
                <w:color w:val="000000"/>
                <w:szCs w:val="18"/>
              </w:rPr>
              <w:t>Project Online</w:t>
            </w:r>
          </w:p>
          <w:p w:rsidR="008D4EE5" w:rsidRPr="0062435A" w:rsidRDefault="008D4EE5" w:rsidP="00A67771">
            <w:pPr>
              <w:numPr>
                <w:ilvl w:val="0"/>
                <w:numId w:val="69"/>
              </w:numPr>
              <w:spacing w:after="60"/>
              <w:ind w:left="576" w:right="187"/>
            </w:pPr>
            <w:r>
              <w:rPr>
                <w:rFonts w:eastAsia="Calibri" w:cs="Tahoma"/>
                <w:color w:val="000000"/>
                <w:szCs w:val="18"/>
              </w:rPr>
              <w:t>Project Pro für Office 365</w:t>
            </w:r>
          </w:p>
          <w:p w:rsidR="008D4EE5" w:rsidRPr="0062435A" w:rsidRDefault="008D4EE5" w:rsidP="00A67771">
            <w:pPr>
              <w:numPr>
                <w:ilvl w:val="0"/>
                <w:numId w:val="69"/>
              </w:numPr>
              <w:spacing w:after="60"/>
              <w:ind w:left="576" w:right="187"/>
            </w:pPr>
            <w:r>
              <w:rPr>
                <w:rFonts w:eastAsia="Calibri" w:cs="Tahoma"/>
                <w:color w:val="000000"/>
                <w:szCs w:val="18"/>
              </w:rPr>
              <w:t xml:space="preserve">SharePoint Online Plan 1 und Plan 2 </w:t>
            </w:r>
          </w:p>
          <w:p w:rsidR="008D4EE5" w:rsidRPr="0062435A" w:rsidRDefault="008D4EE5" w:rsidP="00A67771">
            <w:pPr>
              <w:numPr>
                <w:ilvl w:val="0"/>
                <w:numId w:val="69"/>
              </w:numPr>
              <w:spacing w:after="60"/>
              <w:ind w:left="576" w:right="187"/>
            </w:pPr>
            <w:r>
              <w:rPr>
                <w:rFonts w:eastAsia="Calibri" w:cs="Tahoma"/>
                <w:color w:val="000000"/>
                <w:szCs w:val="18"/>
              </w:rPr>
              <w:t>Windows Azure Active Directory-Rechteverwaltung</w:t>
            </w:r>
          </w:p>
          <w:p w:rsidR="008D4EE5" w:rsidRPr="0062435A" w:rsidRDefault="008D4EE5" w:rsidP="00A67771">
            <w:pPr>
              <w:numPr>
                <w:ilvl w:val="0"/>
                <w:numId w:val="69"/>
              </w:numPr>
              <w:spacing w:after="60"/>
              <w:ind w:left="576" w:right="187"/>
            </w:pPr>
            <w:r>
              <w:rPr>
                <w:rFonts w:eastAsia="Calibri" w:cs="Tahoma"/>
                <w:color w:val="000000"/>
                <w:szCs w:val="18"/>
              </w:rPr>
              <w:t>Windows Intune</w:t>
            </w:r>
          </w:p>
          <w:p w:rsidR="008D4EE5" w:rsidRPr="0062435A" w:rsidRDefault="008D4EE5" w:rsidP="00A67771">
            <w:pPr>
              <w:numPr>
                <w:ilvl w:val="0"/>
                <w:numId w:val="69"/>
              </w:numPr>
              <w:spacing w:after="60"/>
              <w:ind w:left="576" w:right="187"/>
            </w:pPr>
            <w:r>
              <w:rPr>
                <w:rFonts w:eastAsia="Calibri" w:cs="Tahoma"/>
                <w:color w:val="000000"/>
                <w:szCs w:val="18"/>
              </w:rPr>
              <w:t>Windows Intune-Add-On</w:t>
            </w:r>
          </w:p>
          <w:p w:rsidR="008D4EE5" w:rsidRPr="000C32C3" w:rsidRDefault="008D4EE5" w:rsidP="00A67771">
            <w:pPr>
              <w:numPr>
                <w:ilvl w:val="0"/>
                <w:numId w:val="69"/>
              </w:numPr>
              <w:spacing w:after="60"/>
              <w:ind w:left="576" w:right="187"/>
              <w:rPr>
                <w:rFonts w:eastAsia="Calibri" w:cs="Tahoma"/>
                <w:szCs w:val="18"/>
              </w:rPr>
            </w:pPr>
            <w:r>
              <w:rPr>
                <w:rFonts w:eastAsia="Calibri" w:cs="Tahoma"/>
                <w:color w:val="000000"/>
                <w:szCs w:val="18"/>
              </w:rPr>
              <w:t>Yammer Enterprise</w:t>
            </w:r>
          </w:p>
        </w:tc>
      </w:tr>
    </w:tbl>
    <w:p w:rsidR="008D4EE5" w:rsidRPr="0062435A" w:rsidRDefault="008D4EE5" w:rsidP="008D4EE5">
      <w:pPr>
        <w:pStyle w:val="Heading2"/>
        <w:ind w:left="0"/>
      </w:pPr>
    </w:p>
    <w:p w:rsidR="008D4EE5" w:rsidRPr="009123CB" w:rsidRDefault="008D4EE5" w:rsidP="008D4EE5">
      <w:pPr>
        <w:pStyle w:val="Heading2"/>
        <w:ind w:left="0"/>
        <w:rPr>
          <w:lang w:val="de-DE"/>
        </w:rPr>
      </w:pPr>
      <w:bookmarkStart w:id="671" w:name="_Toc336338209"/>
      <w:bookmarkStart w:id="672" w:name="_Toc363998947"/>
      <w:r w:rsidRPr="009123CB">
        <w:rPr>
          <w:rFonts w:ascii="Tahoma" w:hAnsi="Tahoma" w:cs="Tahoma"/>
          <w:lang w:val="de-DE"/>
        </w:rPr>
        <w:t>Erwerb und automatische Verlängerung von Onlinediensten</w:t>
      </w:r>
      <w:bookmarkEnd w:id="671"/>
      <w:bookmarkEnd w:id="672"/>
      <w:r w:rsidRPr="009123CB">
        <w:rPr>
          <w:rFonts w:ascii="Tahoma" w:hAnsi="Tahoma" w:cs="Tahoma"/>
          <w:lang w:val="de-DE"/>
        </w:rPr>
        <w:t xml:space="preserve"> </w:t>
      </w:r>
    </w:p>
    <w:p w:rsidR="008D4EE5" w:rsidRPr="009123CB" w:rsidRDefault="008D4EE5" w:rsidP="008D4EE5">
      <w:pPr>
        <w:outlineLvl w:val="2"/>
        <w:rPr>
          <w:lang w:val="de-DE"/>
        </w:rPr>
      </w:pPr>
    </w:p>
    <w:p w:rsidR="008D4EE5" w:rsidRPr="009123CB" w:rsidRDefault="008D4EE5" w:rsidP="008D71A1">
      <w:pPr>
        <w:outlineLvl w:val="2"/>
        <w:rPr>
          <w:lang w:val="de-DE"/>
        </w:rPr>
      </w:pPr>
      <w:r w:rsidRPr="009123CB">
        <w:rPr>
          <w:rFonts w:cs="Tahoma"/>
          <w:szCs w:val="18"/>
          <w:lang w:val="de-DE"/>
        </w:rPr>
        <w:t>Kunden müssen über einen aktiven Volumenlizenzvertrag verfügen, um Onlinedienste-Abonnements im Rahmen der Volumenlizenzierung zu bestellen oder zu verlängern</w:t>
      </w:r>
      <w:r w:rsidR="006257A7">
        <w:rPr>
          <w:rFonts w:cs="Tahoma"/>
          <w:szCs w:val="18"/>
          <w:lang w:val="de-DE"/>
        </w:rPr>
        <w:t xml:space="preserve">. </w:t>
      </w:r>
      <w:r w:rsidRPr="009123CB">
        <w:rPr>
          <w:rFonts w:cs="Tahoma"/>
          <w:szCs w:val="18"/>
          <w:lang w:val="de-DE"/>
        </w:rPr>
        <w:t>Ein Onlinedienste-Abonnement wird automatisch am Tag nach Ablauf der Abonnementlaufzeit verlängert, es sei denn, der Kunde entscheidet sich gegen eine Verlängerung, indem er</w:t>
      </w:r>
      <w:r w:rsidRPr="009123CB">
        <w:rPr>
          <w:rFonts w:cs="Tahoma"/>
          <w:color w:val="000000"/>
          <w:szCs w:val="18"/>
          <w:lang w:val="de-DE"/>
        </w:rPr>
        <w:t xml:space="preserve"> </w:t>
      </w:r>
      <w:r w:rsidRPr="009123CB">
        <w:rPr>
          <w:bCs/>
          <w:color w:val="000000"/>
          <w:lang w:val="de-DE"/>
        </w:rPr>
        <w:t>mindestens 5</w:t>
      </w:r>
      <w:r w:rsidRPr="009123CB">
        <w:rPr>
          <w:b/>
          <w:bCs/>
          <w:color w:val="1F497D"/>
          <w:lang w:val="de-DE"/>
        </w:rPr>
        <w:t xml:space="preserve"> </w:t>
      </w:r>
      <w:r w:rsidRPr="009123CB">
        <w:rPr>
          <w:rFonts w:cs="Tahoma"/>
          <w:szCs w:val="18"/>
          <w:lang w:val="de-DE"/>
        </w:rPr>
        <w:t>Tage vor Ablauf des Abonnements die automatische Verlängerung abbestellt</w:t>
      </w:r>
      <w:r w:rsidR="006257A7">
        <w:rPr>
          <w:rFonts w:cs="Tahoma"/>
          <w:szCs w:val="18"/>
          <w:lang w:val="de-DE"/>
        </w:rPr>
        <w:t xml:space="preserve">. </w:t>
      </w:r>
      <w:r w:rsidRPr="009123CB">
        <w:rPr>
          <w:rFonts w:cs="Tahoma"/>
          <w:szCs w:val="18"/>
          <w:lang w:val="de-DE"/>
        </w:rPr>
        <w:t>Bei automatischer Verlängerung stellt Microsoft dem eingetragenen Rechnungsempfänger die Anzahl der ablaufenden Lizenzen mit der</w:t>
      </w:r>
      <w:r w:rsidR="008D71A1">
        <w:rPr>
          <w:rFonts w:cs="Tahoma"/>
          <w:szCs w:val="18"/>
          <w:lang w:val="de-DE"/>
        </w:rPr>
        <w:t> </w:t>
      </w:r>
      <w:r w:rsidRPr="009123CB">
        <w:rPr>
          <w:rFonts w:cs="Tahoma"/>
          <w:szCs w:val="18"/>
          <w:lang w:val="de-DE"/>
        </w:rPr>
        <w:t>gleichen Option für die Abonnementlaufzeit in Rechnung, wenn der ursprüngliche Vertrag des Kunden aktiv bleibt</w:t>
      </w:r>
      <w:r w:rsidR="006257A7">
        <w:rPr>
          <w:rFonts w:cs="Tahoma"/>
          <w:szCs w:val="18"/>
          <w:lang w:val="de-DE"/>
        </w:rPr>
        <w:t xml:space="preserve">. </w:t>
      </w:r>
      <w:r w:rsidRPr="009123CB">
        <w:rPr>
          <w:rFonts w:cs="Tahoma"/>
          <w:szCs w:val="18"/>
          <w:lang w:val="de-DE"/>
        </w:rPr>
        <w:t>Onlinedienste-Abonnements für Kunden aus Verwaltung sowie Forschung &amp; Lehre werden nur dann automatisch verlängert, wenn sich der Kunde für die automatische Verlängerungsoption entscheidet</w:t>
      </w:r>
      <w:r w:rsidR="006257A7">
        <w:rPr>
          <w:rFonts w:cs="Tahoma"/>
          <w:szCs w:val="18"/>
          <w:lang w:val="de-DE"/>
        </w:rPr>
        <w:t xml:space="preserve">. </w:t>
      </w:r>
      <w:r w:rsidRPr="009123CB">
        <w:rPr>
          <w:rFonts w:cs="Tahoma"/>
          <w:szCs w:val="18"/>
          <w:lang w:val="de-DE"/>
        </w:rPr>
        <w:t>Zu Beginn des Verlängerungszeitraums werden die Preise neu festgelegt</w:t>
      </w:r>
      <w:r w:rsidR="006257A7">
        <w:rPr>
          <w:rFonts w:cs="Tahoma"/>
          <w:szCs w:val="18"/>
          <w:lang w:val="de-DE"/>
        </w:rPr>
        <w:t xml:space="preserve">. </w:t>
      </w:r>
      <w:r w:rsidRPr="009123CB">
        <w:rPr>
          <w:rFonts w:cs="Tahoma"/>
          <w:szCs w:val="18"/>
          <w:lang w:val="de-DE"/>
        </w:rPr>
        <w:t>Die automatische Verlängerungsoption ist für Windows Azure-Dienste nicht verfügbar</w:t>
      </w:r>
      <w:r w:rsidR="006257A7">
        <w:rPr>
          <w:rFonts w:cs="Tahoma"/>
          <w:szCs w:val="18"/>
          <w:lang w:val="de-DE"/>
        </w:rPr>
        <w:t xml:space="preserve">. </w:t>
      </w:r>
    </w:p>
    <w:p w:rsidR="008D4EE5" w:rsidRPr="009123CB" w:rsidRDefault="008D4EE5" w:rsidP="008D4EE5">
      <w:pPr>
        <w:rPr>
          <w:lang w:val="de-DE"/>
        </w:rPr>
      </w:pPr>
    </w:p>
    <w:p w:rsidR="008D4EE5" w:rsidRPr="009123CB" w:rsidRDefault="008D4EE5" w:rsidP="008D4EE5">
      <w:pPr>
        <w:pStyle w:val="Heading2"/>
        <w:ind w:left="0"/>
        <w:rPr>
          <w:lang w:val="de-DE"/>
        </w:rPr>
      </w:pPr>
      <w:bookmarkStart w:id="673" w:name="_Toc336338210"/>
      <w:bookmarkStart w:id="674" w:name="_Toc363998948"/>
      <w:r w:rsidRPr="009123CB">
        <w:rPr>
          <w:rFonts w:ascii="Tahoma" w:hAnsi="Tahoma" w:cs="Tahoma"/>
          <w:lang w:val="de-DE"/>
        </w:rPr>
        <w:t>Verwalten des Verlängerungs- und automatischen Verlängerungsstatus</w:t>
      </w:r>
      <w:bookmarkEnd w:id="673"/>
      <w:bookmarkEnd w:id="674"/>
    </w:p>
    <w:p w:rsidR="008D4EE5" w:rsidRPr="009123CB" w:rsidRDefault="008D4EE5" w:rsidP="008D4EE5">
      <w:pPr>
        <w:outlineLvl w:val="2"/>
        <w:rPr>
          <w:lang w:val="de-DE"/>
        </w:rPr>
      </w:pPr>
    </w:p>
    <w:p w:rsidR="008D4EE5" w:rsidRPr="009123CB" w:rsidRDefault="008D4EE5" w:rsidP="008D71A1">
      <w:pPr>
        <w:outlineLvl w:val="2"/>
        <w:rPr>
          <w:lang w:val="de-DE"/>
        </w:rPr>
      </w:pPr>
      <w:r w:rsidRPr="009123CB">
        <w:rPr>
          <w:rFonts w:cs="Tahoma"/>
          <w:szCs w:val="18"/>
          <w:lang w:val="de-DE"/>
        </w:rPr>
        <w:t>Vor dem Ende der Onlinedienste-Abonnementlaufzeit erhalten Kunden Verlängerungsmitteilungen</w:t>
      </w:r>
      <w:r w:rsidR="006257A7">
        <w:rPr>
          <w:rFonts w:cs="Tahoma"/>
          <w:szCs w:val="18"/>
          <w:lang w:val="de-DE"/>
        </w:rPr>
        <w:t xml:space="preserve">. </w:t>
      </w:r>
      <w:r w:rsidRPr="009123CB">
        <w:rPr>
          <w:rFonts w:cs="Tahoma"/>
          <w:szCs w:val="18"/>
          <w:lang w:val="de-DE"/>
        </w:rPr>
        <w:t>Kunden können die</w:t>
      </w:r>
      <w:r w:rsidR="008D71A1">
        <w:rPr>
          <w:rFonts w:cs="Tahoma"/>
          <w:szCs w:val="18"/>
          <w:lang w:val="de-DE"/>
        </w:rPr>
        <w:t> </w:t>
      </w:r>
      <w:r w:rsidRPr="009123CB">
        <w:rPr>
          <w:rFonts w:cs="Tahoma"/>
          <w:szCs w:val="18"/>
          <w:lang w:val="de-DE"/>
        </w:rPr>
        <w:t>Verlängerung kündigen oder eine automatische Verlängerungsbestellung ändern, indem sie mindestens 30 Tage vor Ende der Abonnementlaufzeit aktiv werden</w:t>
      </w:r>
      <w:r w:rsidR="006257A7">
        <w:rPr>
          <w:rFonts w:cs="Tahoma"/>
          <w:szCs w:val="18"/>
          <w:lang w:val="de-DE"/>
        </w:rPr>
        <w:t xml:space="preserve">. </w:t>
      </w:r>
      <w:r w:rsidRPr="009123CB">
        <w:rPr>
          <w:rFonts w:cs="Tahoma"/>
          <w:szCs w:val="18"/>
          <w:lang w:val="de-DE"/>
        </w:rPr>
        <w:t>Kunden können außerdem die Verlängerungsbestellung ändern, indem sie 30 Tage vor Ablauf des Abonnements eine Bestellung bei ihrem Handelspartner einreichen</w:t>
      </w:r>
      <w:r w:rsidR="006257A7">
        <w:rPr>
          <w:rFonts w:cs="Tahoma"/>
          <w:szCs w:val="18"/>
          <w:lang w:val="de-DE"/>
        </w:rPr>
        <w:t xml:space="preserve">. </w:t>
      </w:r>
      <w:r w:rsidRPr="009123CB">
        <w:rPr>
          <w:rFonts w:cs="Tahoma"/>
          <w:szCs w:val="18"/>
          <w:lang w:val="de-DE"/>
        </w:rPr>
        <w:t>Kunden sind</w:t>
      </w:r>
      <w:r w:rsidR="008D71A1">
        <w:rPr>
          <w:rFonts w:cs="Tahoma"/>
          <w:szCs w:val="18"/>
          <w:lang w:val="de-DE"/>
        </w:rPr>
        <w:t> </w:t>
      </w:r>
      <w:r w:rsidRPr="009123CB">
        <w:rPr>
          <w:rFonts w:cs="Tahoma"/>
          <w:szCs w:val="18"/>
          <w:lang w:val="de-DE"/>
        </w:rPr>
        <w:t>berechtigt, eine Abonnementverlängerung unter Einhaltung einer Kündigungsfrist von 30 Tagen mit vorheriger schriftlicher Mitteilung an Microsoft mit einem Formular, das beim Handelspartner von Microsoft oder unter http://microsoft</w:t>
      </w:r>
      <w:r w:rsidR="00E869D6">
        <w:rPr>
          <w:rFonts w:cs="Tahoma"/>
          <w:szCs w:val="18"/>
          <w:lang w:val="de-DE"/>
        </w:rPr>
        <w:t>.</w:t>
      </w:r>
      <w:r w:rsidRPr="009123CB">
        <w:rPr>
          <w:rFonts w:cs="Tahoma"/>
          <w:szCs w:val="18"/>
          <w:lang w:val="de-DE"/>
        </w:rPr>
        <w:t>com/licensing/contracts verfügbar ist, zu kündigen</w:t>
      </w:r>
      <w:r w:rsidR="006257A7">
        <w:rPr>
          <w:rFonts w:cs="Tahoma"/>
          <w:szCs w:val="18"/>
          <w:lang w:val="de-DE"/>
        </w:rPr>
        <w:t xml:space="preserve">. </w:t>
      </w:r>
      <w:r w:rsidRPr="009123CB">
        <w:rPr>
          <w:rFonts w:cs="Tahoma"/>
          <w:szCs w:val="18"/>
          <w:lang w:val="de-DE"/>
        </w:rPr>
        <w:t>Durch jede Dienstverlängerung wird eine neue</w:t>
      </w:r>
      <w:r w:rsidR="008D71A1">
        <w:rPr>
          <w:rFonts w:cs="Tahoma"/>
          <w:szCs w:val="18"/>
          <w:lang w:val="de-DE"/>
        </w:rPr>
        <w:t> </w:t>
      </w:r>
      <w:r w:rsidRPr="009123CB">
        <w:rPr>
          <w:rFonts w:cs="Tahoma"/>
          <w:szCs w:val="18"/>
          <w:lang w:val="de-DE"/>
        </w:rPr>
        <w:t>Abonnementlaufzeit gestartet, die am ersten Tag des nächsten Kalendermonats nach Ablauf der vorherigen Abonnementlaufzeit beginnt</w:t>
      </w:r>
      <w:r w:rsidR="006257A7">
        <w:rPr>
          <w:rFonts w:cs="Tahoma"/>
          <w:szCs w:val="18"/>
          <w:lang w:val="de-DE"/>
        </w:rPr>
        <w:t xml:space="preserve">. </w:t>
      </w:r>
    </w:p>
    <w:p w:rsidR="008D4EE5" w:rsidRPr="009123CB" w:rsidRDefault="008D4EE5" w:rsidP="008D4EE5">
      <w:pPr>
        <w:outlineLvl w:val="2"/>
        <w:rPr>
          <w:lang w:val="de-DE"/>
        </w:rPr>
      </w:pPr>
    </w:p>
    <w:p w:rsidR="008D4EE5" w:rsidRPr="009123CB" w:rsidRDefault="008D4EE5" w:rsidP="008D71A1">
      <w:pPr>
        <w:outlineLvl w:val="2"/>
        <w:rPr>
          <w:lang w:val="de-DE"/>
        </w:rPr>
      </w:pPr>
      <w:r w:rsidRPr="009123CB">
        <w:rPr>
          <w:rFonts w:cs="Tahoma"/>
          <w:szCs w:val="18"/>
          <w:lang w:val="de-DE"/>
        </w:rPr>
        <w:t>Kunden können den Onlinedienste-Abonnementumfang während der Laufzeit des Onlinedienste-Abonnements erhöhen, aber nicht verringern, es sei denn, in ihren Verträgen ist eine solche Verringerung zulässig</w:t>
      </w:r>
      <w:r w:rsidR="006257A7">
        <w:rPr>
          <w:rFonts w:cs="Tahoma"/>
          <w:szCs w:val="18"/>
          <w:lang w:val="de-DE"/>
        </w:rPr>
        <w:t xml:space="preserve">. </w:t>
      </w:r>
      <w:r w:rsidRPr="009123CB">
        <w:rPr>
          <w:rFonts w:cs="Tahoma"/>
          <w:szCs w:val="18"/>
          <w:lang w:val="de-DE"/>
        </w:rPr>
        <w:t>Um</w:t>
      </w:r>
      <w:r w:rsidR="008D71A1">
        <w:rPr>
          <w:rFonts w:cs="Tahoma"/>
          <w:szCs w:val="18"/>
          <w:lang w:val="de-DE"/>
        </w:rPr>
        <w:t> </w:t>
      </w:r>
      <w:r w:rsidRPr="009123CB">
        <w:rPr>
          <w:rFonts w:cs="Tahoma"/>
          <w:szCs w:val="18"/>
          <w:lang w:val="de-DE"/>
        </w:rPr>
        <w:t>sicherzustellen, dass zusätzliche Nutzer versorgt sind, muss der Kunde für jede Erhöhung im Abonnementdienst</w:t>
      </w:r>
      <w:r w:rsidR="008D71A1">
        <w:rPr>
          <w:rFonts w:cs="Tahoma"/>
          <w:szCs w:val="18"/>
          <w:lang w:val="de-DE"/>
        </w:rPr>
        <w:t> </w:t>
      </w:r>
      <w:r w:rsidRPr="009123CB">
        <w:rPr>
          <w:rFonts w:cs="Tahoma"/>
          <w:szCs w:val="18"/>
          <w:lang w:val="de-DE"/>
        </w:rPr>
        <w:t>eine</w:t>
      </w:r>
      <w:r w:rsidR="008D71A1">
        <w:rPr>
          <w:rFonts w:cs="Tahoma"/>
          <w:szCs w:val="18"/>
          <w:lang w:val="de-DE"/>
        </w:rPr>
        <w:t> </w:t>
      </w:r>
      <w:r w:rsidRPr="009123CB">
        <w:rPr>
          <w:rFonts w:cs="Tahoma"/>
          <w:szCs w:val="18"/>
          <w:lang w:val="de-DE"/>
        </w:rPr>
        <w:t>Bestellung einreichen</w:t>
      </w:r>
      <w:r w:rsidR="006257A7">
        <w:rPr>
          <w:rFonts w:cs="Tahoma"/>
          <w:szCs w:val="18"/>
          <w:lang w:val="de-DE"/>
        </w:rPr>
        <w:t xml:space="preserve">. </w:t>
      </w:r>
    </w:p>
    <w:p w:rsidR="008D4EE5" w:rsidRPr="009123CB" w:rsidRDefault="008D4EE5" w:rsidP="008D4EE5">
      <w:pPr>
        <w:rPr>
          <w:lang w:val="de-DE"/>
        </w:rPr>
      </w:pPr>
      <w:bookmarkStart w:id="675" w:name="_Toc336338211"/>
    </w:p>
    <w:p w:rsidR="008D4EE5" w:rsidRPr="009123CB" w:rsidRDefault="008D4EE5" w:rsidP="008D4EE5">
      <w:pPr>
        <w:pStyle w:val="Heading2"/>
        <w:ind w:left="0"/>
        <w:rPr>
          <w:lang w:val="de-DE"/>
        </w:rPr>
      </w:pPr>
      <w:bookmarkStart w:id="676" w:name="_Toc363998949"/>
      <w:r w:rsidRPr="009123CB">
        <w:rPr>
          <w:rFonts w:ascii="Tahoma" w:hAnsi="Tahoma" w:cs="Tahoma"/>
          <w:lang w:val="de-DE"/>
        </w:rPr>
        <w:t>Kündigung von Onlinediensten</w:t>
      </w:r>
      <w:bookmarkEnd w:id="675"/>
      <w:bookmarkEnd w:id="676"/>
    </w:p>
    <w:p w:rsidR="008D4EE5" w:rsidRPr="009123CB" w:rsidRDefault="008D4EE5" w:rsidP="008D4EE5">
      <w:pPr>
        <w:outlineLvl w:val="2"/>
        <w:rPr>
          <w:lang w:val="de-DE"/>
        </w:rPr>
      </w:pPr>
    </w:p>
    <w:p w:rsidR="008D4EE5" w:rsidRPr="009123CB" w:rsidRDefault="008D4EE5" w:rsidP="00F11DE6">
      <w:pPr>
        <w:outlineLvl w:val="2"/>
        <w:rPr>
          <w:lang w:val="de-DE"/>
        </w:rPr>
      </w:pPr>
      <w:r w:rsidRPr="009123CB">
        <w:rPr>
          <w:rFonts w:cs="Tahoma"/>
          <w:szCs w:val="18"/>
          <w:lang w:val="de-DE"/>
        </w:rPr>
        <w:t>Abonnements für einen Onlinedienst können ohne Strafe innerhalb von dreißig (30) Tagen nach Anfangsbestellung oder anfänglicher Lizenzreservierung eines Dienstes gekündigt werden, wobei das frühere Datum maßgeblich ist</w:t>
      </w:r>
      <w:r w:rsidR="006257A7">
        <w:rPr>
          <w:rFonts w:cs="Tahoma"/>
          <w:szCs w:val="18"/>
          <w:lang w:val="de-DE"/>
        </w:rPr>
        <w:t xml:space="preserve">. </w:t>
      </w:r>
      <w:r w:rsidRPr="009123CB">
        <w:rPr>
          <w:rFonts w:cs="Tahoma"/>
          <w:szCs w:val="18"/>
          <w:lang w:val="de-DE"/>
        </w:rPr>
        <w:t>In</w:t>
      </w:r>
      <w:r w:rsidR="00F11DE6">
        <w:rPr>
          <w:rFonts w:cs="Tahoma"/>
          <w:szCs w:val="18"/>
          <w:lang w:val="de-DE"/>
        </w:rPr>
        <w:t> </w:t>
      </w:r>
      <w:r w:rsidRPr="009123CB">
        <w:rPr>
          <w:rFonts w:cs="Tahoma"/>
          <w:szCs w:val="18"/>
          <w:lang w:val="de-DE"/>
        </w:rPr>
        <w:t>den produktspezifischen Abschnitten dieser Produktliste finden Sie gegebenenfalls weitere Kündigungsbestimmungen</w:t>
      </w:r>
      <w:r w:rsidR="006257A7">
        <w:rPr>
          <w:rFonts w:cs="Tahoma"/>
          <w:szCs w:val="18"/>
          <w:lang w:val="de-DE"/>
        </w:rPr>
        <w:t xml:space="preserve">. </w:t>
      </w:r>
    </w:p>
    <w:p w:rsidR="008D4EE5" w:rsidRPr="009123CB" w:rsidRDefault="008D4EE5" w:rsidP="008D4EE5">
      <w:pPr>
        <w:outlineLvl w:val="2"/>
        <w:rPr>
          <w:lang w:val="de-DE"/>
        </w:rPr>
      </w:pPr>
    </w:p>
    <w:p w:rsidR="008D4EE5" w:rsidRPr="009123CB" w:rsidRDefault="008D4EE5" w:rsidP="008D4EE5">
      <w:pPr>
        <w:pStyle w:val="Heading2"/>
        <w:ind w:left="0"/>
        <w:rPr>
          <w:lang w:val="de-DE"/>
        </w:rPr>
      </w:pPr>
      <w:bookmarkStart w:id="677" w:name="_Toc328145982"/>
      <w:bookmarkStart w:id="678" w:name="_Toc336338212"/>
      <w:bookmarkStart w:id="679" w:name="_Toc363998950"/>
      <w:r w:rsidRPr="009123CB">
        <w:rPr>
          <w:rFonts w:ascii="Tahoma" w:hAnsi="Tahoma" w:cs="Tahoma"/>
          <w:lang w:val="de-DE"/>
        </w:rPr>
        <w:t>Zahlungsbestimmungsoptionen für Onlinedienste</w:t>
      </w:r>
      <w:bookmarkEnd w:id="677"/>
      <w:bookmarkEnd w:id="678"/>
      <w:bookmarkEnd w:id="679"/>
    </w:p>
    <w:p w:rsidR="008D4EE5" w:rsidRPr="009123CB" w:rsidRDefault="008D4EE5" w:rsidP="008D4EE5">
      <w:pPr>
        <w:ind w:left="720"/>
        <w:outlineLvl w:val="2"/>
        <w:rPr>
          <w:lang w:val="de-DE"/>
        </w:rPr>
      </w:pPr>
    </w:p>
    <w:p w:rsidR="008D4EE5" w:rsidRPr="009123CB" w:rsidRDefault="008D4EE5" w:rsidP="008D71A1">
      <w:pPr>
        <w:outlineLvl w:val="2"/>
        <w:rPr>
          <w:lang w:val="de-DE"/>
        </w:rPr>
      </w:pPr>
      <w:r w:rsidRPr="009123CB">
        <w:rPr>
          <w:rFonts w:cs="Tahoma"/>
          <w:szCs w:val="18"/>
          <w:lang w:val="de-DE"/>
        </w:rPr>
        <w:t>Der Kunde muss einjährige Onlinedienste-Abonnements zu Beginn der Abonnementlaufzeit vollständig bezahlen</w:t>
      </w:r>
      <w:r w:rsidR="006257A7">
        <w:rPr>
          <w:rFonts w:cs="Tahoma"/>
          <w:szCs w:val="18"/>
          <w:lang w:val="de-DE"/>
        </w:rPr>
        <w:t xml:space="preserve">. </w:t>
      </w:r>
      <w:r w:rsidRPr="009123CB">
        <w:rPr>
          <w:rFonts w:cs="Tahoma"/>
          <w:szCs w:val="18"/>
          <w:lang w:val="de-DE"/>
        </w:rPr>
        <w:t>Kunden, die sich für die identische Abonnementlaufzeit oder für „Abstimmung auf den 2</w:t>
      </w:r>
      <w:r w:rsidR="006257A7">
        <w:rPr>
          <w:rFonts w:cs="Tahoma"/>
          <w:szCs w:val="18"/>
          <w:lang w:val="de-DE"/>
        </w:rPr>
        <w:t xml:space="preserve">. </w:t>
      </w:r>
      <w:r w:rsidRPr="009123CB">
        <w:rPr>
          <w:rFonts w:cs="Tahoma"/>
          <w:szCs w:val="18"/>
          <w:lang w:val="de-DE"/>
        </w:rPr>
        <w:t>Jahrestag“ bei</w:t>
      </w:r>
      <w:r w:rsidR="008D71A1">
        <w:rPr>
          <w:rFonts w:cs="Tahoma"/>
          <w:szCs w:val="18"/>
          <w:lang w:val="de-DE"/>
        </w:rPr>
        <w:t> </w:t>
      </w:r>
      <w:r w:rsidRPr="009123CB">
        <w:rPr>
          <w:rFonts w:cs="Tahoma"/>
          <w:szCs w:val="18"/>
          <w:lang w:val="de-DE"/>
        </w:rPr>
        <w:t>Select Plus entschieden haben, haben die beiden folgenden Zahlungsoptionen: (1) volle Bezahlung zum Zeitpunkt der Bestellung für die gesamte Laufzeit des Abonnements oder (2) Ratenzahlungen, wobei die erste Zahlung zum Zeitpunkt der Bestellung für den Rest des laufenden Vertragsjahres zu leisten ist und die übrigen Zahlungen an jedem Jahrestag des Vertrages fällig sind (bei Select Plus wird der Jahrestag des Wirksamkeitsdatums des verbundenen Unternehmens anstelle des Jahrestages des Vertrages verwendet)</w:t>
      </w:r>
      <w:r w:rsidR="006257A7">
        <w:rPr>
          <w:rFonts w:cs="Tahoma"/>
          <w:szCs w:val="18"/>
          <w:lang w:val="de-DE"/>
        </w:rPr>
        <w:t xml:space="preserve">. </w:t>
      </w:r>
      <w:r w:rsidRPr="009123CB">
        <w:rPr>
          <w:rFonts w:cs="Tahoma"/>
          <w:szCs w:val="18"/>
          <w:lang w:val="de-DE"/>
        </w:rPr>
        <w:t>Select Plus-Kunden steht eine weitere, dritte Option zur Verfügung: Abrechnung am Jahrestag der Bestellung, wobei die erste Zahlung zum Zeitpunkt der Bestellung für 12 Monate zu leisten ist und die übrigen Zahlungen an jedem Jahrestag der Bestellung fällig sind (die letzte Zahlung deckt die restliche Laufzeit zwischen dem Jahrestag der Bestellung und dem Enddatum der Abonnementlaufzeit ab)</w:t>
      </w:r>
      <w:r w:rsidR="006257A7">
        <w:rPr>
          <w:rFonts w:cs="Tahoma"/>
          <w:szCs w:val="18"/>
          <w:lang w:val="de-DE"/>
        </w:rPr>
        <w:t xml:space="preserve">. </w:t>
      </w:r>
    </w:p>
    <w:p w:rsidR="008D4EE5" w:rsidRPr="009123CB" w:rsidRDefault="008D4EE5" w:rsidP="008D4EE5">
      <w:pPr>
        <w:outlineLvl w:val="2"/>
        <w:rPr>
          <w:lang w:val="de-DE"/>
        </w:rPr>
      </w:pPr>
    </w:p>
    <w:p w:rsidR="008D4EE5" w:rsidRPr="009123CB" w:rsidRDefault="008D4EE5" w:rsidP="008D4EE5">
      <w:pPr>
        <w:outlineLvl w:val="2"/>
        <w:rPr>
          <w:lang w:val="de-DE"/>
        </w:rPr>
      </w:pPr>
      <w:r w:rsidRPr="009123CB">
        <w:rPr>
          <w:rFonts w:cs="Tahoma"/>
          <w:szCs w:val="18"/>
          <w:lang w:val="de-DE"/>
        </w:rPr>
        <w:t>Darüber hinaus können Open Value-Kunden ebenfalls eine monatliche Zahlungsoption wählen</w:t>
      </w:r>
      <w:r w:rsidR="006257A7">
        <w:rPr>
          <w:rFonts w:cs="Tahoma"/>
          <w:szCs w:val="18"/>
          <w:lang w:val="de-DE"/>
        </w:rPr>
        <w:t xml:space="preserve">. </w:t>
      </w:r>
      <w:r w:rsidRPr="009123CB">
        <w:rPr>
          <w:rFonts w:cs="Tahoma"/>
          <w:szCs w:val="18"/>
          <w:lang w:val="de-DE"/>
        </w:rPr>
        <w:t>Für die monatliche Zahlungsoption wird einem teilnehmenden eingetragenen Rechnungsempfänger während der Abonnementlaufzeit automatisch jeden Monat die Anzahl der vom Kunden bestellten Abonnements in Rechnung gestellt</w:t>
      </w:r>
      <w:r w:rsidR="006257A7">
        <w:rPr>
          <w:rFonts w:cs="Tahoma"/>
          <w:szCs w:val="18"/>
          <w:lang w:val="de-DE"/>
        </w:rPr>
        <w:t xml:space="preserve">. </w:t>
      </w:r>
    </w:p>
    <w:p w:rsidR="008D4EE5" w:rsidRPr="009123CB" w:rsidRDefault="008D4EE5" w:rsidP="008D4EE5">
      <w:pPr>
        <w:outlineLvl w:val="2"/>
        <w:rPr>
          <w:lang w:val="de-DE"/>
        </w:rPr>
      </w:pPr>
    </w:p>
    <w:p w:rsidR="008D4EE5" w:rsidRPr="009123CB" w:rsidRDefault="008D4EE5" w:rsidP="008D71A1">
      <w:pPr>
        <w:outlineLvl w:val="2"/>
        <w:rPr>
          <w:lang w:val="de-DE"/>
        </w:rPr>
      </w:pPr>
      <w:r w:rsidRPr="009123CB">
        <w:rPr>
          <w:rFonts w:cs="Tahoma"/>
          <w:szCs w:val="18"/>
          <w:lang w:val="de-DE"/>
        </w:rPr>
        <w:t>Die Preise und Zahlungsbestimmungen für Abonnements, die über Handelspartner erworben werden, werden durch</w:t>
      </w:r>
      <w:r w:rsidR="008D71A1">
        <w:rPr>
          <w:rFonts w:cs="Tahoma"/>
          <w:szCs w:val="18"/>
          <w:lang w:val="de-DE"/>
        </w:rPr>
        <w:t> </w:t>
      </w:r>
      <w:r w:rsidRPr="009123CB">
        <w:rPr>
          <w:rFonts w:cs="Tahoma"/>
          <w:szCs w:val="18"/>
          <w:lang w:val="de-DE"/>
        </w:rPr>
        <w:t>den Vertrag zwischen dem Kunden und seinem Handelspartner festgelegt</w:t>
      </w:r>
      <w:r w:rsidR="006257A7">
        <w:rPr>
          <w:rFonts w:cs="Tahoma"/>
          <w:szCs w:val="18"/>
          <w:lang w:val="de-DE"/>
        </w:rPr>
        <w:t xml:space="preserve">. </w:t>
      </w:r>
      <w:r w:rsidRPr="009123CB">
        <w:rPr>
          <w:rFonts w:cs="Tahoma"/>
          <w:szCs w:val="18"/>
          <w:lang w:val="de-DE"/>
        </w:rPr>
        <w:t>Es sei denn, der Kunde hat eine Konzernbeitritt-Zusatzvereinbarung – Hinzufügen von Konzern-Onlinediensten abgeschlossen, muss der Kunde ungeachtet gegenteiliger Bestimmungen in seinem Vertrag ein Onlinedienste-Abonnement bestellen, bevor das Abonnement erstmals verwendet wird</w:t>
      </w:r>
      <w:r w:rsidR="006257A7">
        <w:rPr>
          <w:rFonts w:cs="Tahoma"/>
          <w:szCs w:val="18"/>
          <w:lang w:val="de-DE"/>
        </w:rPr>
        <w:t xml:space="preserve">. </w:t>
      </w:r>
      <w:r w:rsidRPr="009123CB">
        <w:rPr>
          <w:rFonts w:cs="Tahoma"/>
          <w:szCs w:val="18"/>
          <w:lang w:val="de-DE"/>
        </w:rPr>
        <w:t>Kunden mit einem Konzernvertrag sind nicht berechtigt, eine True Up-Bestellung für weitere Abonnementlizenzen einzureichen</w:t>
      </w:r>
      <w:r w:rsidR="006257A7">
        <w:rPr>
          <w:rFonts w:cs="Tahoma"/>
          <w:szCs w:val="18"/>
          <w:lang w:val="de-DE"/>
        </w:rPr>
        <w:t xml:space="preserve">. </w:t>
      </w:r>
    </w:p>
    <w:p w:rsidR="008D4EE5" w:rsidRPr="009123CB" w:rsidRDefault="008D4EE5" w:rsidP="008D4EE5">
      <w:pPr>
        <w:outlineLvl w:val="2"/>
        <w:rPr>
          <w:lang w:val="de-DE"/>
        </w:rPr>
      </w:pPr>
    </w:p>
    <w:p w:rsidR="008D4EE5" w:rsidRPr="009123CB" w:rsidRDefault="008D4EE5" w:rsidP="008D4EE5">
      <w:pPr>
        <w:outlineLvl w:val="2"/>
        <w:rPr>
          <w:lang w:val="de-DE"/>
        </w:rPr>
      </w:pPr>
      <w:r w:rsidRPr="009123CB">
        <w:rPr>
          <w:rFonts w:cs="Tahoma"/>
          <w:szCs w:val="18"/>
          <w:lang w:val="de-DE"/>
        </w:rPr>
        <w:t>Spezifische Informationen zu Windows Azure-Diensten finden Sie unten im Abschnitt „Windows Azure-Dienste“</w:t>
      </w:r>
      <w:r w:rsidR="006257A7">
        <w:rPr>
          <w:rFonts w:cs="Tahoma"/>
          <w:szCs w:val="18"/>
          <w:lang w:val="de-DE"/>
        </w:rPr>
        <w:t xml:space="preserve">. </w:t>
      </w:r>
    </w:p>
    <w:p w:rsidR="008D4EE5" w:rsidRPr="009123CB" w:rsidRDefault="008D4EE5" w:rsidP="008D4EE5">
      <w:pPr>
        <w:outlineLvl w:val="2"/>
        <w:rPr>
          <w:lang w:val="de-DE"/>
        </w:rPr>
      </w:pPr>
    </w:p>
    <w:p w:rsidR="008D4EE5" w:rsidRPr="009123CB" w:rsidRDefault="008D4EE5" w:rsidP="008D4EE5">
      <w:pPr>
        <w:pStyle w:val="Heading2"/>
        <w:ind w:left="0"/>
        <w:rPr>
          <w:lang w:val="de-DE"/>
        </w:rPr>
      </w:pPr>
      <w:bookmarkStart w:id="680" w:name="_Toc328145983"/>
      <w:bookmarkStart w:id="681" w:name="_Toc336338213"/>
      <w:bookmarkStart w:id="682" w:name="_Toc363998951"/>
      <w:r w:rsidRPr="009123CB">
        <w:rPr>
          <w:rFonts w:ascii="Tahoma" w:hAnsi="Tahoma" w:cs="Tahoma"/>
          <w:lang w:val="de-DE"/>
        </w:rPr>
        <w:t>Mindesterwerbsanforderungen für Onlinedienste im Rahmen der Volumenlizenzierung</w:t>
      </w:r>
      <w:bookmarkEnd w:id="680"/>
      <w:bookmarkEnd w:id="681"/>
      <w:bookmarkEnd w:id="682"/>
    </w:p>
    <w:p w:rsidR="008D4EE5" w:rsidRPr="009123CB" w:rsidRDefault="008D4EE5" w:rsidP="008D4EE5">
      <w:pPr>
        <w:outlineLvl w:val="2"/>
        <w:rPr>
          <w:lang w:val="de-DE"/>
        </w:rPr>
      </w:pPr>
    </w:p>
    <w:p w:rsidR="008D4EE5" w:rsidRPr="009123CB" w:rsidRDefault="008D4EE5" w:rsidP="008D4EE5">
      <w:pPr>
        <w:outlineLvl w:val="2"/>
        <w:rPr>
          <w:lang w:val="de-DE"/>
        </w:rPr>
      </w:pPr>
      <w:r w:rsidRPr="009123CB">
        <w:rPr>
          <w:rFonts w:cs="Tahoma"/>
          <w:szCs w:val="18"/>
          <w:lang w:val="de-DE"/>
        </w:rPr>
        <w:t>Ein Kunde ist mit einem Mindesterwerb von 5 Lizenzen für das Open Value-Programm qualifiziert</w:t>
      </w:r>
      <w:r w:rsidR="006257A7">
        <w:rPr>
          <w:rFonts w:cs="Tahoma"/>
          <w:szCs w:val="18"/>
          <w:lang w:val="de-DE"/>
        </w:rPr>
        <w:t xml:space="preserve">. </w:t>
      </w:r>
      <w:r w:rsidRPr="009123CB">
        <w:rPr>
          <w:rFonts w:cs="Tahoma"/>
          <w:szCs w:val="18"/>
          <w:lang w:val="de-DE"/>
        </w:rPr>
        <w:t>Diese Regel gilt auch für das Bestimmen der Anzahl von Nutzer-Abonnementlizenzen für Onlinedienste (Nutzer-ALs)</w:t>
      </w:r>
      <w:r w:rsidR="006257A7">
        <w:rPr>
          <w:rFonts w:cs="Tahoma"/>
          <w:szCs w:val="18"/>
          <w:lang w:val="de-DE"/>
        </w:rPr>
        <w:t xml:space="preserve">. </w:t>
      </w:r>
      <w:r w:rsidRPr="009123CB">
        <w:rPr>
          <w:rFonts w:cs="Tahoma"/>
          <w:szCs w:val="18"/>
          <w:lang w:val="de-DE"/>
        </w:rPr>
        <w:t>Eine Nutzer-AL kann bei der Bestimmung der Mindestmenge von 5 Lizenzen mitgezählt werden</w:t>
      </w:r>
      <w:r w:rsidR="006257A7">
        <w:rPr>
          <w:rFonts w:cs="Tahoma"/>
          <w:szCs w:val="18"/>
          <w:lang w:val="de-DE"/>
        </w:rPr>
        <w:t xml:space="preserve">. </w:t>
      </w:r>
      <w:r w:rsidRPr="009123CB">
        <w:rPr>
          <w:rFonts w:cs="Tahoma"/>
          <w:szCs w:val="18"/>
          <w:lang w:val="de-DE"/>
        </w:rPr>
        <w:t>Eine Bestellung von 5 Nutzer-ALs erfüllt die Mindestanforderung des Open Value-Programms</w:t>
      </w:r>
      <w:r w:rsidR="006257A7">
        <w:rPr>
          <w:rFonts w:cs="Tahoma"/>
          <w:szCs w:val="18"/>
          <w:lang w:val="de-DE"/>
        </w:rPr>
        <w:t xml:space="preserve">. </w:t>
      </w:r>
      <w:r w:rsidRPr="009123CB">
        <w:rPr>
          <w:rFonts w:cs="Tahoma"/>
          <w:szCs w:val="18"/>
          <w:lang w:val="de-DE"/>
        </w:rPr>
        <w:t>Allerdings erfüllen 5 Nutzer-ALs allein nicht die Mindestanforderung für die unternehmensweite Option von Open Value und für Open Value Subscription</w:t>
      </w:r>
      <w:r w:rsidR="006257A7">
        <w:rPr>
          <w:rFonts w:cs="Tahoma"/>
          <w:szCs w:val="18"/>
          <w:lang w:val="de-DE"/>
        </w:rPr>
        <w:t xml:space="preserve">. </w:t>
      </w:r>
      <w:r w:rsidRPr="009123CB">
        <w:rPr>
          <w:rFonts w:cs="Tahoma"/>
          <w:szCs w:val="18"/>
          <w:lang w:val="de-DE"/>
        </w:rPr>
        <w:t>Für die unternehmensweite OV-Option und OV Subscription muss die Anfangsbestellung zusätzlich zu Nutzer-ALs mindestens 5 Desktop-Plattform- oder Desktop-Komponenten-Lizenzen umfassen</w:t>
      </w:r>
      <w:r w:rsidR="006257A7">
        <w:rPr>
          <w:rFonts w:cs="Tahoma"/>
          <w:szCs w:val="18"/>
          <w:lang w:val="de-DE"/>
        </w:rPr>
        <w:t xml:space="preserve">. </w:t>
      </w:r>
    </w:p>
    <w:p w:rsidR="008D4EE5" w:rsidRDefault="008D4EE5" w:rsidP="008D4EE5">
      <w:pPr>
        <w:outlineLvl w:val="2"/>
        <w:rPr>
          <w:lang w:val="de-DE"/>
        </w:rPr>
      </w:pPr>
    </w:p>
    <w:p w:rsidR="008D71A1" w:rsidRDefault="008D71A1" w:rsidP="008D4EE5">
      <w:pPr>
        <w:outlineLvl w:val="2"/>
        <w:rPr>
          <w:lang w:val="de-DE"/>
        </w:rPr>
      </w:pPr>
    </w:p>
    <w:p w:rsidR="008D71A1" w:rsidRDefault="008D71A1" w:rsidP="008D4EE5">
      <w:pPr>
        <w:outlineLvl w:val="2"/>
        <w:rPr>
          <w:lang w:val="de-DE"/>
        </w:rPr>
      </w:pPr>
    </w:p>
    <w:p w:rsidR="008D71A1" w:rsidRDefault="008D71A1" w:rsidP="008D4EE5">
      <w:pPr>
        <w:outlineLvl w:val="2"/>
        <w:rPr>
          <w:lang w:val="de-DE"/>
        </w:rPr>
      </w:pPr>
    </w:p>
    <w:p w:rsidR="008D71A1" w:rsidRDefault="008D71A1" w:rsidP="008D4EE5">
      <w:pPr>
        <w:outlineLvl w:val="2"/>
        <w:rPr>
          <w:lang w:val="de-DE"/>
        </w:rPr>
      </w:pPr>
    </w:p>
    <w:p w:rsidR="008D71A1" w:rsidRDefault="008D71A1" w:rsidP="008D4EE5">
      <w:pPr>
        <w:outlineLvl w:val="2"/>
        <w:rPr>
          <w:lang w:val="de-DE"/>
        </w:rPr>
      </w:pPr>
    </w:p>
    <w:p w:rsidR="008D71A1" w:rsidRDefault="008D71A1" w:rsidP="008D4EE5">
      <w:pPr>
        <w:outlineLvl w:val="2"/>
        <w:rPr>
          <w:lang w:val="de-DE"/>
        </w:rPr>
      </w:pPr>
    </w:p>
    <w:p w:rsidR="008D71A1" w:rsidRDefault="008D71A1" w:rsidP="008D4EE5">
      <w:pPr>
        <w:outlineLvl w:val="2"/>
        <w:rPr>
          <w:lang w:val="de-DE"/>
        </w:rPr>
      </w:pPr>
    </w:p>
    <w:p w:rsidR="008D71A1" w:rsidRPr="009123CB" w:rsidRDefault="008D71A1" w:rsidP="008D4EE5">
      <w:pPr>
        <w:outlineLvl w:val="2"/>
        <w:rPr>
          <w:lang w:val="de-DE"/>
        </w:rPr>
      </w:pPr>
    </w:p>
    <w:p w:rsidR="008D4EE5" w:rsidRPr="009123CB" w:rsidRDefault="008D4EE5" w:rsidP="008D4EE5">
      <w:pPr>
        <w:pStyle w:val="Heading3"/>
        <w:rPr>
          <w:lang w:val="de-DE"/>
        </w:rPr>
      </w:pPr>
      <w:bookmarkStart w:id="683" w:name="_Toc336338214"/>
      <w:bookmarkStart w:id="684" w:name="_Toc363998952"/>
      <w:r w:rsidRPr="009123CB">
        <w:rPr>
          <w:rFonts w:ascii="Tahoma" w:hAnsi="Tahoma" w:cs="Tahoma"/>
          <w:sz w:val="24"/>
          <w:lang w:val="de-DE"/>
        </w:rPr>
        <w:t>Windows Azure-Dienste</w:t>
      </w:r>
      <w:bookmarkEnd w:id="683"/>
      <w:bookmarkEnd w:id="684"/>
    </w:p>
    <w:p w:rsidR="008D4EE5" w:rsidRPr="009123CB" w:rsidRDefault="008D4EE5" w:rsidP="00174833">
      <w:pPr>
        <w:spacing w:line="204" w:lineRule="auto"/>
        <w:outlineLvl w:val="1"/>
        <w:rPr>
          <w:lang w:val="de-DE"/>
        </w:rPr>
      </w:pPr>
    </w:p>
    <w:p w:rsidR="008D4EE5" w:rsidRPr="009123CB" w:rsidRDefault="008D4EE5" w:rsidP="008D4EE5">
      <w:pPr>
        <w:spacing w:after="60"/>
        <w:outlineLvl w:val="1"/>
        <w:rPr>
          <w:lang w:val="de-DE"/>
        </w:rPr>
      </w:pPr>
      <w:r w:rsidRPr="009123CB">
        <w:rPr>
          <w:rFonts w:cs="Tahoma"/>
          <w:b/>
          <w:szCs w:val="18"/>
          <w:lang w:val="de-DE"/>
        </w:rPr>
        <w:t>Definitionen</w:t>
      </w:r>
    </w:p>
    <w:p w:rsidR="008D4EE5" w:rsidRPr="009123CB" w:rsidRDefault="008D4EE5" w:rsidP="008D4EE5">
      <w:pPr>
        <w:outlineLvl w:val="1"/>
        <w:rPr>
          <w:lang w:val="de-DE"/>
        </w:rPr>
      </w:pPr>
      <w:r w:rsidRPr="009123CB">
        <w:rPr>
          <w:rFonts w:cs="Tahoma"/>
          <w:szCs w:val="18"/>
          <w:u w:val="single"/>
          <w:lang w:val="de-DE"/>
        </w:rPr>
        <w:t>Verpflichtungspreise</w:t>
      </w:r>
      <w:r w:rsidRPr="008D71A1">
        <w:rPr>
          <w:rFonts w:cs="Tahoma"/>
          <w:bCs/>
          <w:szCs w:val="18"/>
          <w:lang w:val="de-DE"/>
        </w:rPr>
        <w:t xml:space="preserve"> </w:t>
      </w:r>
      <w:r w:rsidRPr="009123CB">
        <w:rPr>
          <w:rFonts w:cs="Tahoma"/>
          <w:szCs w:val="18"/>
          <w:lang w:val="de-DE"/>
        </w:rPr>
        <w:t>sind Preise für jegliche Nutzung von Windows Azure-Diensten bis zur Zugewiesenen Jährlichen Verpflichtung</w:t>
      </w:r>
      <w:r w:rsidR="006257A7">
        <w:rPr>
          <w:rFonts w:cs="Tahoma"/>
          <w:szCs w:val="18"/>
          <w:lang w:val="de-DE"/>
        </w:rPr>
        <w:t xml:space="preserve">. </w:t>
      </w:r>
    </w:p>
    <w:p w:rsidR="008D4EE5" w:rsidRPr="009123CB" w:rsidRDefault="008D4EE5" w:rsidP="00174833">
      <w:pPr>
        <w:spacing w:line="204" w:lineRule="auto"/>
        <w:outlineLvl w:val="1"/>
        <w:rPr>
          <w:lang w:val="de-DE"/>
        </w:rPr>
      </w:pPr>
    </w:p>
    <w:p w:rsidR="008D4EE5" w:rsidRPr="009123CB" w:rsidRDefault="008D4EE5" w:rsidP="008D4EE5">
      <w:pPr>
        <w:outlineLvl w:val="1"/>
        <w:rPr>
          <w:lang w:val="de-DE"/>
        </w:rPr>
      </w:pPr>
      <w:r w:rsidRPr="009123CB">
        <w:rPr>
          <w:rFonts w:cs="Tahoma"/>
          <w:szCs w:val="18"/>
          <w:u w:val="single"/>
          <w:lang w:val="de-DE"/>
        </w:rPr>
        <w:t>Nutzungsabhängige Preise</w:t>
      </w:r>
      <w:r w:rsidRPr="009123CB">
        <w:rPr>
          <w:rFonts w:cs="Tahoma"/>
          <w:szCs w:val="18"/>
          <w:lang w:val="de-DE"/>
        </w:rPr>
        <w:t xml:space="preserve"> sind Preise für jegliche Nutzung von Windows Azure-Diensten, die über die Zugewiesene Jährliche Verpflichtung hinausgeht</w:t>
      </w:r>
      <w:r w:rsidR="006257A7">
        <w:rPr>
          <w:rFonts w:cs="Tahoma"/>
          <w:szCs w:val="18"/>
          <w:lang w:val="de-DE"/>
        </w:rPr>
        <w:t xml:space="preserve">. </w:t>
      </w:r>
      <w:r w:rsidRPr="009123CB">
        <w:rPr>
          <w:rFonts w:cs="Tahoma"/>
          <w:szCs w:val="18"/>
          <w:lang w:val="de-DE"/>
        </w:rPr>
        <w:t>Nutzungsabhängige Preise können in anderen Microsoft- oder Windows Azure-Dokumenten auch als „Überschreitungspreise“ oder „Überschreitung“ bezeichnet werden</w:t>
      </w:r>
      <w:r w:rsidR="006257A7">
        <w:rPr>
          <w:rFonts w:cs="Tahoma"/>
          <w:szCs w:val="18"/>
          <w:lang w:val="de-DE"/>
        </w:rPr>
        <w:t xml:space="preserve">. </w:t>
      </w:r>
    </w:p>
    <w:p w:rsidR="008D4EE5" w:rsidRPr="009123CB" w:rsidRDefault="008D4EE5" w:rsidP="00174833">
      <w:pPr>
        <w:spacing w:line="204" w:lineRule="auto"/>
        <w:outlineLvl w:val="1"/>
        <w:rPr>
          <w:lang w:val="de-DE"/>
        </w:rPr>
      </w:pPr>
    </w:p>
    <w:p w:rsidR="008D4EE5" w:rsidRPr="009123CB" w:rsidRDefault="008D4EE5" w:rsidP="008D4EE5">
      <w:pPr>
        <w:outlineLvl w:val="1"/>
        <w:rPr>
          <w:lang w:val="de-DE"/>
        </w:rPr>
      </w:pPr>
      <w:r w:rsidRPr="009123CB">
        <w:rPr>
          <w:rFonts w:cs="Tahoma"/>
          <w:szCs w:val="18"/>
          <w:u w:val="single"/>
          <w:lang w:val="de-DE"/>
        </w:rPr>
        <w:t>Finanzielle Verpflichtung</w:t>
      </w:r>
      <w:r w:rsidRPr="009123CB">
        <w:rPr>
          <w:rFonts w:cs="Tahoma"/>
          <w:szCs w:val="18"/>
          <w:lang w:val="de-DE"/>
        </w:rPr>
        <w:t xml:space="preserve"> ist der Gesamtgeldbetrag, zu dessen Zahlung sich ein Kunde während der Abonnementlaufzeit für seine Nutzung der Windows Azure-Dienste verpflichtet</w:t>
      </w:r>
      <w:r w:rsidR="006257A7">
        <w:rPr>
          <w:rFonts w:cs="Tahoma"/>
          <w:szCs w:val="18"/>
          <w:lang w:val="de-DE"/>
        </w:rPr>
        <w:t xml:space="preserve">. </w:t>
      </w:r>
    </w:p>
    <w:p w:rsidR="008D4EE5" w:rsidRPr="009123CB" w:rsidRDefault="008D4EE5" w:rsidP="00174833">
      <w:pPr>
        <w:spacing w:line="204" w:lineRule="auto"/>
        <w:outlineLvl w:val="1"/>
        <w:rPr>
          <w:lang w:val="de-DE"/>
        </w:rPr>
      </w:pPr>
    </w:p>
    <w:p w:rsidR="008D4EE5" w:rsidRPr="009123CB" w:rsidRDefault="008D4EE5" w:rsidP="00174833">
      <w:pPr>
        <w:outlineLvl w:val="1"/>
        <w:rPr>
          <w:lang w:val="de-DE"/>
        </w:rPr>
      </w:pPr>
      <w:r w:rsidRPr="009123CB">
        <w:rPr>
          <w:rFonts w:cs="Tahoma"/>
          <w:szCs w:val="18"/>
          <w:u w:val="single"/>
          <w:lang w:val="de-DE"/>
        </w:rPr>
        <w:t>Zugewiesene Jährliche Verpflichtung</w:t>
      </w:r>
      <w:r w:rsidRPr="009123CB">
        <w:rPr>
          <w:rFonts w:cs="Tahoma"/>
          <w:szCs w:val="18"/>
          <w:lang w:val="de-DE"/>
        </w:rPr>
        <w:t xml:space="preserve"> ist der Teil der Finanziellen Verpflichtung, der jährlich auf die gesamte Beitrittslaufzeit zugewiesen ist</w:t>
      </w:r>
      <w:r w:rsidR="006257A7">
        <w:rPr>
          <w:rFonts w:cs="Tahoma"/>
          <w:szCs w:val="18"/>
          <w:lang w:val="de-DE"/>
        </w:rPr>
        <w:t xml:space="preserve">. </w:t>
      </w:r>
      <w:r w:rsidRPr="009123CB">
        <w:rPr>
          <w:rFonts w:cs="Tahoma"/>
          <w:szCs w:val="18"/>
          <w:lang w:val="de-DE"/>
        </w:rPr>
        <w:t>Bei der Option eines Ein-Jahres-Abonnements entspricht die Zugewiesene Jährliche</w:t>
      </w:r>
      <w:r w:rsidR="00174833">
        <w:rPr>
          <w:rFonts w:cs="Tahoma"/>
          <w:szCs w:val="18"/>
          <w:lang w:val="de-DE"/>
        </w:rPr>
        <w:t> </w:t>
      </w:r>
      <w:r w:rsidRPr="009123CB">
        <w:rPr>
          <w:rFonts w:cs="Tahoma"/>
          <w:szCs w:val="18"/>
          <w:lang w:val="de-DE"/>
        </w:rPr>
        <w:t>Verpflichtung der Finanziellen Verpflichtung</w:t>
      </w:r>
      <w:r w:rsidR="006257A7">
        <w:rPr>
          <w:rFonts w:cs="Tahoma"/>
          <w:szCs w:val="18"/>
          <w:lang w:val="de-DE"/>
        </w:rPr>
        <w:t xml:space="preserve">. </w:t>
      </w:r>
    </w:p>
    <w:p w:rsidR="008D4EE5" w:rsidRPr="009123CB" w:rsidRDefault="008D4EE5" w:rsidP="00174833">
      <w:pPr>
        <w:spacing w:line="204" w:lineRule="auto"/>
        <w:rPr>
          <w:lang w:val="de-DE"/>
        </w:rPr>
      </w:pPr>
    </w:p>
    <w:p w:rsidR="008D4EE5" w:rsidRPr="009123CB" w:rsidRDefault="008D4EE5" w:rsidP="008D4EE5">
      <w:pPr>
        <w:spacing w:after="60"/>
        <w:outlineLvl w:val="1"/>
        <w:rPr>
          <w:lang w:val="de-DE"/>
        </w:rPr>
      </w:pPr>
      <w:r w:rsidRPr="009123CB">
        <w:rPr>
          <w:rFonts w:cs="Tahoma"/>
          <w:b/>
          <w:szCs w:val="18"/>
          <w:lang w:val="de-DE"/>
        </w:rPr>
        <w:t>Abonnementlaufzeit</w:t>
      </w:r>
    </w:p>
    <w:p w:rsidR="008D4EE5" w:rsidRPr="009123CB" w:rsidRDefault="008D4EE5" w:rsidP="008D4EE5">
      <w:pPr>
        <w:outlineLvl w:val="1"/>
        <w:rPr>
          <w:lang w:val="de-DE"/>
        </w:rPr>
      </w:pPr>
      <w:r w:rsidRPr="009123CB">
        <w:rPr>
          <w:rFonts w:cs="Tahoma"/>
          <w:szCs w:val="18"/>
          <w:lang w:val="de-DE"/>
        </w:rPr>
        <w:t>Bei Windows Azure-Diensten können Kunden entweder eine einjährige Abonnementlaufzeit oder eine Abonnementlaufzeit wählen, die am Enddatum des Beitritts endet („identische Laufzeit“)</w:t>
      </w:r>
      <w:r w:rsidR="006257A7">
        <w:rPr>
          <w:rFonts w:cs="Tahoma"/>
          <w:szCs w:val="18"/>
          <w:lang w:val="de-DE"/>
        </w:rPr>
        <w:t xml:space="preserve">. </w:t>
      </w:r>
      <w:r w:rsidRPr="009123CB">
        <w:rPr>
          <w:lang w:val="de-DE"/>
        </w:rPr>
        <w:t>Kunden, die sich für die Ein-Jahres-Option entscheiden, müssen über mindestens 12 verbleibende Monate in ihrer Beitrittslaufzeit verfügen, und Kunden, die sich für die Option mit identischer Laufzeit entscheiden, müssen über mindestens zwei verbleibende Monate in ihrer Beitrittslaufzeit verfügen</w:t>
      </w:r>
      <w:r w:rsidR="006257A7">
        <w:rPr>
          <w:rFonts w:cs="Tahoma"/>
          <w:szCs w:val="18"/>
          <w:lang w:val="de-DE"/>
        </w:rPr>
        <w:t xml:space="preserve">. </w:t>
      </w:r>
    </w:p>
    <w:p w:rsidR="008D4EE5" w:rsidRPr="009123CB" w:rsidRDefault="008D4EE5" w:rsidP="00174833">
      <w:pPr>
        <w:spacing w:line="204" w:lineRule="auto"/>
        <w:rPr>
          <w:lang w:val="de-DE"/>
        </w:rPr>
      </w:pPr>
    </w:p>
    <w:p w:rsidR="008D4EE5" w:rsidRPr="009123CB" w:rsidRDefault="008D4EE5" w:rsidP="008D4EE5">
      <w:pPr>
        <w:spacing w:after="60"/>
        <w:outlineLvl w:val="1"/>
        <w:rPr>
          <w:lang w:val="de-DE"/>
        </w:rPr>
      </w:pPr>
      <w:r w:rsidRPr="009123CB">
        <w:rPr>
          <w:rFonts w:cs="Tahoma"/>
          <w:b/>
          <w:szCs w:val="18"/>
          <w:lang w:val="de-DE"/>
        </w:rPr>
        <w:t>Finanzielle Verpflichtung</w:t>
      </w:r>
    </w:p>
    <w:p w:rsidR="008D4EE5" w:rsidRPr="009123CB" w:rsidRDefault="008D4EE5" w:rsidP="008D4EE5">
      <w:pPr>
        <w:outlineLvl w:val="1"/>
        <w:rPr>
          <w:lang w:val="de-DE"/>
        </w:rPr>
      </w:pPr>
      <w:r w:rsidRPr="009123CB">
        <w:rPr>
          <w:rFonts w:cs="Tahoma"/>
          <w:szCs w:val="18"/>
          <w:lang w:val="de-DE"/>
        </w:rPr>
        <w:t>Die Anfangsbestellung des Kunden muss eine Finanzielle Verpflichtung enthalten und kann jederzeit vor dem letzten Monat der Beitrittslaufzeit abgegeben werden</w:t>
      </w:r>
      <w:r w:rsidR="006257A7">
        <w:rPr>
          <w:rFonts w:cs="Tahoma"/>
          <w:szCs w:val="18"/>
          <w:lang w:val="de-DE"/>
        </w:rPr>
        <w:t xml:space="preserve">. </w:t>
      </w:r>
      <w:r w:rsidRPr="009123CB">
        <w:rPr>
          <w:rFonts w:cs="Tahoma"/>
          <w:szCs w:val="18"/>
          <w:lang w:val="de-DE"/>
        </w:rPr>
        <w:t>Die Finanzielle Verpflichtung unter der Option eines Ein-Jahres-Abonnements wird für die folgenden 12 Monate anteilig berechnet</w:t>
      </w:r>
      <w:r w:rsidR="006257A7">
        <w:rPr>
          <w:rFonts w:cs="Tahoma"/>
          <w:szCs w:val="18"/>
          <w:lang w:val="de-DE"/>
        </w:rPr>
        <w:t xml:space="preserve">. </w:t>
      </w:r>
      <w:r w:rsidRPr="009123CB">
        <w:rPr>
          <w:rFonts w:cs="Tahoma"/>
          <w:szCs w:val="18"/>
          <w:lang w:val="de-DE"/>
        </w:rPr>
        <w:t>Die Finanzielle Verpflichtung unter der Abonnementoption mit identischer Laufzeit wird anteilig auf die gesamte Beitrittslaufzeit verteilt</w:t>
      </w:r>
      <w:r w:rsidR="006257A7">
        <w:rPr>
          <w:rFonts w:cs="Tahoma"/>
          <w:szCs w:val="18"/>
          <w:lang w:val="de-DE"/>
        </w:rPr>
        <w:t xml:space="preserve">. </w:t>
      </w:r>
    </w:p>
    <w:p w:rsidR="008D4EE5" w:rsidRPr="009123CB" w:rsidRDefault="008D4EE5" w:rsidP="00174833">
      <w:pPr>
        <w:spacing w:line="204" w:lineRule="auto"/>
        <w:outlineLvl w:val="1"/>
        <w:rPr>
          <w:lang w:val="de-DE"/>
        </w:rPr>
      </w:pPr>
    </w:p>
    <w:p w:rsidR="008D4EE5" w:rsidRPr="009123CB" w:rsidRDefault="008D4EE5" w:rsidP="008D4EE5">
      <w:pPr>
        <w:rPr>
          <w:lang w:val="de-DE"/>
        </w:rPr>
      </w:pPr>
      <w:r w:rsidRPr="009123CB">
        <w:rPr>
          <w:lang w:val="de-DE"/>
        </w:rPr>
        <w:t>Kunden können ihre Finanzielle Verpflichtung jederzeit durch Abgabe zusätzlicher Bestellungen erhöhen</w:t>
      </w:r>
      <w:r w:rsidR="006257A7">
        <w:rPr>
          <w:lang w:val="de-DE"/>
        </w:rPr>
        <w:t xml:space="preserve">. </w:t>
      </w:r>
      <w:r w:rsidRPr="009123CB">
        <w:rPr>
          <w:lang w:val="de-DE"/>
        </w:rPr>
        <w:t>Zusätzliche Bestellungen werden der aktuellen Zugewiesenen Jährlichen Verpflichtung hinzugefügt und stehen am ersten Tag des Monats, nachdem Microsoft diese Bestellung bearbeitet hat, zur Verwendung zur Verfügung</w:t>
      </w:r>
      <w:r w:rsidR="006257A7">
        <w:rPr>
          <w:lang w:val="de-DE"/>
        </w:rPr>
        <w:t xml:space="preserve">. </w:t>
      </w:r>
      <w:r w:rsidRPr="009123CB">
        <w:rPr>
          <w:lang w:val="de-DE"/>
        </w:rPr>
        <w:t xml:space="preserve">Bei der </w:t>
      </w:r>
      <w:r w:rsidRPr="009123CB">
        <w:rPr>
          <w:rFonts w:cs="Tahoma"/>
          <w:szCs w:val="18"/>
          <w:lang w:val="de-DE"/>
        </w:rPr>
        <w:t>Abonnementoption mit identischer Laufzeit</w:t>
      </w:r>
      <w:r w:rsidRPr="009123CB">
        <w:rPr>
          <w:lang w:val="de-DE"/>
        </w:rPr>
        <w:t xml:space="preserve"> werden die künftigen Zugewiesenen Jährlichen Verpflichtungen des Kunden um den Betrag der zusätzlichen Bestellung multipliziert mit zwölf und dividiert durch die Anzahl der vollständigen, in dem Jahr verbleibenden Monate, in dem die zusätzliche Bestellung abgegeben wurde, erhöht</w:t>
      </w:r>
      <w:r w:rsidR="006257A7">
        <w:rPr>
          <w:lang w:val="de-DE"/>
        </w:rPr>
        <w:t xml:space="preserve">. </w:t>
      </w:r>
    </w:p>
    <w:p w:rsidR="008D4EE5" w:rsidRPr="009123CB" w:rsidRDefault="008D4EE5" w:rsidP="00174833">
      <w:pPr>
        <w:spacing w:line="204" w:lineRule="auto"/>
        <w:rPr>
          <w:lang w:val="de-DE"/>
        </w:rPr>
      </w:pPr>
    </w:p>
    <w:p w:rsidR="008D4EE5" w:rsidRPr="009123CB" w:rsidRDefault="008D4EE5" w:rsidP="008D4EE5">
      <w:pPr>
        <w:outlineLvl w:val="1"/>
        <w:rPr>
          <w:lang w:val="de-DE"/>
        </w:rPr>
      </w:pPr>
      <w:r w:rsidRPr="009123CB">
        <w:rPr>
          <w:rFonts w:cs="Tahoma"/>
          <w:szCs w:val="18"/>
          <w:lang w:val="de-DE"/>
        </w:rPr>
        <w:t xml:space="preserve">Bei der Option eines Ein-Jahres-Abonnements müssen Kunden ihre </w:t>
      </w:r>
      <w:r w:rsidRPr="009123CB">
        <w:rPr>
          <w:lang w:val="de-DE"/>
        </w:rPr>
        <w:t>Zugewiesene Jährliche Verpflichtung</w:t>
      </w:r>
      <w:r w:rsidRPr="009123CB">
        <w:rPr>
          <w:rFonts w:cs="Tahoma"/>
          <w:szCs w:val="18"/>
          <w:lang w:val="de-DE"/>
        </w:rPr>
        <w:t xml:space="preserve"> bis zum letzten Tag des 12</w:t>
      </w:r>
      <w:r w:rsidR="006257A7">
        <w:rPr>
          <w:rFonts w:cs="Tahoma"/>
          <w:szCs w:val="18"/>
          <w:lang w:val="de-DE"/>
        </w:rPr>
        <w:t xml:space="preserve">. </w:t>
      </w:r>
      <w:r w:rsidRPr="009123CB">
        <w:rPr>
          <w:rFonts w:cs="Tahoma"/>
          <w:szCs w:val="18"/>
          <w:lang w:val="de-DE"/>
        </w:rPr>
        <w:t>Monats nach der Bestellung und bei der Abonnementoption mit identischer Laufzeit bis zum letzten Tag des Monats vor dem Jahrestag des Beitritts verbraucht haben</w:t>
      </w:r>
      <w:r w:rsidR="006257A7">
        <w:rPr>
          <w:rFonts w:cs="Tahoma"/>
          <w:szCs w:val="18"/>
          <w:lang w:val="de-DE"/>
        </w:rPr>
        <w:t xml:space="preserve">. </w:t>
      </w:r>
      <w:r w:rsidRPr="009123CB">
        <w:rPr>
          <w:rFonts w:cs="Tahoma"/>
          <w:szCs w:val="18"/>
          <w:lang w:val="de-DE"/>
        </w:rPr>
        <w:t xml:space="preserve">Nicht verwendete Teile der </w:t>
      </w:r>
      <w:r w:rsidRPr="009123CB">
        <w:rPr>
          <w:lang w:val="de-DE"/>
        </w:rPr>
        <w:t xml:space="preserve">Zugewiesenen Jährlichen Verpflichtung </w:t>
      </w:r>
      <w:r w:rsidRPr="009123CB">
        <w:rPr>
          <w:rFonts w:cs="Tahoma"/>
          <w:szCs w:val="18"/>
          <w:lang w:val="de-DE"/>
        </w:rPr>
        <w:t xml:space="preserve">werden </w:t>
      </w:r>
      <w:r w:rsidRPr="009123CB">
        <w:rPr>
          <w:lang w:val="de-DE"/>
        </w:rPr>
        <w:t>nicht übertragen</w:t>
      </w:r>
      <w:r w:rsidRPr="009123CB">
        <w:rPr>
          <w:rFonts w:cs="Tahoma"/>
          <w:szCs w:val="18"/>
          <w:lang w:val="de-DE"/>
        </w:rPr>
        <w:t xml:space="preserve"> und verfallen</w:t>
      </w:r>
      <w:r w:rsidR="006257A7">
        <w:rPr>
          <w:rFonts w:cs="Tahoma"/>
          <w:szCs w:val="18"/>
          <w:lang w:val="de-DE"/>
        </w:rPr>
        <w:t xml:space="preserve">. </w:t>
      </w:r>
    </w:p>
    <w:p w:rsidR="008D4EE5" w:rsidRPr="009123CB" w:rsidRDefault="008D4EE5" w:rsidP="00174833">
      <w:pPr>
        <w:spacing w:line="204" w:lineRule="auto"/>
        <w:rPr>
          <w:lang w:val="de-DE"/>
        </w:rPr>
      </w:pPr>
    </w:p>
    <w:p w:rsidR="008D4EE5" w:rsidRPr="009123CB" w:rsidRDefault="008D4EE5" w:rsidP="008D4EE5">
      <w:pPr>
        <w:spacing w:after="60"/>
        <w:outlineLvl w:val="1"/>
        <w:rPr>
          <w:lang w:val="de-DE"/>
        </w:rPr>
      </w:pPr>
      <w:r w:rsidRPr="009123CB">
        <w:rPr>
          <w:rFonts w:cs="Tahoma"/>
          <w:b/>
          <w:szCs w:val="18"/>
          <w:lang w:val="de-DE"/>
        </w:rPr>
        <w:t xml:space="preserve">Zahlung und Gebühren </w:t>
      </w:r>
    </w:p>
    <w:p w:rsidR="008D4EE5" w:rsidRPr="009123CB" w:rsidRDefault="008D4EE5" w:rsidP="008D4EE5">
      <w:pPr>
        <w:rPr>
          <w:lang w:val="de-DE"/>
        </w:rPr>
      </w:pPr>
      <w:r w:rsidRPr="009123CB">
        <w:rPr>
          <w:lang w:val="de-DE"/>
        </w:rPr>
        <w:t>Bei der Option eines Ein-Jahres-Abonnements werden Bestellungen unmittelbar den Kunden oder ihren Handelspartnern in Rechnung gestellt</w:t>
      </w:r>
      <w:r w:rsidR="006257A7">
        <w:rPr>
          <w:lang w:val="de-DE"/>
        </w:rPr>
        <w:t xml:space="preserve">. </w:t>
      </w:r>
      <w:r w:rsidRPr="009123CB">
        <w:rPr>
          <w:lang w:val="de-DE"/>
        </w:rPr>
        <w:t xml:space="preserve">Bei der </w:t>
      </w:r>
      <w:r w:rsidRPr="009123CB">
        <w:rPr>
          <w:rFonts w:cs="Tahoma"/>
          <w:szCs w:val="18"/>
          <w:lang w:val="de-DE"/>
        </w:rPr>
        <w:t xml:space="preserve">Abonnementoption mit identischer Laufzeit wird die </w:t>
      </w:r>
      <w:r w:rsidRPr="009123CB">
        <w:rPr>
          <w:lang w:val="de-DE"/>
        </w:rPr>
        <w:t>erste Zugewiesene Jährliche Verpflichtung unmittelbar in Rechnung gestellt, und künftige Zugewiesene Jährliche Verpflichtungen werden am Jahrestag des Wirksamkeitsdatums des Beitritts in Rechnung gestellt</w:t>
      </w:r>
      <w:r w:rsidR="006257A7">
        <w:rPr>
          <w:lang w:val="de-DE"/>
        </w:rPr>
        <w:t xml:space="preserve">. </w:t>
      </w:r>
      <w:r w:rsidRPr="009123CB">
        <w:rPr>
          <w:lang w:val="de-DE"/>
        </w:rPr>
        <w:t>Alternativ können sich Kunden dafür entscheiden, ihre gesamte Finanzielle Verpflichtung bei Abgabe der Anfangsbestellung zu bezahlen</w:t>
      </w:r>
      <w:r w:rsidR="006257A7">
        <w:rPr>
          <w:lang w:val="de-DE"/>
        </w:rPr>
        <w:t xml:space="preserve">. </w:t>
      </w:r>
    </w:p>
    <w:p w:rsidR="008D4EE5" w:rsidRPr="009123CB" w:rsidRDefault="008D4EE5" w:rsidP="00174833">
      <w:pPr>
        <w:spacing w:line="204" w:lineRule="auto"/>
        <w:rPr>
          <w:lang w:val="de-DE"/>
        </w:rPr>
      </w:pPr>
    </w:p>
    <w:p w:rsidR="008D4EE5" w:rsidRPr="009123CB" w:rsidRDefault="008D4EE5" w:rsidP="00174833">
      <w:pPr>
        <w:rPr>
          <w:lang w:val="de-DE"/>
        </w:rPr>
      </w:pPr>
      <w:r w:rsidRPr="009123CB">
        <w:rPr>
          <w:lang w:val="de-DE"/>
        </w:rPr>
        <w:t>Jeden Monat zieht Microsoft den Geldwert der Nutzung von Windows Azure-Diensten eines Kunden von der</w:t>
      </w:r>
      <w:r w:rsidR="00174833">
        <w:rPr>
          <w:lang w:val="de-DE"/>
        </w:rPr>
        <w:t> </w:t>
      </w:r>
      <w:r w:rsidRPr="009123CB">
        <w:rPr>
          <w:lang w:val="de-DE"/>
        </w:rPr>
        <w:t>Zugewiesenen Jährlichen Verpflichtung ab</w:t>
      </w:r>
      <w:r w:rsidR="006257A7">
        <w:rPr>
          <w:lang w:val="de-DE"/>
        </w:rPr>
        <w:t xml:space="preserve">. </w:t>
      </w:r>
      <w:r w:rsidRPr="009123CB">
        <w:rPr>
          <w:lang w:val="de-DE"/>
        </w:rPr>
        <w:t>Sobald das Guthaben der Zugewiesenen Jährlichen Verpflichtung</w:t>
      </w:r>
      <w:r w:rsidR="00174833">
        <w:rPr>
          <w:lang w:val="de-DE"/>
        </w:rPr>
        <w:t> </w:t>
      </w:r>
      <w:r w:rsidRPr="009123CB">
        <w:rPr>
          <w:lang w:val="de-DE"/>
        </w:rPr>
        <w:t>erschöpft ist, wird die restliche Nutzung für diesen Monat und für alle verbleibenden Monate bei der</w:t>
      </w:r>
      <w:r w:rsidR="00174833">
        <w:rPr>
          <w:lang w:val="de-DE"/>
        </w:rPr>
        <w:t> </w:t>
      </w:r>
      <w:r w:rsidRPr="009123CB">
        <w:rPr>
          <w:lang w:val="de-DE"/>
        </w:rPr>
        <w:t>Option eines Ein-Jahres-Abonnements oder verbleibende Monate im laufenden Jahr des Beitritts bei der Option</w:t>
      </w:r>
      <w:r w:rsidR="00174833">
        <w:rPr>
          <w:lang w:val="de-DE"/>
        </w:rPr>
        <w:t> </w:t>
      </w:r>
      <w:r w:rsidRPr="009123CB">
        <w:rPr>
          <w:lang w:val="de-DE"/>
        </w:rPr>
        <w:t>mit identischer Laufzeit zu Nutzungsabhängigen Preisen in Rechnung gestellt</w:t>
      </w:r>
      <w:r w:rsidR="006257A7">
        <w:rPr>
          <w:lang w:val="de-DE"/>
        </w:rPr>
        <w:t xml:space="preserve">. </w:t>
      </w:r>
      <w:r w:rsidRPr="009123CB">
        <w:rPr>
          <w:lang w:val="de-DE"/>
        </w:rPr>
        <w:t>Wenn sich ein Kunde für die</w:t>
      </w:r>
      <w:r w:rsidR="00174833">
        <w:rPr>
          <w:lang w:val="de-DE"/>
        </w:rPr>
        <w:t> </w:t>
      </w:r>
      <w:r w:rsidRPr="009123CB">
        <w:rPr>
          <w:lang w:val="de-DE"/>
        </w:rPr>
        <w:t>Option eines Ein-Jahres-Abonnements entscheidet, wird jede Nutzung zu Nutzungsabhängigen Preisen dem Kunden oder seinem Handelspartner am Ende jedes Beitrittsquartals und am Ende der Abonnementlaufzeit in Rechnung gestellt</w:t>
      </w:r>
      <w:r w:rsidR="006257A7">
        <w:rPr>
          <w:lang w:val="de-DE"/>
        </w:rPr>
        <w:t xml:space="preserve">. </w:t>
      </w:r>
      <w:r w:rsidRPr="009123CB">
        <w:rPr>
          <w:lang w:val="de-DE"/>
        </w:rPr>
        <w:t>Wenn sich ein Kunde für die Abonnementoption mit identischer Laufzeit entscheidet, wird jede</w:t>
      </w:r>
      <w:r w:rsidR="00174833">
        <w:rPr>
          <w:lang w:val="de-DE"/>
        </w:rPr>
        <w:t> </w:t>
      </w:r>
      <w:r w:rsidRPr="009123CB">
        <w:rPr>
          <w:lang w:val="de-DE"/>
        </w:rPr>
        <w:t>Nutzung zu Nutzungsabhängigen Preisen dem Kunden oder seinem Handelspartner am Ende jedes Beitrittsquartals in Rechnung gestellt</w:t>
      </w:r>
      <w:r w:rsidR="006257A7">
        <w:rPr>
          <w:lang w:val="de-DE"/>
        </w:rPr>
        <w:t xml:space="preserve">. </w:t>
      </w:r>
    </w:p>
    <w:p w:rsidR="008D4EE5" w:rsidRPr="009123CB" w:rsidRDefault="008D4EE5" w:rsidP="008D4EE5">
      <w:pPr>
        <w:rPr>
          <w:lang w:val="de-DE"/>
        </w:rPr>
      </w:pPr>
      <w:r w:rsidRPr="009123CB">
        <w:rPr>
          <w:lang w:val="de-DE"/>
        </w:rPr>
        <w:t>Jegliche Nutzung der Windows Azure-Dienste nach Ablauf oder Kündigung der Abonnementlaufzeit eines Kunden wird dem Kunden oder seinem Handelspartner pro Quartal zu Nutzungsabhängigen Preisen in Rechnung gestellt</w:t>
      </w:r>
      <w:r w:rsidR="006257A7">
        <w:rPr>
          <w:lang w:val="de-DE"/>
        </w:rPr>
        <w:t xml:space="preserve">. </w:t>
      </w:r>
    </w:p>
    <w:p w:rsidR="008D4EE5" w:rsidRPr="009123CB" w:rsidRDefault="008D4EE5" w:rsidP="008D4EE5">
      <w:pPr>
        <w:rPr>
          <w:lang w:val="de-DE"/>
        </w:rPr>
      </w:pPr>
    </w:p>
    <w:p w:rsidR="008D4EE5" w:rsidRPr="009123CB" w:rsidRDefault="008D4EE5" w:rsidP="00174833">
      <w:pPr>
        <w:rPr>
          <w:lang w:val="de-DE"/>
        </w:rPr>
      </w:pPr>
      <w:r w:rsidRPr="009123CB">
        <w:rPr>
          <w:lang w:val="de-DE"/>
        </w:rPr>
        <w:t>Microsoft ist berechtigt, Preise für einzelne Windows Azure-Dienste während der Beitrittslaufzeit eines Kunden zu</w:t>
      </w:r>
      <w:r w:rsidR="00174833">
        <w:rPr>
          <w:lang w:val="de-DE"/>
        </w:rPr>
        <w:t> </w:t>
      </w:r>
      <w:r w:rsidRPr="009123CB">
        <w:rPr>
          <w:lang w:val="de-DE"/>
        </w:rPr>
        <w:t>senken</w:t>
      </w:r>
      <w:r w:rsidR="006257A7">
        <w:rPr>
          <w:lang w:val="de-DE"/>
        </w:rPr>
        <w:t xml:space="preserve">. </w:t>
      </w:r>
      <w:r w:rsidRPr="009123CB">
        <w:rPr>
          <w:lang w:val="de-DE"/>
        </w:rPr>
        <w:t>Bei Kunden, die Windows Azure-Dienste direkt von Microsoft erwerben, ist im Kundenpreisblatt möglicherweise ein höherer Preis als der zu dem Zeitpunkt aktuelle Preis angegeben</w:t>
      </w:r>
      <w:r w:rsidR="006257A7">
        <w:rPr>
          <w:lang w:val="de-DE"/>
        </w:rPr>
        <w:t xml:space="preserve">. </w:t>
      </w:r>
      <w:r w:rsidRPr="009123CB">
        <w:rPr>
          <w:lang w:val="de-DE"/>
        </w:rPr>
        <w:t>Microsoft gewährt diesen Kunden während des Zeitraums, in dem sie gültig sind, die niedrigeren Preise</w:t>
      </w:r>
      <w:r w:rsidR="006257A7">
        <w:rPr>
          <w:lang w:val="de-DE"/>
        </w:rPr>
        <w:t xml:space="preserve">. </w:t>
      </w:r>
      <w:r w:rsidRPr="009123CB">
        <w:rPr>
          <w:lang w:val="de-DE"/>
        </w:rPr>
        <w:t>Microsoft wird Kunden über derartige Änderungen informieren</w:t>
      </w:r>
      <w:r w:rsidR="006257A7">
        <w:rPr>
          <w:lang w:val="de-DE"/>
        </w:rPr>
        <w:t xml:space="preserve">. </w:t>
      </w:r>
    </w:p>
    <w:p w:rsidR="008D4EE5" w:rsidRPr="009123CB" w:rsidRDefault="008D4EE5" w:rsidP="008D4EE5">
      <w:pPr>
        <w:rPr>
          <w:lang w:val="de-DE"/>
        </w:rPr>
      </w:pPr>
    </w:p>
    <w:p w:rsidR="008D4EE5" w:rsidRPr="009123CB" w:rsidRDefault="008D4EE5" w:rsidP="008D4EE5">
      <w:pPr>
        <w:rPr>
          <w:lang w:val="de-DE"/>
        </w:rPr>
      </w:pPr>
      <w:r w:rsidRPr="009123CB">
        <w:rPr>
          <w:rFonts w:cs="Tahoma"/>
          <w:szCs w:val="18"/>
          <w:lang w:val="de-DE"/>
        </w:rPr>
        <w:t>Die Preise und Zahlungsbestimmungen für Abonnements, die über Handelspartner erworben werden, werden durch den Vertrag zwischen dem Kunden und seinem Handelspartner festgelegt</w:t>
      </w:r>
      <w:r w:rsidR="006257A7">
        <w:rPr>
          <w:rFonts w:cs="Tahoma"/>
          <w:szCs w:val="18"/>
          <w:lang w:val="de-DE"/>
        </w:rPr>
        <w:t xml:space="preserve">. </w:t>
      </w:r>
      <w:r w:rsidRPr="009123CB">
        <w:rPr>
          <w:rFonts w:cs="Tahoma"/>
          <w:szCs w:val="18"/>
          <w:lang w:val="de-DE"/>
        </w:rPr>
        <w:t xml:space="preserve">Der </w:t>
      </w:r>
      <w:r w:rsidRPr="009123CB">
        <w:rPr>
          <w:iCs/>
          <w:lang w:val="de-DE"/>
        </w:rPr>
        <w:t>Handelspartner eines Kunden stellt zusätzliche Informationen zum Bestellprozess für Windows Azure-Dienste zur Verfügung</w:t>
      </w:r>
      <w:r w:rsidR="006257A7">
        <w:rPr>
          <w:iCs/>
          <w:lang w:val="de-DE"/>
        </w:rPr>
        <w:t xml:space="preserve">. </w:t>
      </w:r>
      <w:r w:rsidRPr="009123CB">
        <w:rPr>
          <w:iCs/>
          <w:lang w:val="de-DE"/>
        </w:rPr>
        <w:t>Die Preise und Zahlungsbestimmungen für alle Windows Azure-Dienste werden durch einen separaten Vertrag zwischen dem Kunden und seinem Handelspartner geregelt</w:t>
      </w:r>
      <w:r w:rsidR="006257A7">
        <w:rPr>
          <w:iCs/>
          <w:lang w:val="de-DE"/>
        </w:rPr>
        <w:t xml:space="preserve">. </w:t>
      </w:r>
      <w:r w:rsidRPr="009123CB">
        <w:rPr>
          <w:lang w:val="de-DE"/>
        </w:rPr>
        <w:t>Microsoft ist berechtigt, Preise für einzelne Windows Azure-Dienste während der Beitrittslaufzeit eines Kunden zu senken und dem Handelspartner des Kunden in dem Zeitraum, in dem sie gültig sind, die niedrigeren Preise zu gewähren</w:t>
      </w:r>
      <w:r w:rsidR="006257A7">
        <w:rPr>
          <w:lang w:val="de-DE"/>
        </w:rPr>
        <w:t xml:space="preserve">. </w:t>
      </w:r>
      <w:r w:rsidRPr="009123CB">
        <w:rPr>
          <w:lang w:val="de-DE"/>
        </w:rPr>
        <w:t>Microsoft wird den Handelspartner des Kunden über derartige Änderungen informieren</w:t>
      </w:r>
      <w:r w:rsidR="006257A7">
        <w:rPr>
          <w:lang w:val="de-DE"/>
        </w:rPr>
        <w:t xml:space="preserve">. </w:t>
      </w:r>
      <w:r w:rsidRPr="009123CB">
        <w:rPr>
          <w:lang w:val="de-DE"/>
        </w:rPr>
        <w:t>Der Kunde und sein Handelspartner bestimmen die tatsächlichen Preise sowie die Anwendbarkeit von etwaigen Preisänderungen</w:t>
      </w:r>
      <w:r w:rsidR="006257A7">
        <w:rPr>
          <w:lang w:val="de-DE"/>
        </w:rPr>
        <w:t xml:space="preserve">. </w:t>
      </w:r>
    </w:p>
    <w:p w:rsidR="008D4EE5" w:rsidRPr="009123CB" w:rsidRDefault="008D4EE5" w:rsidP="008D4EE5">
      <w:pPr>
        <w:rPr>
          <w:lang w:val="de-DE"/>
        </w:rPr>
      </w:pPr>
    </w:p>
    <w:p w:rsidR="008D4EE5" w:rsidRPr="009123CB" w:rsidRDefault="008D4EE5" w:rsidP="008D4EE5">
      <w:pPr>
        <w:spacing w:after="60"/>
        <w:outlineLvl w:val="1"/>
        <w:rPr>
          <w:lang w:val="de-DE"/>
        </w:rPr>
      </w:pPr>
      <w:r w:rsidRPr="009123CB">
        <w:rPr>
          <w:rFonts w:cs="Tahoma"/>
          <w:b/>
          <w:sz w:val="20"/>
          <w:szCs w:val="18"/>
          <w:lang w:val="de-DE"/>
        </w:rPr>
        <w:t>Windows Azure-Verpflichtungspreise</w:t>
      </w:r>
    </w:p>
    <w:p w:rsidR="008D4EE5" w:rsidRPr="009123CB" w:rsidRDefault="008D4EE5" w:rsidP="00174833">
      <w:pPr>
        <w:outlineLvl w:val="1"/>
        <w:rPr>
          <w:lang w:val="de-DE"/>
        </w:rPr>
      </w:pPr>
      <w:r w:rsidRPr="009123CB">
        <w:rPr>
          <w:rFonts w:cs="Tahoma"/>
          <w:szCs w:val="18"/>
          <w:lang w:val="de-DE"/>
        </w:rPr>
        <w:t>Die Verpflichtungspreise der Kunden für Windows Azure-Dienste beruhen auf ihrer Finanziellen Windows Azure-Verpflichtungsstufe und auf ihrem Beitrittspreislevel</w:t>
      </w:r>
      <w:r w:rsidR="006257A7">
        <w:rPr>
          <w:rFonts w:cs="Tahoma"/>
          <w:szCs w:val="18"/>
          <w:lang w:val="de-DE"/>
        </w:rPr>
        <w:t xml:space="preserve">. </w:t>
      </w:r>
      <w:r w:rsidRPr="009123CB">
        <w:rPr>
          <w:rFonts w:cs="Tahoma"/>
          <w:szCs w:val="18"/>
          <w:lang w:val="de-DE"/>
        </w:rPr>
        <w:t>Die Finanzielle Windows Azure-Verpflichtungsstufe wird durch die jährliche Anzahl der Finanziellen Windows Azure-Verpflichtung bestimmt (d</w:t>
      </w:r>
      <w:r w:rsidR="006257A7">
        <w:rPr>
          <w:rFonts w:cs="Tahoma"/>
          <w:szCs w:val="18"/>
          <w:lang w:val="de-DE"/>
        </w:rPr>
        <w:t xml:space="preserve">. </w:t>
      </w:r>
      <w:r w:rsidRPr="009123CB">
        <w:rPr>
          <w:rFonts w:cs="Tahoma"/>
          <w:szCs w:val="18"/>
          <w:lang w:val="de-DE"/>
        </w:rPr>
        <w:t>h</w:t>
      </w:r>
      <w:r w:rsidR="006257A7">
        <w:rPr>
          <w:rFonts w:cs="Tahoma"/>
          <w:szCs w:val="18"/>
          <w:lang w:val="de-DE"/>
        </w:rPr>
        <w:t xml:space="preserve">. </w:t>
      </w:r>
      <w:r w:rsidRPr="009123CB">
        <w:rPr>
          <w:rFonts w:cs="Tahoma"/>
          <w:szCs w:val="18"/>
          <w:lang w:val="de-DE"/>
        </w:rPr>
        <w:t>den Gesamtgeldbetrag, zu dem sich der Kunde während der Laufzeit seines Windows Azure-Abonnements jährlich verpflichtet) und entspricht dem in</w:t>
      </w:r>
      <w:r w:rsidR="00174833">
        <w:rPr>
          <w:rFonts w:cs="Tahoma"/>
          <w:szCs w:val="18"/>
          <w:lang w:val="de-DE"/>
        </w:rPr>
        <w:t> </w:t>
      </w:r>
      <w:r w:rsidRPr="009123CB">
        <w:rPr>
          <w:rFonts w:cs="Tahoma"/>
          <w:szCs w:val="18"/>
          <w:lang w:val="de-DE"/>
        </w:rPr>
        <w:t>der Tabelle unten angegebenen Nachlass (als Prozentsatz auf die nutzungsabhängigen Preise/Überschreitungspreise für Windows Azure)</w:t>
      </w:r>
      <w:r w:rsidR="006257A7">
        <w:rPr>
          <w:rFonts w:cs="Tahoma"/>
          <w:szCs w:val="18"/>
          <w:lang w:val="de-DE"/>
        </w:rPr>
        <w:t xml:space="preserve">. </w:t>
      </w:r>
    </w:p>
    <w:p w:rsidR="008D4EE5" w:rsidRPr="009123CB" w:rsidRDefault="008D4EE5" w:rsidP="008D4EE5">
      <w:pPr>
        <w:ind w:left="720"/>
        <w:outlineLvl w:val="1"/>
        <w:rPr>
          <w:lang w:val="de-DE"/>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8D4EE5" w:rsidRPr="002D53EB" w:rsidTr="00A67771">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8D4EE5" w:rsidRPr="002D53EB" w:rsidRDefault="008D4EE5" w:rsidP="00A67771">
            <w:pPr>
              <w:jc w:val="center"/>
              <w:rPr>
                <w:rFonts w:eastAsia="Times New Roman" w:cs="Tahoma"/>
                <w:b/>
                <w:bCs/>
                <w:szCs w:val="18"/>
              </w:rPr>
            </w:pPr>
            <w:r>
              <w:rPr>
                <w:rFonts w:cs="Tahoma"/>
                <w:b/>
                <w:bCs/>
                <w:szCs w:val="18"/>
              </w:rPr>
              <w:t>Finanzielle Windows Azure-Verpflichtungsstufen</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8D4EE5" w:rsidRPr="009123CB" w:rsidRDefault="008D4EE5" w:rsidP="00A67771">
            <w:pPr>
              <w:jc w:val="center"/>
              <w:rPr>
                <w:rFonts w:eastAsia="Times New Roman" w:cs="Tahoma"/>
                <w:b/>
                <w:bCs/>
                <w:szCs w:val="18"/>
                <w:lang w:val="de-DE"/>
              </w:rPr>
            </w:pPr>
            <w:r w:rsidRPr="009123CB">
              <w:rPr>
                <w:rFonts w:eastAsia="Times New Roman" w:cs="Tahoma"/>
                <w:b/>
                <w:bCs/>
                <w:szCs w:val="18"/>
                <w:lang w:val="de-DE"/>
              </w:rPr>
              <w:t>Jährliche Einheitenanzahl der Finanziellen Windows Azure-Verpflichtung*</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8D4EE5" w:rsidRPr="002D53EB" w:rsidRDefault="008D4EE5" w:rsidP="00A67771">
            <w:pPr>
              <w:jc w:val="center"/>
              <w:rPr>
                <w:rFonts w:eastAsia="Times New Roman" w:cs="Tahoma"/>
                <w:b/>
                <w:bCs/>
                <w:szCs w:val="18"/>
              </w:rPr>
            </w:pPr>
            <w:r>
              <w:rPr>
                <w:rFonts w:cs="Tahoma"/>
                <w:b/>
                <w:bCs/>
                <w:szCs w:val="18"/>
              </w:rPr>
              <w:t>Nachlass auf nutzungsabhängige Preise</w:t>
            </w:r>
          </w:p>
        </w:tc>
      </w:tr>
      <w:tr w:rsidR="008D4EE5" w:rsidRPr="002D53EB" w:rsidTr="00A67771">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D4EE5" w:rsidRPr="002D53EB" w:rsidRDefault="008D4EE5" w:rsidP="00A67771">
            <w:pPr>
              <w:spacing w:before="100" w:beforeAutospacing="1" w:after="100" w:afterAutospacing="1"/>
              <w:ind w:right="259"/>
              <w:jc w:val="center"/>
              <w:rPr>
                <w:rFonts w:eastAsia="Times New Roman" w:cs="Tahoma"/>
                <w:szCs w:val="18"/>
              </w:rPr>
            </w:pPr>
            <w:r>
              <w:rPr>
                <w:rFonts w:eastAsia="Times New Roman" w:cs="Tahoma"/>
                <w:szCs w:val="18"/>
              </w:rPr>
              <w:t>Stufe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D4EE5" w:rsidRPr="002D53EB" w:rsidRDefault="008D4EE5" w:rsidP="00A67771">
            <w:pPr>
              <w:spacing w:before="100" w:beforeAutospacing="1" w:after="100" w:afterAutospacing="1"/>
              <w:ind w:right="180"/>
              <w:jc w:val="center"/>
              <w:rPr>
                <w:rFonts w:eastAsia="Times New Roman" w:cs="Tahoma"/>
                <w:szCs w:val="18"/>
              </w:rPr>
            </w:pPr>
            <w:r>
              <w:rPr>
                <w:rFonts w:eastAsia="Times New Roman" w:cs="Tahoma"/>
                <w:szCs w:val="18"/>
              </w:rPr>
              <w:t>Bis zu 1</w:t>
            </w:r>
            <w:r w:rsidR="00844B7C">
              <w:rPr>
                <w:rFonts w:eastAsia="Times New Roman" w:cs="Tahoma"/>
                <w:szCs w:val="18"/>
              </w:rPr>
              <w:t>.</w:t>
            </w:r>
            <w:r>
              <w:rPr>
                <w:rFonts w:eastAsia="Times New Roman" w:cs="Tahoma"/>
                <w:szCs w:val="18"/>
              </w:rPr>
              <w:t>799 Einheiten</w:t>
            </w:r>
          </w:p>
        </w:tc>
        <w:tc>
          <w:tcPr>
            <w:tcW w:w="2082" w:type="dxa"/>
            <w:tcBorders>
              <w:top w:val="single" w:sz="8" w:space="0" w:color="auto"/>
              <w:left w:val="single" w:sz="8" w:space="0" w:color="auto"/>
              <w:bottom w:val="single" w:sz="8" w:space="0" w:color="auto"/>
              <w:right w:val="single" w:sz="8" w:space="0" w:color="auto"/>
            </w:tcBorders>
            <w:hideMark/>
          </w:tcPr>
          <w:p w:rsidR="008D4EE5" w:rsidRPr="002D53EB" w:rsidRDefault="008D4EE5" w:rsidP="00A67771">
            <w:pPr>
              <w:spacing w:before="100" w:beforeAutospacing="1" w:after="100" w:afterAutospacing="1"/>
              <w:ind w:right="180"/>
              <w:jc w:val="center"/>
              <w:rPr>
                <w:rFonts w:eastAsia="Times New Roman" w:cs="Tahoma"/>
                <w:szCs w:val="18"/>
              </w:rPr>
            </w:pPr>
            <w:r>
              <w:rPr>
                <w:rFonts w:eastAsia="Times New Roman" w:cs="Tahoma"/>
                <w:szCs w:val="18"/>
              </w:rPr>
              <w:t>23%</w:t>
            </w:r>
          </w:p>
        </w:tc>
      </w:tr>
      <w:tr w:rsidR="008D4EE5" w:rsidRPr="002D53EB" w:rsidTr="00A67771">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D4EE5" w:rsidRPr="002D53EB" w:rsidRDefault="008D4EE5" w:rsidP="00A67771">
            <w:pPr>
              <w:spacing w:before="100" w:beforeAutospacing="1" w:after="100" w:afterAutospacing="1"/>
              <w:ind w:right="259"/>
              <w:jc w:val="center"/>
              <w:rPr>
                <w:rFonts w:eastAsia="Times New Roman" w:cs="Tahoma"/>
                <w:szCs w:val="18"/>
              </w:rPr>
            </w:pPr>
            <w:r>
              <w:rPr>
                <w:rFonts w:eastAsia="Times New Roman" w:cs="Tahoma"/>
                <w:szCs w:val="18"/>
              </w:rPr>
              <w:t>Stufe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D4EE5" w:rsidRPr="002D53EB" w:rsidRDefault="008D4EE5" w:rsidP="00A67771">
            <w:pPr>
              <w:spacing w:before="100" w:beforeAutospacing="1" w:after="100" w:afterAutospacing="1"/>
              <w:ind w:right="180"/>
              <w:jc w:val="center"/>
              <w:rPr>
                <w:rFonts w:eastAsia="Times New Roman" w:cs="Tahoma"/>
                <w:szCs w:val="18"/>
              </w:rPr>
            </w:pPr>
            <w:r>
              <w:rPr>
                <w:rFonts w:eastAsia="Times New Roman" w:cs="Tahoma"/>
                <w:szCs w:val="18"/>
              </w:rPr>
              <w:t>1</w:t>
            </w:r>
            <w:r w:rsidR="00844B7C">
              <w:rPr>
                <w:rFonts w:eastAsia="Times New Roman" w:cs="Tahoma"/>
                <w:szCs w:val="18"/>
              </w:rPr>
              <w:t>.</w:t>
            </w:r>
            <w:r>
              <w:rPr>
                <w:rFonts w:eastAsia="Times New Roman" w:cs="Tahoma"/>
                <w:szCs w:val="18"/>
              </w:rPr>
              <w:t>800 – 4</w:t>
            </w:r>
            <w:r w:rsidR="00844B7C">
              <w:rPr>
                <w:rFonts w:eastAsia="Times New Roman" w:cs="Tahoma"/>
                <w:szCs w:val="18"/>
              </w:rPr>
              <w:t>.</w:t>
            </w:r>
            <w:r>
              <w:rPr>
                <w:rFonts w:eastAsia="Times New Roman" w:cs="Tahoma"/>
                <w:szCs w:val="18"/>
              </w:rPr>
              <w:t>799 Einheiten</w:t>
            </w:r>
          </w:p>
        </w:tc>
        <w:tc>
          <w:tcPr>
            <w:tcW w:w="2082" w:type="dxa"/>
            <w:tcBorders>
              <w:top w:val="single" w:sz="8" w:space="0" w:color="auto"/>
              <w:left w:val="single" w:sz="8" w:space="0" w:color="auto"/>
              <w:bottom w:val="single" w:sz="8" w:space="0" w:color="auto"/>
              <w:right w:val="single" w:sz="8" w:space="0" w:color="auto"/>
            </w:tcBorders>
            <w:hideMark/>
          </w:tcPr>
          <w:p w:rsidR="008D4EE5" w:rsidRPr="002D53EB" w:rsidRDefault="008D4EE5" w:rsidP="00A67771">
            <w:pPr>
              <w:spacing w:before="100" w:beforeAutospacing="1" w:after="100" w:afterAutospacing="1"/>
              <w:ind w:right="180"/>
              <w:jc w:val="center"/>
              <w:rPr>
                <w:rFonts w:eastAsia="Times New Roman" w:cs="Tahoma"/>
                <w:szCs w:val="18"/>
              </w:rPr>
            </w:pPr>
            <w:r>
              <w:rPr>
                <w:rFonts w:eastAsia="Times New Roman" w:cs="Tahoma"/>
                <w:szCs w:val="18"/>
              </w:rPr>
              <w:t>26%</w:t>
            </w:r>
          </w:p>
        </w:tc>
      </w:tr>
      <w:tr w:rsidR="008D4EE5" w:rsidRPr="002D53EB" w:rsidTr="00A67771">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D4EE5" w:rsidRPr="002D53EB" w:rsidRDefault="008D4EE5" w:rsidP="00A67771">
            <w:pPr>
              <w:spacing w:before="100" w:beforeAutospacing="1" w:after="100" w:afterAutospacing="1"/>
              <w:ind w:right="259"/>
              <w:jc w:val="center"/>
              <w:rPr>
                <w:rFonts w:eastAsia="Times New Roman" w:cs="Tahoma"/>
                <w:szCs w:val="18"/>
              </w:rPr>
            </w:pPr>
            <w:r>
              <w:rPr>
                <w:rFonts w:eastAsia="Times New Roman" w:cs="Tahoma"/>
                <w:szCs w:val="18"/>
              </w:rPr>
              <w:t>Stufe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D4EE5" w:rsidRPr="002D53EB" w:rsidRDefault="008D4EE5" w:rsidP="00A67771">
            <w:pPr>
              <w:spacing w:before="100" w:beforeAutospacing="1" w:after="100" w:afterAutospacing="1"/>
              <w:ind w:right="180"/>
              <w:jc w:val="center"/>
              <w:rPr>
                <w:rFonts w:eastAsia="Times New Roman" w:cs="Tahoma"/>
                <w:szCs w:val="18"/>
              </w:rPr>
            </w:pPr>
            <w:r>
              <w:rPr>
                <w:rFonts w:eastAsia="Times New Roman" w:cs="Tahoma"/>
                <w:szCs w:val="18"/>
              </w:rPr>
              <w:t>4</w:t>
            </w:r>
            <w:r w:rsidR="00844B7C">
              <w:rPr>
                <w:rFonts w:eastAsia="Times New Roman" w:cs="Tahoma"/>
                <w:szCs w:val="18"/>
              </w:rPr>
              <w:t>.</w:t>
            </w:r>
            <w:r>
              <w:rPr>
                <w:rFonts w:eastAsia="Times New Roman" w:cs="Tahoma"/>
                <w:szCs w:val="18"/>
              </w:rPr>
              <w:t>800 – 11</w:t>
            </w:r>
            <w:r w:rsidR="00844B7C">
              <w:rPr>
                <w:rFonts w:eastAsia="Times New Roman" w:cs="Tahoma"/>
                <w:szCs w:val="18"/>
              </w:rPr>
              <w:t>.</w:t>
            </w:r>
            <w:r>
              <w:rPr>
                <w:rFonts w:eastAsia="Times New Roman" w:cs="Tahoma"/>
                <w:szCs w:val="18"/>
              </w:rPr>
              <w:t>999 Einheiten</w:t>
            </w:r>
          </w:p>
        </w:tc>
        <w:tc>
          <w:tcPr>
            <w:tcW w:w="2082" w:type="dxa"/>
            <w:tcBorders>
              <w:top w:val="single" w:sz="8" w:space="0" w:color="auto"/>
              <w:left w:val="single" w:sz="8" w:space="0" w:color="auto"/>
              <w:bottom w:val="single" w:sz="8" w:space="0" w:color="auto"/>
              <w:right w:val="single" w:sz="8" w:space="0" w:color="auto"/>
            </w:tcBorders>
            <w:hideMark/>
          </w:tcPr>
          <w:p w:rsidR="008D4EE5" w:rsidRPr="002D53EB" w:rsidRDefault="008D4EE5" w:rsidP="00A67771">
            <w:pPr>
              <w:spacing w:before="100" w:beforeAutospacing="1" w:after="100" w:afterAutospacing="1"/>
              <w:ind w:right="180"/>
              <w:jc w:val="center"/>
              <w:rPr>
                <w:rFonts w:eastAsia="Times New Roman" w:cs="Tahoma"/>
                <w:szCs w:val="18"/>
              </w:rPr>
            </w:pPr>
            <w:r>
              <w:rPr>
                <w:rFonts w:eastAsia="Times New Roman" w:cs="Tahoma"/>
                <w:szCs w:val="18"/>
              </w:rPr>
              <w:t>30%</w:t>
            </w:r>
          </w:p>
        </w:tc>
      </w:tr>
      <w:tr w:rsidR="008D4EE5" w:rsidRPr="002D53EB" w:rsidTr="00A67771">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D4EE5" w:rsidRPr="002D53EB" w:rsidRDefault="008D4EE5" w:rsidP="00A67771">
            <w:pPr>
              <w:spacing w:before="100" w:beforeAutospacing="1" w:after="100" w:afterAutospacing="1"/>
              <w:ind w:right="259"/>
              <w:jc w:val="center"/>
              <w:rPr>
                <w:rFonts w:eastAsia="Times New Roman" w:cs="Tahoma"/>
                <w:szCs w:val="18"/>
              </w:rPr>
            </w:pPr>
            <w:r>
              <w:rPr>
                <w:rFonts w:eastAsia="Times New Roman" w:cs="Tahoma"/>
                <w:szCs w:val="18"/>
              </w:rPr>
              <w:t>Stufe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D4EE5" w:rsidRPr="002D53EB" w:rsidRDefault="008D4EE5" w:rsidP="00A67771">
            <w:pPr>
              <w:spacing w:before="100" w:beforeAutospacing="1" w:after="100" w:afterAutospacing="1"/>
              <w:ind w:right="180"/>
              <w:jc w:val="center"/>
              <w:rPr>
                <w:rFonts w:eastAsia="Times New Roman" w:cs="Tahoma"/>
                <w:szCs w:val="18"/>
              </w:rPr>
            </w:pPr>
            <w:r>
              <w:rPr>
                <w:rFonts w:eastAsia="Times New Roman" w:cs="Tahoma"/>
                <w:szCs w:val="18"/>
              </w:rPr>
              <w:t>12</w:t>
            </w:r>
            <w:r w:rsidR="00844B7C">
              <w:rPr>
                <w:rFonts w:eastAsia="Times New Roman" w:cs="Tahoma"/>
                <w:szCs w:val="18"/>
              </w:rPr>
              <w:t>.</w:t>
            </w:r>
            <w:r>
              <w:rPr>
                <w:rFonts w:eastAsia="Times New Roman" w:cs="Tahoma"/>
                <w:szCs w:val="18"/>
              </w:rPr>
              <w:t>000 + Einheiten</w:t>
            </w:r>
          </w:p>
        </w:tc>
        <w:tc>
          <w:tcPr>
            <w:tcW w:w="2082" w:type="dxa"/>
            <w:tcBorders>
              <w:top w:val="single" w:sz="8" w:space="0" w:color="auto"/>
              <w:left w:val="single" w:sz="8" w:space="0" w:color="auto"/>
              <w:bottom w:val="single" w:sz="8" w:space="0" w:color="auto"/>
              <w:right w:val="single" w:sz="8" w:space="0" w:color="auto"/>
            </w:tcBorders>
            <w:hideMark/>
          </w:tcPr>
          <w:p w:rsidR="008D4EE5" w:rsidRPr="002D53EB" w:rsidRDefault="008D4EE5" w:rsidP="00A67771">
            <w:pPr>
              <w:spacing w:before="100" w:beforeAutospacing="1" w:after="100" w:afterAutospacing="1"/>
              <w:ind w:right="180"/>
              <w:jc w:val="center"/>
              <w:rPr>
                <w:rFonts w:eastAsia="Times New Roman" w:cs="Tahoma"/>
                <w:szCs w:val="18"/>
              </w:rPr>
            </w:pPr>
            <w:r>
              <w:rPr>
                <w:rFonts w:eastAsia="Times New Roman" w:cs="Tahoma"/>
                <w:szCs w:val="18"/>
              </w:rPr>
              <w:t>35%</w:t>
            </w:r>
          </w:p>
        </w:tc>
      </w:tr>
    </w:tbl>
    <w:p w:rsidR="008D4EE5" w:rsidRPr="009123CB" w:rsidRDefault="008D4EE5" w:rsidP="008D4EE5">
      <w:pPr>
        <w:ind w:left="1080"/>
        <w:outlineLvl w:val="1"/>
        <w:rPr>
          <w:lang w:val="de-DE"/>
        </w:rPr>
      </w:pPr>
      <w:r w:rsidRPr="009123CB">
        <w:rPr>
          <w:rFonts w:cs="Tahoma"/>
          <w:i/>
          <w:sz w:val="16"/>
          <w:szCs w:val="18"/>
          <w:lang w:val="de-DE"/>
        </w:rPr>
        <w:t>* Einheit ist ein Geldbetrag in der anwendbaren Währung</w:t>
      </w:r>
    </w:p>
    <w:p w:rsidR="008D4EE5" w:rsidRPr="009123CB" w:rsidRDefault="008D4EE5" w:rsidP="008D4EE5">
      <w:pPr>
        <w:outlineLvl w:val="1"/>
        <w:rPr>
          <w:lang w:val="de-DE"/>
        </w:rPr>
      </w:pPr>
    </w:p>
    <w:p w:rsidR="008D4EE5" w:rsidRPr="009123CB" w:rsidRDefault="008D4EE5" w:rsidP="008D4EE5">
      <w:pPr>
        <w:outlineLvl w:val="1"/>
        <w:rPr>
          <w:lang w:val="de-DE"/>
        </w:rPr>
      </w:pPr>
      <w:r w:rsidRPr="009123CB">
        <w:rPr>
          <w:rFonts w:cs="Tahoma"/>
          <w:szCs w:val="18"/>
          <w:lang w:val="de-DE"/>
        </w:rPr>
        <w:t>Ein Kunde ist berechtigt, jederzeit während der Laufzeit seines Windows Azure-Abonnements seine jährliche Anzahl der Finanziellen Windows Azure-Verpflichtung zu erhöhen und sich für eine höhere Stufe qualifizieren</w:t>
      </w:r>
      <w:r w:rsidR="006257A7">
        <w:rPr>
          <w:rFonts w:cs="Tahoma"/>
          <w:szCs w:val="18"/>
          <w:lang w:val="de-DE"/>
        </w:rPr>
        <w:t xml:space="preserve">. </w:t>
      </w:r>
      <w:r w:rsidRPr="009123CB">
        <w:rPr>
          <w:rFonts w:cs="Tahoma"/>
          <w:szCs w:val="18"/>
          <w:lang w:val="de-DE"/>
        </w:rPr>
        <w:t>Die neuen Verpflichtungspreise gelten für die Verwendung der Windows Azure-Dienste durch den Kunden ab dem ersten Tag des Kalendermonats, nachdem der Kunde seine jährliche Lizenzanzahl der Finanziellen Windows Azure-Verpflichtung angepasst hat</w:t>
      </w:r>
      <w:r w:rsidR="006257A7">
        <w:rPr>
          <w:rFonts w:cs="Tahoma"/>
          <w:szCs w:val="18"/>
          <w:lang w:val="de-DE"/>
        </w:rPr>
        <w:t xml:space="preserve">. </w:t>
      </w:r>
    </w:p>
    <w:p w:rsidR="008D4EE5" w:rsidRPr="009123CB" w:rsidRDefault="008D4EE5" w:rsidP="008D4EE5">
      <w:pPr>
        <w:outlineLvl w:val="1"/>
        <w:rPr>
          <w:lang w:val="de-DE"/>
        </w:rPr>
      </w:pPr>
    </w:p>
    <w:p w:rsidR="008D4EE5" w:rsidRPr="009123CB" w:rsidRDefault="008D4EE5" w:rsidP="008D4EE5">
      <w:pPr>
        <w:outlineLvl w:val="1"/>
        <w:rPr>
          <w:lang w:val="de-DE"/>
        </w:rPr>
      </w:pPr>
      <w:r w:rsidRPr="009123CB">
        <w:rPr>
          <w:rFonts w:eastAsia="Times New Roman" w:cs="Tahoma"/>
          <w:szCs w:val="18"/>
          <w:lang w:val="de-DE"/>
        </w:rPr>
        <w:t>Das Kundenpreisblatt spiegelt die Verpflichtungspreise von Stufe 1 wider</w:t>
      </w:r>
      <w:r w:rsidR="006257A7">
        <w:rPr>
          <w:rFonts w:eastAsia="Times New Roman" w:cs="Tahoma"/>
          <w:szCs w:val="18"/>
          <w:lang w:val="de-DE"/>
        </w:rPr>
        <w:t xml:space="preserve">. </w:t>
      </w:r>
      <w:r w:rsidRPr="009123CB">
        <w:rPr>
          <w:rFonts w:eastAsia="Times New Roman" w:cs="Tahoma"/>
          <w:szCs w:val="18"/>
          <w:lang w:val="de-DE"/>
        </w:rPr>
        <w:t xml:space="preserve">Die tatsächlichen </w:t>
      </w:r>
      <w:r w:rsidRPr="009123CB">
        <w:rPr>
          <w:rFonts w:cs="Tahoma"/>
          <w:szCs w:val="18"/>
          <w:lang w:val="de-DE"/>
        </w:rPr>
        <w:t>Verpflichtungspreise sind im Windows Azure Enterprise-Portal auf der Seite „Account View“ angegeben</w:t>
      </w:r>
      <w:r w:rsidR="006257A7">
        <w:rPr>
          <w:rFonts w:cs="Tahoma"/>
          <w:szCs w:val="18"/>
          <w:lang w:val="de-DE"/>
        </w:rPr>
        <w:t xml:space="preserve">. </w:t>
      </w:r>
      <w:r w:rsidRPr="009123CB">
        <w:rPr>
          <w:rFonts w:cs="Tahoma"/>
          <w:szCs w:val="18"/>
          <w:lang w:val="de-DE"/>
        </w:rPr>
        <w:t>Die Preise und Zahlungsbestimmungen für Windows Azure-Dienste, die über Handelspartner erworben werden, werden durch den Vertrag zwischen einem Kunden und seinem Handelspartner festgelegt</w:t>
      </w:r>
      <w:r w:rsidR="006257A7">
        <w:rPr>
          <w:rFonts w:cs="Tahoma"/>
          <w:szCs w:val="18"/>
          <w:lang w:val="de-DE"/>
        </w:rPr>
        <w:t xml:space="preserve">. </w:t>
      </w:r>
    </w:p>
    <w:p w:rsidR="008D4EE5" w:rsidRPr="009123CB" w:rsidRDefault="008D4EE5" w:rsidP="008D4EE5">
      <w:pPr>
        <w:rPr>
          <w:lang w:val="de-DE"/>
        </w:rPr>
      </w:pPr>
    </w:p>
    <w:p w:rsidR="008D4EE5" w:rsidRPr="009123CB" w:rsidRDefault="008D4EE5" w:rsidP="008D4EE5">
      <w:pPr>
        <w:pStyle w:val="Heading2"/>
        <w:ind w:left="0"/>
        <w:rPr>
          <w:lang w:val="de-DE"/>
        </w:rPr>
      </w:pPr>
      <w:bookmarkStart w:id="685" w:name="_Toc328145984"/>
      <w:bookmarkStart w:id="686" w:name="_Toc336338215"/>
      <w:bookmarkStart w:id="687" w:name="_Toc363998953"/>
      <w:r w:rsidRPr="009123CB">
        <w:rPr>
          <w:rFonts w:ascii="Tahoma" w:hAnsi="Tahoma" w:cs="Tahoma"/>
          <w:lang w:val="de-DE"/>
        </w:rPr>
        <w:t>Regionale Verfügbarkeit von Onlinediensten</w:t>
      </w:r>
      <w:bookmarkEnd w:id="685"/>
      <w:bookmarkEnd w:id="686"/>
      <w:bookmarkEnd w:id="687"/>
      <w:r w:rsidRPr="009123CB">
        <w:rPr>
          <w:rFonts w:ascii="Tahoma" w:hAnsi="Tahoma" w:cs="Tahoma"/>
          <w:lang w:val="de-DE"/>
        </w:rPr>
        <w:t xml:space="preserve"> </w:t>
      </w:r>
    </w:p>
    <w:p w:rsidR="008D4EE5" w:rsidRPr="009123CB" w:rsidRDefault="008D4EE5" w:rsidP="008D4EE5">
      <w:pPr>
        <w:outlineLvl w:val="2"/>
        <w:rPr>
          <w:lang w:val="de-DE"/>
        </w:rPr>
      </w:pPr>
    </w:p>
    <w:p w:rsidR="008D4EE5" w:rsidRPr="009123CB" w:rsidRDefault="008D4EE5" w:rsidP="008D4EE5">
      <w:pPr>
        <w:outlineLvl w:val="2"/>
        <w:rPr>
          <w:lang w:val="de-DE"/>
        </w:rPr>
      </w:pPr>
      <w:r w:rsidRPr="009123CB">
        <w:rPr>
          <w:rFonts w:cs="Tahoma"/>
          <w:szCs w:val="18"/>
          <w:lang w:val="de-DE"/>
        </w:rPr>
        <w:t xml:space="preserve">Unter </w:t>
      </w:r>
      <w:hyperlink r:id="rId21" w:anchor="international" w:history="1">
        <w:r w:rsidR="00E869D6" w:rsidRPr="00420E1C">
          <w:rPr>
            <w:rStyle w:val="Hyperlink"/>
            <w:lang w:val="de-DE"/>
          </w:rPr>
          <w:t>http://www.microsoft.com/online/faq.aspx#international</w:t>
        </w:r>
      </w:hyperlink>
      <w:r w:rsidRPr="009123CB">
        <w:rPr>
          <w:color w:val="1F497D"/>
          <w:lang w:val="de-DE"/>
        </w:rPr>
        <w:t xml:space="preserve"> </w:t>
      </w:r>
      <w:r w:rsidRPr="009123CB">
        <w:rPr>
          <w:color w:val="000000"/>
          <w:lang w:val="de-DE"/>
        </w:rPr>
        <w:t>erhalten Sie eine Liste der Länder und Regionen, in denen die Onlinedienste verfügbar sind</w:t>
      </w:r>
      <w:r w:rsidR="006257A7">
        <w:rPr>
          <w:color w:val="000000"/>
          <w:lang w:val="de-DE"/>
        </w:rPr>
        <w:t xml:space="preserve">. </w:t>
      </w:r>
    </w:p>
    <w:p w:rsidR="008D4EE5" w:rsidRDefault="008D4EE5" w:rsidP="008D4EE5">
      <w:pPr>
        <w:outlineLvl w:val="2"/>
        <w:rPr>
          <w:lang w:val="de-DE"/>
        </w:rPr>
      </w:pPr>
    </w:p>
    <w:p w:rsidR="00174833" w:rsidRDefault="00174833" w:rsidP="008D4EE5">
      <w:pPr>
        <w:outlineLvl w:val="2"/>
        <w:rPr>
          <w:lang w:val="de-DE"/>
        </w:rPr>
      </w:pPr>
    </w:p>
    <w:p w:rsidR="00174833" w:rsidRDefault="00174833" w:rsidP="008D4EE5">
      <w:pPr>
        <w:outlineLvl w:val="2"/>
        <w:rPr>
          <w:lang w:val="de-DE"/>
        </w:rPr>
      </w:pPr>
    </w:p>
    <w:p w:rsidR="00174833" w:rsidRDefault="00174833" w:rsidP="008D4EE5">
      <w:pPr>
        <w:outlineLvl w:val="2"/>
        <w:rPr>
          <w:lang w:val="de-DE"/>
        </w:rPr>
      </w:pPr>
    </w:p>
    <w:p w:rsidR="00174833" w:rsidRDefault="00174833" w:rsidP="008D4EE5">
      <w:pPr>
        <w:outlineLvl w:val="2"/>
        <w:rPr>
          <w:lang w:val="de-DE"/>
        </w:rPr>
      </w:pPr>
    </w:p>
    <w:p w:rsidR="00174833" w:rsidRPr="009123CB" w:rsidRDefault="00174833" w:rsidP="008D4EE5">
      <w:pPr>
        <w:outlineLvl w:val="2"/>
        <w:rPr>
          <w:lang w:val="de-DE"/>
        </w:rPr>
      </w:pPr>
    </w:p>
    <w:p w:rsidR="008D4EE5" w:rsidRPr="009123CB" w:rsidRDefault="008D4EE5" w:rsidP="008D4EE5">
      <w:pPr>
        <w:pStyle w:val="Heading2"/>
        <w:ind w:left="0"/>
        <w:rPr>
          <w:lang w:val="de-DE"/>
        </w:rPr>
      </w:pPr>
      <w:bookmarkStart w:id="688" w:name="_Toc328145985"/>
      <w:bookmarkStart w:id="689" w:name="_Toc336338216"/>
      <w:bookmarkStart w:id="690" w:name="_Toc363998954"/>
      <w:r w:rsidRPr="009123CB">
        <w:rPr>
          <w:rFonts w:ascii="Tahoma" w:hAnsi="Tahoma" w:cs="Tahoma"/>
          <w:lang w:val="de-DE"/>
        </w:rPr>
        <w:t>Zusätzliche Bestimmungen für Onlinedienste</w:t>
      </w:r>
      <w:bookmarkEnd w:id="688"/>
      <w:bookmarkEnd w:id="689"/>
      <w:bookmarkEnd w:id="690"/>
    </w:p>
    <w:p w:rsidR="008D4EE5" w:rsidRPr="009123CB" w:rsidRDefault="008D4EE5" w:rsidP="008D4EE5">
      <w:pPr>
        <w:outlineLvl w:val="2"/>
        <w:rPr>
          <w:lang w:val="de-DE"/>
        </w:rPr>
      </w:pPr>
    </w:p>
    <w:p w:rsidR="008D4EE5" w:rsidRPr="009123CB" w:rsidRDefault="008D4EE5" w:rsidP="008D4EE5">
      <w:pPr>
        <w:rPr>
          <w:lang w:val="de-DE"/>
        </w:rPr>
      </w:pPr>
      <w:r w:rsidRPr="009123CB">
        <w:rPr>
          <w:lang w:val="de-DE"/>
        </w:rPr>
        <w:t>Diese Produktliste kann zusätzliche Informationen zu bestimmten Produkten enthalten</w:t>
      </w:r>
      <w:r w:rsidR="006257A7">
        <w:rPr>
          <w:lang w:val="de-DE"/>
        </w:rPr>
        <w:t xml:space="preserve">. </w:t>
      </w:r>
      <w:r w:rsidRPr="009123CB">
        <w:rPr>
          <w:lang w:val="de-DE"/>
        </w:rPr>
        <w:t>Weitere Informationen finden Sie in den Produktabschnitten dieses Dokuments</w:t>
      </w:r>
      <w:r w:rsidR="006257A7">
        <w:rPr>
          <w:lang w:val="de-DE"/>
        </w:rPr>
        <w:t xml:space="preserve">. </w:t>
      </w:r>
    </w:p>
    <w:p w:rsidR="008D4EE5" w:rsidRPr="009123CB" w:rsidRDefault="008D4EE5" w:rsidP="008D4EE5">
      <w:pPr>
        <w:rPr>
          <w:lang w:val="de-DE"/>
        </w:rPr>
      </w:pPr>
    </w:p>
    <w:p w:rsidR="008D4EE5" w:rsidRPr="009123CB" w:rsidRDefault="008D4EE5" w:rsidP="008D4EE5">
      <w:pPr>
        <w:rPr>
          <w:lang w:val="de-DE"/>
        </w:rPr>
      </w:pPr>
      <w:r w:rsidRPr="009123CB">
        <w:rPr>
          <w:lang w:val="de-DE"/>
        </w:rPr>
        <w:t>Die Produktbenutzungsrechte unter http://www</w:t>
      </w:r>
      <w:r w:rsidR="00E869D6">
        <w:rPr>
          <w:lang w:val="de-DE"/>
        </w:rPr>
        <w:t>.</w:t>
      </w:r>
      <w:r w:rsidRPr="009123CB">
        <w:rPr>
          <w:lang w:val="de-DE"/>
        </w:rPr>
        <w:t>microsoftvolumelicensing</w:t>
      </w:r>
      <w:r w:rsidR="00E869D6">
        <w:rPr>
          <w:lang w:val="de-DE"/>
        </w:rPr>
        <w:t>.</w:t>
      </w:r>
      <w:r w:rsidRPr="009123CB">
        <w:rPr>
          <w:lang w:val="de-DE"/>
        </w:rPr>
        <w:t>com/userights/PUR</w:t>
      </w:r>
      <w:r w:rsidR="00E869D6">
        <w:rPr>
          <w:lang w:val="de-DE"/>
        </w:rPr>
        <w:t>.</w:t>
      </w:r>
      <w:r w:rsidRPr="009123CB">
        <w:rPr>
          <w:lang w:val="de-DE"/>
        </w:rPr>
        <w:t>aspx enthalten allgemeine und produktspezifische Bestimmungen für die Nutzung von Onlinediensten</w:t>
      </w:r>
      <w:r w:rsidR="006257A7">
        <w:rPr>
          <w:lang w:val="de-DE"/>
        </w:rPr>
        <w:t xml:space="preserve">. </w:t>
      </w:r>
      <w:r w:rsidRPr="009123CB">
        <w:rPr>
          <w:lang w:val="de-DE"/>
        </w:rPr>
        <w:t>Die Onlinedienste-Produktbenutzungsrechte können wie im Abschnitt „Onlinedienste“ jenes Dokuments beschrieben geändert werden</w:t>
      </w:r>
      <w:r w:rsidR="006257A7">
        <w:rPr>
          <w:lang w:val="de-DE"/>
        </w:rPr>
        <w:t xml:space="preserve">. </w:t>
      </w:r>
    </w:p>
    <w:p w:rsidR="008D4EE5" w:rsidRPr="009123CB" w:rsidRDefault="008D4EE5" w:rsidP="008D4EE5">
      <w:pPr>
        <w:rPr>
          <w:lang w:val="de-DE"/>
        </w:rPr>
      </w:pPr>
    </w:p>
    <w:p w:rsidR="008D4EE5" w:rsidRPr="009123CB" w:rsidRDefault="008D4EE5" w:rsidP="00D617D9">
      <w:pPr>
        <w:rPr>
          <w:lang w:val="de-DE"/>
        </w:rPr>
      </w:pPr>
      <w:bookmarkStart w:id="691" w:name="_Toc325313160"/>
      <w:r w:rsidRPr="009123CB">
        <w:rPr>
          <w:lang w:val="de-DE"/>
        </w:rPr>
        <w:t>Die oben genannten Preise und Zahlungsbestimmungen für Onlinedienste gelten nicht für Onlinedienste, die in Übereinstimmung mit dem Microsoft Online-Abonnement-Vertrag erworben wurden</w:t>
      </w:r>
      <w:r w:rsidR="006257A7">
        <w:rPr>
          <w:lang w:val="de-DE"/>
        </w:rPr>
        <w:t xml:space="preserve">. </w:t>
      </w:r>
      <w:r w:rsidRPr="009123CB">
        <w:rPr>
          <w:lang w:val="de-DE"/>
        </w:rPr>
        <w:t>Alle anwendbaren Bestimmungen für Onlinedienste, die in Übereinstimmung mit dem Microsoft Online-Abonnement-Vertrag erworben</w:t>
      </w:r>
      <w:r w:rsidR="00D617D9">
        <w:rPr>
          <w:lang w:val="de-DE"/>
        </w:rPr>
        <w:t> </w:t>
      </w:r>
      <w:r w:rsidRPr="009123CB">
        <w:rPr>
          <w:lang w:val="de-DE"/>
        </w:rPr>
        <w:t>wurden, sind in jenem Vertrag und im Microsoft Online Services-Kundenportal enthalten</w:t>
      </w:r>
      <w:r w:rsidR="006257A7">
        <w:rPr>
          <w:lang w:val="de-DE"/>
        </w:rPr>
        <w:t xml:space="preserve">. </w:t>
      </w:r>
      <w:bookmarkEnd w:id="691"/>
    </w:p>
    <w:p w:rsidR="008D4EE5" w:rsidRPr="009123CB" w:rsidRDefault="008D4EE5" w:rsidP="008D4EE5">
      <w:pPr>
        <w:rPr>
          <w:lang w:val="de-DE"/>
        </w:rPr>
      </w:pPr>
    </w:p>
    <w:p w:rsidR="008D4EE5" w:rsidRPr="009123CB" w:rsidRDefault="008D4EE5" w:rsidP="008D4EE5">
      <w:pPr>
        <w:ind w:left="720"/>
        <w:rPr>
          <w:lang w:val="de-DE"/>
        </w:rPr>
      </w:pPr>
      <w:bookmarkStart w:id="692" w:name="_Supplemental_Terms_For"/>
      <w:bookmarkEnd w:id="692"/>
    </w:p>
    <w:p w:rsidR="008D4EE5" w:rsidRPr="009123CB" w:rsidRDefault="008D4EE5" w:rsidP="008D4EE5">
      <w:pPr>
        <w:rPr>
          <w:lang w:val="de-DE"/>
        </w:rPr>
      </w:pPr>
      <w:bookmarkStart w:id="693" w:name="_Toc336338217"/>
      <w:r w:rsidRPr="009123CB">
        <w:rPr>
          <w:lang w:val="de-DE"/>
        </w:rPr>
        <w:br w:type="page"/>
      </w:r>
    </w:p>
    <w:p w:rsidR="008D4EE5" w:rsidRPr="009123CB" w:rsidRDefault="008D4EE5" w:rsidP="008D4EE5">
      <w:pPr>
        <w:pStyle w:val="Heading1"/>
        <w:rPr>
          <w:lang w:val="de-DE"/>
        </w:rPr>
      </w:pPr>
      <w:bookmarkStart w:id="694" w:name="_Toc363998955"/>
      <w:r w:rsidRPr="009123CB">
        <w:rPr>
          <w:lang w:val="de-DE"/>
        </w:rPr>
        <w:t>ABSCHNITT 6 – Regeln zur Verlängerung von Software Assurance</w:t>
      </w:r>
      <w:bookmarkEnd w:id="693"/>
      <w:bookmarkEnd w:id="694"/>
    </w:p>
    <w:p w:rsidR="008D4EE5" w:rsidRPr="009123CB" w:rsidRDefault="008D4EE5" w:rsidP="008D4EE5">
      <w:pPr>
        <w:rPr>
          <w:lang w:val="de-DE"/>
        </w:rPr>
      </w:pPr>
    </w:p>
    <w:p w:rsidR="008D4EE5" w:rsidRPr="009123CB" w:rsidRDefault="008D4EE5" w:rsidP="008D4EE5">
      <w:pPr>
        <w:pStyle w:val="Heading4"/>
        <w:tabs>
          <w:tab w:val="clear" w:pos="720"/>
          <w:tab w:val="num" w:pos="0"/>
        </w:tabs>
        <w:ind w:left="0" w:firstLine="0"/>
        <w:rPr>
          <w:lang w:val="de-DE"/>
        </w:rPr>
      </w:pPr>
      <w:bookmarkStart w:id="695" w:name="_Toc323159745"/>
      <w:bookmarkStart w:id="696" w:name="_Toc336338218"/>
      <w:bookmarkStart w:id="697" w:name="_Toc363998956"/>
      <w:r w:rsidRPr="009123CB">
        <w:rPr>
          <w:rFonts w:ascii="Tahoma" w:hAnsi="Tahoma" w:cs="Tahoma"/>
          <w:sz w:val="24"/>
          <w:lang w:val="de-DE"/>
        </w:rPr>
        <w:t>Open-Lizenz</w:t>
      </w:r>
      <w:bookmarkEnd w:id="695"/>
      <w:bookmarkEnd w:id="696"/>
      <w:bookmarkEnd w:id="697"/>
    </w:p>
    <w:p w:rsidR="008D4EE5" w:rsidRPr="009123CB" w:rsidRDefault="008D4EE5" w:rsidP="008D4EE5">
      <w:pPr>
        <w:pStyle w:val="Heading4"/>
        <w:tabs>
          <w:tab w:val="clear" w:pos="720"/>
          <w:tab w:val="num" w:pos="0"/>
        </w:tabs>
        <w:spacing w:before="0"/>
        <w:ind w:left="0" w:firstLine="0"/>
        <w:rPr>
          <w:lang w:val="de-DE"/>
        </w:rPr>
      </w:pPr>
    </w:p>
    <w:p w:rsidR="008D4EE5" w:rsidRPr="009123CB" w:rsidRDefault="008D4EE5" w:rsidP="00174833">
      <w:pPr>
        <w:pStyle w:val="StyleHeading22Left138Firstline0"/>
        <w:tabs>
          <w:tab w:val="num" w:pos="0"/>
        </w:tabs>
        <w:ind w:left="0"/>
        <w:jc w:val="left"/>
        <w:rPr>
          <w:lang w:val="de-DE"/>
        </w:rPr>
      </w:pPr>
      <w:r w:rsidRPr="009123CB">
        <w:rPr>
          <w:rFonts w:ascii="Tahoma" w:hAnsi="Tahoma" w:cs="Tahoma"/>
          <w:sz w:val="18"/>
          <w:lang w:val="de-DE"/>
        </w:rPr>
        <w:t>Software Assurance, die im Rahmen einer Open-Lizenz-Autorisierungsnummer bestellt wird, endet nach Ablauf dieser</w:t>
      </w:r>
      <w:r w:rsidR="00174833">
        <w:rPr>
          <w:rFonts w:ascii="Tahoma" w:hAnsi="Tahoma" w:cs="Tahoma"/>
          <w:sz w:val="18"/>
          <w:lang w:val="de-DE"/>
        </w:rPr>
        <w:t> </w:t>
      </w:r>
      <w:r w:rsidRPr="009123CB">
        <w:rPr>
          <w:rFonts w:ascii="Tahoma" w:hAnsi="Tahoma" w:cs="Tahoma"/>
          <w:sz w:val="18"/>
          <w:lang w:val="de-DE"/>
        </w:rPr>
        <w:t>Nummer</w:t>
      </w:r>
      <w:r w:rsidR="006257A7">
        <w:rPr>
          <w:rFonts w:ascii="Tahoma" w:hAnsi="Tahoma" w:cs="Tahoma"/>
          <w:sz w:val="18"/>
          <w:lang w:val="de-DE"/>
        </w:rPr>
        <w:t xml:space="preserve">. </w:t>
      </w:r>
      <w:r w:rsidRPr="009123CB">
        <w:rPr>
          <w:rFonts w:ascii="Tahoma" w:hAnsi="Tahoma" w:cs="Tahoma"/>
          <w:sz w:val="18"/>
          <w:lang w:val="de-DE"/>
        </w:rPr>
        <w:t>Um diese zu verlängern, müssen Kunden innerhalb von 90 Tagen nach dem Ablaufdatum der Autorisierungsnummer eine Verlängerungsbestellung für Software Assurance für alle Kopien der Produkte abgeben, für die sie die Verlängerung wünschen</w:t>
      </w:r>
      <w:r w:rsidR="006257A7">
        <w:rPr>
          <w:rFonts w:ascii="Tahoma" w:hAnsi="Tahoma" w:cs="Tahoma"/>
          <w:sz w:val="18"/>
          <w:lang w:val="de-DE"/>
        </w:rPr>
        <w:t xml:space="preserve">. </w:t>
      </w:r>
      <w:r w:rsidRPr="009123CB">
        <w:rPr>
          <w:rFonts w:ascii="Tahoma" w:hAnsi="Tahoma" w:cs="Tahoma"/>
          <w:sz w:val="18"/>
          <w:lang w:val="de-DE"/>
        </w:rPr>
        <w:t>Kunden können Software Assurance bestellen, ohne gleichzeitig eine Lizenz zu bestellen, sofern Software Assurance wie oben genannt verlängert wird</w:t>
      </w:r>
      <w:r w:rsidR="006257A7">
        <w:rPr>
          <w:rFonts w:ascii="Tahoma" w:hAnsi="Tahoma" w:cs="Tahoma"/>
          <w:sz w:val="18"/>
          <w:lang w:val="de-DE"/>
        </w:rPr>
        <w:t xml:space="preserve">. </w:t>
      </w:r>
      <w:r w:rsidRPr="009123CB">
        <w:rPr>
          <w:rFonts w:ascii="Tahoma" w:hAnsi="Tahoma" w:cs="Tahoma"/>
          <w:sz w:val="18"/>
          <w:lang w:val="de-DE"/>
        </w:rPr>
        <w:t>Die Laufzeit von neuer Software Assurance beginnt am Wirksamkeitsdatum der neuen Autorisierungsnummer</w:t>
      </w:r>
      <w:r w:rsidR="006257A7">
        <w:rPr>
          <w:rFonts w:ascii="Tahoma" w:hAnsi="Tahoma" w:cs="Tahoma"/>
          <w:sz w:val="18"/>
          <w:lang w:val="de-DE"/>
        </w:rPr>
        <w:t xml:space="preserve">. </w:t>
      </w:r>
    </w:p>
    <w:p w:rsidR="008D4EE5" w:rsidRPr="009123CB" w:rsidRDefault="008D4EE5" w:rsidP="008D4EE5">
      <w:pPr>
        <w:pStyle w:val="AppendIndentSub"/>
        <w:ind w:left="0"/>
        <w:rPr>
          <w:lang w:val="de-DE"/>
        </w:rPr>
      </w:pPr>
    </w:p>
    <w:p w:rsidR="008D4EE5" w:rsidRPr="009123CB" w:rsidRDefault="008D4EE5" w:rsidP="008D4EE5">
      <w:pPr>
        <w:pStyle w:val="Heading4"/>
        <w:ind w:left="360"/>
        <w:rPr>
          <w:lang w:val="de-DE"/>
        </w:rPr>
      </w:pPr>
      <w:bookmarkStart w:id="698" w:name="_Toc336338219"/>
      <w:bookmarkStart w:id="699" w:name="_Toc363998957"/>
      <w:r w:rsidRPr="009123CB">
        <w:rPr>
          <w:rFonts w:ascii="Tahoma" w:hAnsi="Tahoma" w:cs="Tahoma"/>
          <w:sz w:val="24"/>
          <w:lang w:val="de-DE"/>
        </w:rPr>
        <w:t>Open Value 20xx</w:t>
      </w:r>
      <w:bookmarkEnd w:id="698"/>
      <w:bookmarkEnd w:id="699"/>
    </w:p>
    <w:p w:rsidR="008D4EE5" w:rsidRPr="009123CB" w:rsidRDefault="008D4EE5" w:rsidP="008D4EE5">
      <w:pPr>
        <w:tabs>
          <w:tab w:val="num" w:pos="0"/>
        </w:tabs>
        <w:rPr>
          <w:lang w:val="de-DE"/>
        </w:rPr>
      </w:pPr>
    </w:p>
    <w:p w:rsidR="008D4EE5" w:rsidRPr="009123CB" w:rsidRDefault="008D4EE5" w:rsidP="008D4EE5">
      <w:pPr>
        <w:keepNext/>
        <w:tabs>
          <w:tab w:val="num" w:pos="720"/>
        </w:tabs>
        <w:spacing w:after="60"/>
        <w:ind w:left="360" w:hanging="360"/>
        <w:outlineLvl w:val="3"/>
        <w:rPr>
          <w:lang w:val="de-DE"/>
        </w:rPr>
      </w:pPr>
      <w:r w:rsidRPr="009123CB">
        <w:rPr>
          <w:b/>
          <w:szCs w:val="20"/>
          <w:lang w:val="de-DE"/>
        </w:rPr>
        <w:t xml:space="preserve">Verlängerung im Rahmen des Gleichen Vertrages </w:t>
      </w:r>
    </w:p>
    <w:p w:rsidR="008D4EE5" w:rsidRPr="009123CB" w:rsidRDefault="008D4EE5" w:rsidP="008D4EE5">
      <w:pPr>
        <w:tabs>
          <w:tab w:val="num" w:pos="0"/>
        </w:tabs>
        <w:rPr>
          <w:lang w:val="de-DE"/>
        </w:rPr>
      </w:pPr>
      <w:r w:rsidRPr="009123CB">
        <w:rPr>
          <w:rFonts w:cs="Tahoma"/>
          <w:szCs w:val="20"/>
          <w:lang w:val="de-DE"/>
        </w:rPr>
        <w:t>Software Assurance, die im Rahmen eines Open Value-Vertrages bestellt wurde, endet nach Ablauf (oder Kündigung) des entsprechenden Vertrages</w:t>
      </w:r>
      <w:r w:rsidR="006257A7">
        <w:rPr>
          <w:rFonts w:cs="Tahoma"/>
          <w:szCs w:val="20"/>
          <w:lang w:val="de-DE"/>
        </w:rPr>
        <w:t xml:space="preserve">. </w:t>
      </w:r>
      <w:r w:rsidRPr="009123CB">
        <w:rPr>
          <w:rFonts w:cs="Tahoma"/>
          <w:szCs w:val="20"/>
          <w:lang w:val="de-DE"/>
        </w:rPr>
        <w:t>Kunden erhalten 60 Tage vor Ablauf des Vertrages eine schriftliche Mitteilung über ihre Verlängerungsoptionen</w:t>
      </w:r>
      <w:r w:rsidR="006257A7">
        <w:rPr>
          <w:rFonts w:cs="Tahoma"/>
          <w:szCs w:val="20"/>
          <w:lang w:val="de-DE"/>
        </w:rPr>
        <w:t xml:space="preserve">. </w:t>
      </w:r>
      <w:r w:rsidRPr="009123CB">
        <w:rPr>
          <w:rFonts w:cs="Tahoma"/>
          <w:szCs w:val="20"/>
          <w:lang w:val="de-DE"/>
        </w:rPr>
        <w:t>Gegebenenfalls haben Kunden die Option, ihren Vertrag um einen Zeitraum von weiteren 36 vollen Kalendermonaten zu verlängern</w:t>
      </w:r>
      <w:r w:rsidR="006257A7">
        <w:rPr>
          <w:rFonts w:cs="Tahoma"/>
          <w:szCs w:val="20"/>
          <w:lang w:val="de-DE"/>
        </w:rPr>
        <w:t xml:space="preserve">. </w:t>
      </w:r>
      <w:r w:rsidRPr="009123CB">
        <w:rPr>
          <w:rFonts w:cs="Tahoma"/>
          <w:szCs w:val="20"/>
          <w:lang w:val="de-DE"/>
        </w:rPr>
        <w:t>Um Software Assurance zu verlängern, müssen Kunden innerhalb vor Ablauf der vorherigen Laufzeit eine Verlängerungsbestellung abgeben</w:t>
      </w:r>
      <w:r w:rsidR="006257A7">
        <w:rPr>
          <w:rFonts w:cs="Tahoma"/>
          <w:szCs w:val="20"/>
          <w:lang w:val="de-DE"/>
        </w:rPr>
        <w:t xml:space="preserve">. </w:t>
      </w:r>
      <w:r w:rsidRPr="009123CB">
        <w:rPr>
          <w:rFonts w:cs="Tahoma"/>
          <w:szCs w:val="20"/>
          <w:lang w:val="de-DE"/>
        </w:rPr>
        <w:t>Wenn ein Kunde die unternehmensweite Option ausgewählt hat, muss dieser Kunde Software Assurance für alle Kopien jedes Produktes bestellen, das der Kunde unternehmensweit verlängern möchte</w:t>
      </w:r>
      <w:r w:rsidR="006257A7">
        <w:rPr>
          <w:rFonts w:cs="Tahoma"/>
          <w:szCs w:val="20"/>
          <w:lang w:val="de-DE"/>
        </w:rPr>
        <w:t xml:space="preserve">. </w:t>
      </w:r>
      <w:r w:rsidRPr="009123CB">
        <w:rPr>
          <w:rFonts w:cs="Tahoma"/>
          <w:szCs w:val="20"/>
          <w:lang w:val="de-DE"/>
        </w:rPr>
        <w:t>Wenn ein Kunde nicht die unternehmensweite Option gewählt hat, kann der Kunde die Verlängerung für eine beliebige Anzahl von zuvor vorhandenen Lizenzen mit Software Assurance bestellen</w:t>
      </w:r>
      <w:r w:rsidR="006257A7">
        <w:rPr>
          <w:rFonts w:cs="Tahoma"/>
          <w:szCs w:val="20"/>
          <w:lang w:val="de-DE"/>
        </w:rPr>
        <w:t xml:space="preserve">. </w:t>
      </w:r>
      <w:r w:rsidRPr="009123CB">
        <w:rPr>
          <w:rFonts w:cs="Tahoma"/>
          <w:szCs w:val="20"/>
          <w:lang w:val="de-DE"/>
        </w:rPr>
        <w:t>Jeder Verlängerungszeitraum beginnt an dem auf den Ablauf der vorhergehenden Laufzeit folgenden Tag</w:t>
      </w:r>
      <w:r w:rsidR="006257A7">
        <w:rPr>
          <w:rFonts w:cs="Tahoma"/>
          <w:szCs w:val="20"/>
          <w:lang w:val="de-DE"/>
        </w:rPr>
        <w:t xml:space="preserve">. </w:t>
      </w:r>
      <w:r w:rsidRPr="009123CB">
        <w:rPr>
          <w:rFonts w:cs="Tahoma"/>
          <w:szCs w:val="20"/>
          <w:lang w:val="de-DE"/>
        </w:rPr>
        <w:t>Kunden können Software Assurance bestellen, ohne gleichzeitig eine Lizenz zu bestellen, sofern Software Assurance wie oben genannt verlängert wird</w:t>
      </w:r>
      <w:r w:rsidR="006257A7">
        <w:rPr>
          <w:rFonts w:cs="Tahoma"/>
          <w:szCs w:val="20"/>
          <w:lang w:val="de-DE"/>
        </w:rPr>
        <w:t xml:space="preserve">. </w:t>
      </w:r>
    </w:p>
    <w:p w:rsidR="008D4EE5" w:rsidRPr="009123CB" w:rsidRDefault="008D4EE5" w:rsidP="008D4EE5">
      <w:pPr>
        <w:tabs>
          <w:tab w:val="num" w:pos="0"/>
        </w:tabs>
        <w:rPr>
          <w:lang w:val="de-DE"/>
        </w:rPr>
      </w:pPr>
    </w:p>
    <w:p w:rsidR="008D4EE5" w:rsidRPr="009123CB" w:rsidRDefault="008D4EE5" w:rsidP="008D4EE5">
      <w:pPr>
        <w:keepNext/>
        <w:tabs>
          <w:tab w:val="num" w:pos="720"/>
        </w:tabs>
        <w:spacing w:after="60"/>
        <w:ind w:left="360" w:hanging="360"/>
        <w:outlineLvl w:val="3"/>
        <w:rPr>
          <w:lang w:val="de-DE"/>
        </w:rPr>
      </w:pPr>
      <w:r w:rsidRPr="009123CB">
        <w:rPr>
          <w:b/>
          <w:szCs w:val="20"/>
          <w:lang w:val="de-DE"/>
        </w:rPr>
        <w:t>Verlängerung im Rahmen eines separaten Vertrages</w:t>
      </w:r>
    </w:p>
    <w:p w:rsidR="008D4EE5" w:rsidRPr="009123CB" w:rsidRDefault="008D4EE5" w:rsidP="008D4EE5">
      <w:pPr>
        <w:tabs>
          <w:tab w:val="num" w:pos="0"/>
        </w:tabs>
        <w:rPr>
          <w:lang w:val="de-DE"/>
        </w:rPr>
      </w:pPr>
      <w:r w:rsidRPr="009123CB">
        <w:rPr>
          <w:rFonts w:cs="Tahoma"/>
          <w:szCs w:val="20"/>
          <w:lang w:val="de-DE"/>
        </w:rPr>
        <w:t>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w:t>
      </w:r>
      <w:r w:rsidR="006257A7">
        <w:rPr>
          <w:rFonts w:cs="Tahoma"/>
          <w:szCs w:val="20"/>
          <w:lang w:val="de-DE"/>
        </w:rPr>
        <w:t xml:space="preserve">. </w:t>
      </w:r>
      <w:r w:rsidRPr="009123CB">
        <w:rPr>
          <w:rFonts w:cs="Tahoma"/>
          <w:szCs w:val="20"/>
          <w:lang w:val="de-DE"/>
        </w:rPr>
        <w:t>Die Software Assurance-Verlängerungsbestellung muss vor Ablauf von Software Assurance im Rahmen des früheren Vertrages abgegeben werden, sofern Software Assurance nicht im Rahmen eines Open Lizenz-Vertrages verlängert wird</w:t>
      </w:r>
      <w:r w:rsidR="006257A7">
        <w:rPr>
          <w:rFonts w:cs="Tahoma"/>
          <w:szCs w:val="20"/>
          <w:lang w:val="de-DE"/>
        </w:rPr>
        <w:t xml:space="preserve">. </w:t>
      </w:r>
      <w:r w:rsidRPr="009123CB">
        <w:rPr>
          <w:rFonts w:cs="Tahoma"/>
          <w:szCs w:val="20"/>
          <w:lang w:val="de-DE"/>
        </w:rPr>
        <w:t>In diesem Fall haben Kunden 90 Tage ab Ablauf Zeit, um die Bestellung abzugeben</w:t>
      </w:r>
      <w:r w:rsidR="006257A7">
        <w:rPr>
          <w:rFonts w:cs="Tahoma"/>
          <w:szCs w:val="20"/>
          <w:lang w:val="de-DE"/>
        </w:rPr>
        <w:t xml:space="preserve">. </w:t>
      </w:r>
    </w:p>
    <w:p w:rsidR="008D4EE5" w:rsidRPr="009123CB" w:rsidRDefault="008D4EE5" w:rsidP="008D4EE5">
      <w:pPr>
        <w:tabs>
          <w:tab w:val="num" w:pos="0"/>
        </w:tabs>
        <w:rPr>
          <w:lang w:val="de-DE"/>
        </w:rPr>
      </w:pPr>
    </w:p>
    <w:p w:rsidR="008D4EE5" w:rsidRPr="009123CB" w:rsidRDefault="008D4EE5" w:rsidP="008D4EE5">
      <w:pPr>
        <w:pStyle w:val="Heading4"/>
        <w:ind w:left="360"/>
        <w:rPr>
          <w:lang w:val="de-DE"/>
        </w:rPr>
      </w:pPr>
      <w:bookmarkStart w:id="700" w:name="_Toc323159746"/>
      <w:bookmarkStart w:id="701" w:name="_Toc336338220"/>
      <w:bookmarkStart w:id="702" w:name="_Toc363998958"/>
      <w:r w:rsidRPr="009123CB">
        <w:rPr>
          <w:rFonts w:ascii="Tahoma" w:hAnsi="Tahoma" w:cs="Tahoma"/>
          <w:sz w:val="24"/>
          <w:lang w:val="de-DE"/>
        </w:rPr>
        <w:t>Select 20xx</w:t>
      </w:r>
      <w:bookmarkEnd w:id="700"/>
      <w:bookmarkEnd w:id="701"/>
      <w:bookmarkEnd w:id="702"/>
    </w:p>
    <w:p w:rsidR="008D4EE5" w:rsidRPr="009123CB" w:rsidRDefault="008D4EE5" w:rsidP="008D4EE5">
      <w:pPr>
        <w:tabs>
          <w:tab w:val="num" w:pos="0"/>
        </w:tabs>
        <w:rPr>
          <w:lang w:val="de-DE"/>
        </w:rPr>
      </w:pPr>
    </w:p>
    <w:p w:rsidR="008D4EE5" w:rsidRPr="009123CB" w:rsidRDefault="008D4EE5" w:rsidP="008D4EE5">
      <w:pPr>
        <w:pStyle w:val="Heading4"/>
        <w:spacing w:before="0" w:after="60"/>
        <w:ind w:left="360"/>
        <w:rPr>
          <w:lang w:val="de-DE"/>
        </w:rPr>
      </w:pPr>
      <w:bookmarkStart w:id="703" w:name="_Toc323159747"/>
      <w:bookmarkStart w:id="704" w:name="_Toc328145990"/>
      <w:bookmarkStart w:id="705" w:name="_Toc336338221"/>
      <w:bookmarkStart w:id="706" w:name="_Toc363998959"/>
      <w:r w:rsidRPr="009123CB">
        <w:rPr>
          <w:rFonts w:ascii="Tahoma" w:hAnsi="Tahoma"/>
          <w:sz w:val="18"/>
          <w:lang w:val="de-DE"/>
        </w:rPr>
        <w:t>Verlängerung im Rahmen des Gleichen Vertrages</w:t>
      </w:r>
      <w:bookmarkEnd w:id="703"/>
      <w:bookmarkEnd w:id="704"/>
      <w:bookmarkEnd w:id="705"/>
      <w:bookmarkEnd w:id="706"/>
      <w:r w:rsidRPr="009123CB">
        <w:rPr>
          <w:rFonts w:ascii="Tahoma" w:hAnsi="Tahoma"/>
          <w:sz w:val="18"/>
          <w:lang w:val="de-DE"/>
        </w:rPr>
        <w:t xml:space="preserve"> </w:t>
      </w:r>
    </w:p>
    <w:p w:rsidR="008D4EE5" w:rsidRPr="009123CB" w:rsidRDefault="008D4EE5" w:rsidP="00174833">
      <w:pPr>
        <w:pStyle w:val="styleheading22left138firstline00"/>
        <w:tabs>
          <w:tab w:val="num" w:pos="0"/>
        </w:tabs>
        <w:snapToGrid w:val="0"/>
        <w:ind w:left="0"/>
        <w:jc w:val="left"/>
        <w:rPr>
          <w:lang w:val="de-DE"/>
        </w:rPr>
      </w:pPr>
      <w:r w:rsidRPr="009123CB">
        <w:rPr>
          <w:rFonts w:ascii="Tahoma" w:hAnsi="Tahoma" w:cs="Tahoma"/>
          <w:sz w:val="18"/>
          <w:lang w:val="de-DE"/>
        </w:rPr>
        <w:t>Software Assurance, die im Rahmen von Beitritten unter einem Select-Vertrag bestellt wurde, endet bei Ablauf (oder</w:t>
      </w:r>
      <w:r w:rsidR="00174833">
        <w:rPr>
          <w:rFonts w:ascii="Tahoma" w:hAnsi="Tahoma" w:cs="Tahoma"/>
          <w:sz w:val="18"/>
          <w:lang w:val="de-DE"/>
        </w:rPr>
        <w:t> </w:t>
      </w:r>
      <w:r w:rsidRPr="009123CB">
        <w:rPr>
          <w:rFonts w:ascii="Tahoma" w:hAnsi="Tahoma" w:cs="Tahoma"/>
          <w:sz w:val="18"/>
          <w:lang w:val="de-DE"/>
        </w:rPr>
        <w:t>Kündigung) dieses Vertrages (oder Kündigung des jeweiligen Beitritts, falls dies früher eintritt)</w:t>
      </w:r>
      <w:r w:rsidR="006257A7">
        <w:rPr>
          <w:rFonts w:ascii="Tahoma" w:hAnsi="Tahoma" w:cs="Tahoma"/>
          <w:sz w:val="18"/>
          <w:lang w:val="de-DE"/>
        </w:rPr>
        <w:t xml:space="preserve">. </w:t>
      </w:r>
      <w:r w:rsidRPr="009123CB">
        <w:rPr>
          <w:rFonts w:ascii="Tahoma" w:hAnsi="Tahoma" w:cs="Tahoma"/>
          <w:sz w:val="18"/>
          <w:lang w:val="de-DE"/>
        </w:rPr>
        <w:t>Kunden erhalten 60 Tage vor Ablauf ihres Vertrages eine schriftliche Mitteilung über ihre Verlängerungsoptionen</w:t>
      </w:r>
      <w:r w:rsidR="006257A7">
        <w:rPr>
          <w:rFonts w:ascii="Tahoma" w:hAnsi="Tahoma" w:cs="Tahoma"/>
          <w:sz w:val="18"/>
          <w:lang w:val="de-DE"/>
        </w:rPr>
        <w:t xml:space="preserve">. </w:t>
      </w:r>
      <w:r w:rsidRPr="009123CB">
        <w:rPr>
          <w:rFonts w:ascii="Tahoma" w:hAnsi="Tahoma" w:cs="Tahoma"/>
          <w:sz w:val="18"/>
          <w:lang w:val="de-DE"/>
        </w:rPr>
        <w:t>Gegebenenfalls haben Kunden die Option, ihren Vertrag um einen Zeitraum von weiteren 12 oder 36 vollen Kalendermonaten zu verlängern</w:t>
      </w:r>
      <w:r w:rsidR="006257A7">
        <w:rPr>
          <w:rFonts w:ascii="Tahoma" w:hAnsi="Tahoma" w:cs="Tahoma"/>
          <w:sz w:val="18"/>
          <w:lang w:val="de-DE"/>
        </w:rPr>
        <w:t xml:space="preserve">. </w:t>
      </w:r>
      <w:r w:rsidRPr="009123CB">
        <w:rPr>
          <w:rFonts w:ascii="Tahoma" w:hAnsi="Tahoma" w:cs="Tahoma"/>
          <w:sz w:val="18"/>
          <w:lang w:val="de-DE"/>
        </w:rPr>
        <w:t>Wenn ein Kunde Software Assurance für Kopien verlängern möchte, für die er zuvor</w:t>
      </w:r>
      <w:r w:rsidR="00174833">
        <w:rPr>
          <w:rFonts w:ascii="Tahoma" w:hAnsi="Tahoma" w:cs="Tahoma"/>
          <w:sz w:val="18"/>
          <w:lang w:val="de-DE"/>
        </w:rPr>
        <w:t> </w:t>
      </w:r>
      <w:r w:rsidRPr="009123CB">
        <w:rPr>
          <w:rFonts w:ascii="Tahoma" w:hAnsi="Tahoma" w:cs="Tahoma"/>
          <w:sz w:val="18"/>
          <w:lang w:val="de-DE"/>
        </w:rPr>
        <w:t>unter seinem Beitritt Software Assurance erworben hat, muss er vor Ablauf der vorangegangenen Laufzeit eine</w:t>
      </w:r>
      <w:r w:rsidR="00174833">
        <w:rPr>
          <w:rFonts w:ascii="Tahoma" w:hAnsi="Tahoma" w:cs="Tahoma"/>
          <w:sz w:val="18"/>
          <w:lang w:val="de-DE"/>
        </w:rPr>
        <w:t> </w:t>
      </w:r>
      <w:r w:rsidRPr="009123CB">
        <w:rPr>
          <w:rFonts w:ascii="Tahoma" w:hAnsi="Tahoma" w:cs="Tahoma"/>
          <w:sz w:val="18"/>
          <w:lang w:val="de-DE"/>
        </w:rPr>
        <w:t>Verlängerungsbestellung über seinen Handelspartner bei Microsoft einreichen</w:t>
      </w:r>
      <w:r w:rsidR="006257A7">
        <w:rPr>
          <w:rFonts w:ascii="Tahoma" w:hAnsi="Tahoma" w:cs="Tahoma"/>
          <w:sz w:val="18"/>
          <w:lang w:val="de-DE"/>
        </w:rPr>
        <w:t xml:space="preserve">. </w:t>
      </w:r>
      <w:r w:rsidRPr="009123CB">
        <w:rPr>
          <w:rFonts w:ascii="Tahoma" w:hAnsi="Tahoma" w:cs="Tahoma"/>
          <w:sz w:val="18"/>
          <w:lang w:val="de-DE"/>
        </w:rPr>
        <w:t>Verlängerungsbestellungen müssen für den gesamten Verlängerungszeitraum erfolgen</w:t>
      </w:r>
      <w:r w:rsidR="006257A7">
        <w:rPr>
          <w:rFonts w:ascii="Tahoma" w:hAnsi="Tahoma" w:cs="Tahoma"/>
          <w:sz w:val="18"/>
          <w:lang w:val="de-DE"/>
        </w:rPr>
        <w:t xml:space="preserve">. </w:t>
      </w:r>
      <w:r w:rsidRPr="009123CB">
        <w:rPr>
          <w:rFonts w:ascii="Tahoma" w:hAnsi="Tahoma" w:cs="Tahoma"/>
          <w:sz w:val="18"/>
          <w:lang w:val="de-DE"/>
        </w:rPr>
        <w:t>Jeder Verlängerungszeitraum beginnt an dem auf den</w:t>
      </w:r>
      <w:r w:rsidR="00174833">
        <w:rPr>
          <w:rFonts w:ascii="Tahoma" w:hAnsi="Tahoma" w:cs="Tahoma"/>
          <w:sz w:val="18"/>
          <w:lang w:val="de-DE"/>
        </w:rPr>
        <w:t> </w:t>
      </w:r>
      <w:r w:rsidRPr="009123CB">
        <w:rPr>
          <w:rFonts w:ascii="Tahoma" w:hAnsi="Tahoma" w:cs="Tahoma"/>
          <w:sz w:val="18"/>
          <w:lang w:val="de-DE"/>
        </w:rPr>
        <w:t>Ablauf der vorhergehenden Laufzeit folgenden Tag</w:t>
      </w:r>
      <w:r w:rsidR="006257A7">
        <w:rPr>
          <w:rFonts w:ascii="Tahoma" w:hAnsi="Tahoma" w:cs="Tahoma"/>
          <w:sz w:val="18"/>
          <w:lang w:val="de-DE"/>
        </w:rPr>
        <w:t xml:space="preserve">. </w:t>
      </w:r>
    </w:p>
    <w:p w:rsidR="008D4EE5" w:rsidRDefault="008D4EE5" w:rsidP="008D4EE5">
      <w:pPr>
        <w:rPr>
          <w:lang w:val="de-DE"/>
        </w:rPr>
      </w:pPr>
      <w:bookmarkStart w:id="707" w:name="_Toc323159748"/>
      <w:bookmarkStart w:id="708" w:name="_Toc336338222"/>
    </w:p>
    <w:p w:rsidR="003E5F02" w:rsidRDefault="003E5F02" w:rsidP="008D4EE5">
      <w:pPr>
        <w:rPr>
          <w:lang w:val="de-DE"/>
        </w:rPr>
      </w:pPr>
    </w:p>
    <w:p w:rsidR="003E5F02" w:rsidRDefault="003E5F02" w:rsidP="008D4EE5">
      <w:pPr>
        <w:rPr>
          <w:lang w:val="de-DE"/>
        </w:rPr>
      </w:pPr>
    </w:p>
    <w:p w:rsidR="003E5F02" w:rsidRPr="009123CB" w:rsidRDefault="003E5F02" w:rsidP="008D4EE5">
      <w:pPr>
        <w:rPr>
          <w:lang w:val="de-DE"/>
        </w:rPr>
      </w:pPr>
    </w:p>
    <w:p w:rsidR="008D4EE5" w:rsidRPr="009123CB" w:rsidRDefault="008D4EE5" w:rsidP="008D4EE5">
      <w:pPr>
        <w:pStyle w:val="Heading4"/>
        <w:spacing w:before="0" w:after="60"/>
        <w:ind w:left="360"/>
        <w:rPr>
          <w:lang w:val="de-DE"/>
        </w:rPr>
      </w:pPr>
      <w:bookmarkStart w:id="709" w:name="_Toc363998960"/>
      <w:r w:rsidRPr="009123CB">
        <w:rPr>
          <w:rFonts w:ascii="Tahoma" w:hAnsi="Tahoma"/>
          <w:sz w:val="18"/>
          <w:lang w:val="de-DE"/>
        </w:rPr>
        <w:t>Verlängerung im Rahmen eines separaten Vertrages</w:t>
      </w:r>
      <w:bookmarkEnd w:id="707"/>
      <w:bookmarkEnd w:id="708"/>
      <w:bookmarkEnd w:id="709"/>
    </w:p>
    <w:p w:rsidR="008D4EE5" w:rsidRPr="009123CB" w:rsidRDefault="008D4EE5" w:rsidP="00174833">
      <w:pPr>
        <w:pStyle w:val="styleheading22left138firstline00"/>
        <w:tabs>
          <w:tab w:val="num" w:pos="0"/>
        </w:tabs>
        <w:snapToGrid w:val="0"/>
        <w:ind w:left="0"/>
        <w:jc w:val="left"/>
        <w:rPr>
          <w:lang w:val="de-DE"/>
        </w:rPr>
      </w:pPr>
      <w:r w:rsidRPr="009123CB">
        <w:rPr>
          <w:rFonts w:ascii="Tahoma" w:hAnsi="Tahoma" w:cs="Tahoma"/>
          <w:sz w:val="18"/>
          <w:lang w:val="de-DE"/>
        </w:rPr>
        <w:t>Kunden können Software Assurance bestellen, ohne gleichzeitig eine Lizenz für Kopien von Produkten bestellen zu</w:t>
      </w:r>
      <w:r w:rsidR="00174833">
        <w:rPr>
          <w:rFonts w:ascii="Tahoma" w:hAnsi="Tahoma" w:cs="Tahoma"/>
          <w:sz w:val="18"/>
          <w:lang w:val="de-DE"/>
        </w:rPr>
        <w:t> </w:t>
      </w:r>
      <w:r w:rsidRPr="009123CB">
        <w:rPr>
          <w:rFonts w:ascii="Tahoma" w:hAnsi="Tahoma" w:cs="Tahoma"/>
          <w:sz w:val="18"/>
          <w:lang w:val="de-DE"/>
        </w:rPr>
        <w:t>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w:t>
      </w:r>
      <w:r w:rsidR="006257A7">
        <w:rPr>
          <w:rFonts w:ascii="Tahoma" w:hAnsi="Tahoma" w:cs="Tahoma"/>
          <w:sz w:val="18"/>
          <w:lang w:val="de-DE"/>
        </w:rPr>
        <w:t xml:space="preserve">. </w:t>
      </w:r>
      <w:r w:rsidRPr="009123CB">
        <w:rPr>
          <w:rFonts w:ascii="Tahoma" w:hAnsi="Tahoma" w:cs="Tahoma"/>
          <w:sz w:val="18"/>
          <w:lang w:val="de-DE"/>
        </w:rPr>
        <w:t>Die Software Assurance-Verlängerungsbestellung muss vor dem Ablauf des früheren Vertrages abgegeben werden, sofern sie nicht im Rahmen eines Open Lizenz-Vertrages vorgetragen wird</w:t>
      </w:r>
      <w:r w:rsidR="006257A7">
        <w:rPr>
          <w:rFonts w:ascii="Tahoma" w:hAnsi="Tahoma" w:cs="Tahoma"/>
          <w:sz w:val="18"/>
          <w:lang w:val="de-DE"/>
        </w:rPr>
        <w:t xml:space="preserve">. </w:t>
      </w:r>
      <w:r w:rsidRPr="009123CB">
        <w:rPr>
          <w:rFonts w:ascii="Tahoma" w:hAnsi="Tahoma" w:cs="Tahoma"/>
          <w:sz w:val="18"/>
          <w:lang w:val="de-DE"/>
        </w:rPr>
        <w:t>In diesem Fall haben Kunden 90 Tage ab Ablauf Zeit, um die Bestellung abzugeben</w:t>
      </w:r>
      <w:r w:rsidR="006257A7">
        <w:rPr>
          <w:rFonts w:ascii="Tahoma" w:hAnsi="Tahoma" w:cs="Tahoma"/>
          <w:sz w:val="18"/>
          <w:lang w:val="de-DE"/>
        </w:rPr>
        <w:t xml:space="preserve">. </w:t>
      </w:r>
    </w:p>
    <w:p w:rsidR="008D4EE5" w:rsidRPr="009123CB" w:rsidRDefault="008D4EE5" w:rsidP="008D4EE5">
      <w:pPr>
        <w:outlineLvl w:val="2"/>
        <w:rPr>
          <w:lang w:val="de-DE"/>
        </w:rPr>
      </w:pPr>
    </w:p>
    <w:p w:rsidR="008D4EE5" w:rsidRPr="009123CB" w:rsidRDefault="008D4EE5" w:rsidP="008D4EE5">
      <w:pPr>
        <w:pStyle w:val="Heading4"/>
        <w:ind w:left="360"/>
        <w:rPr>
          <w:lang w:val="de-DE"/>
        </w:rPr>
      </w:pPr>
      <w:bookmarkStart w:id="710" w:name="_Toc336338223"/>
      <w:bookmarkStart w:id="711" w:name="_Toc363998961"/>
      <w:r w:rsidRPr="009123CB">
        <w:rPr>
          <w:rFonts w:ascii="Tahoma" w:hAnsi="Tahoma" w:cs="Tahoma"/>
          <w:sz w:val="24"/>
          <w:lang w:val="de-DE"/>
        </w:rPr>
        <w:t>Select Plus 20xx</w:t>
      </w:r>
      <w:bookmarkEnd w:id="710"/>
      <w:bookmarkEnd w:id="711"/>
    </w:p>
    <w:p w:rsidR="008D4EE5" w:rsidRPr="009123CB" w:rsidRDefault="008D4EE5" w:rsidP="008D4EE5">
      <w:pPr>
        <w:rPr>
          <w:lang w:val="de-DE"/>
        </w:rPr>
      </w:pPr>
    </w:p>
    <w:p w:rsidR="008D4EE5" w:rsidRPr="009123CB" w:rsidRDefault="008D4EE5" w:rsidP="008D4EE5">
      <w:pPr>
        <w:spacing w:after="60"/>
        <w:rPr>
          <w:lang w:val="de-DE"/>
        </w:rPr>
      </w:pPr>
      <w:r w:rsidRPr="009123CB">
        <w:rPr>
          <w:b/>
          <w:bCs/>
          <w:lang w:val="de-DE"/>
        </w:rPr>
        <w:t xml:space="preserve">Verlängerung im Rahmen des Gleichen Vertrages </w:t>
      </w:r>
    </w:p>
    <w:p w:rsidR="008D4EE5" w:rsidRPr="009123CB" w:rsidRDefault="008D4EE5" w:rsidP="008D4EE5">
      <w:pPr>
        <w:rPr>
          <w:lang w:val="de-DE"/>
        </w:rPr>
      </w:pPr>
      <w:r w:rsidRPr="009123CB">
        <w:rPr>
          <w:iCs/>
          <w:lang w:val="de-DE"/>
        </w:rPr>
        <w:t>Seit dem 1</w:t>
      </w:r>
      <w:r w:rsidR="006257A7">
        <w:rPr>
          <w:iCs/>
          <w:lang w:val="de-DE"/>
        </w:rPr>
        <w:t xml:space="preserve">. </w:t>
      </w:r>
      <w:r w:rsidRPr="009123CB">
        <w:rPr>
          <w:iCs/>
          <w:lang w:val="de-DE"/>
        </w:rPr>
        <w:t>März 2011 endet die anfängliche</w:t>
      </w:r>
      <w:r w:rsidRPr="009123CB">
        <w:rPr>
          <w:i/>
          <w:iCs/>
          <w:lang w:val="de-DE"/>
        </w:rPr>
        <w:t xml:space="preserve"> </w:t>
      </w:r>
      <w:r w:rsidRPr="009123CB">
        <w:rPr>
          <w:lang w:val="de-DE"/>
        </w:rPr>
        <w:t>Software Assurance (Neubestellung oder Verlängerung), die im Rahmen 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w:t>
      </w:r>
      <w:r w:rsidR="006257A7">
        <w:rPr>
          <w:lang w:val="de-DE"/>
        </w:rPr>
        <w:t xml:space="preserve">. </w:t>
      </w:r>
      <w:r w:rsidRPr="009123CB">
        <w:rPr>
          <w:lang w:val="de-DE"/>
        </w:rPr>
        <w:t>Kunden und Partner erhalten vor Ablauf von Software Assurance eine schriftliche Mitteilung über ihre Verlängerungsoptionen</w:t>
      </w:r>
      <w:r w:rsidR="006257A7">
        <w:rPr>
          <w:lang w:val="de-DE"/>
        </w:rPr>
        <w:t xml:space="preserve">. </w:t>
      </w:r>
      <w:r w:rsidRPr="009123CB">
        <w:rPr>
          <w:lang w:val="de-DE"/>
        </w:rPr>
        <w:t>Wenn ein Kunde Software Assurance für zuvor bestellte Kopien verlängern möchte, muss er vor oder bei Ablauf der vorangegangenen Software Assurance-Laufzeit eine Verlängerungsbestellung über seinen Handelspartner bei Microsoft einreichen</w:t>
      </w:r>
      <w:r w:rsidR="006257A7">
        <w:rPr>
          <w:lang w:val="de-DE"/>
        </w:rPr>
        <w:t xml:space="preserve">. </w:t>
      </w:r>
      <w:r w:rsidRPr="009123CB">
        <w:rPr>
          <w:lang w:val="de-DE"/>
        </w:rPr>
        <w:t>Verlängerungsbestellungen müssen für den gesamten Verlängerungszeitraum von 36 Monaten erfolgen</w:t>
      </w:r>
      <w:r w:rsidR="006257A7">
        <w:rPr>
          <w:lang w:val="de-DE"/>
        </w:rPr>
        <w:t xml:space="preserve">. </w:t>
      </w:r>
      <w:r w:rsidRPr="009123CB">
        <w:rPr>
          <w:lang w:val="de-DE"/>
        </w:rPr>
        <w:t>Jeder Verlängerungszeitraum beginnt an dem auf den Ablauf der vorhergehenden Laufzeit folgenden Tag</w:t>
      </w:r>
      <w:r w:rsidR="006257A7">
        <w:rPr>
          <w:lang w:val="de-DE"/>
        </w:rPr>
        <w:t xml:space="preserve">. </w:t>
      </w:r>
    </w:p>
    <w:p w:rsidR="008D4EE5" w:rsidRPr="009123CB" w:rsidRDefault="008D4EE5" w:rsidP="008D4EE5">
      <w:pPr>
        <w:rPr>
          <w:lang w:val="de-DE"/>
        </w:rPr>
      </w:pPr>
    </w:p>
    <w:p w:rsidR="008D4EE5" w:rsidRPr="009123CB" w:rsidRDefault="008D4EE5" w:rsidP="008D4EE5">
      <w:pPr>
        <w:spacing w:after="60"/>
        <w:rPr>
          <w:lang w:val="de-DE"/>
        </w:rPr>
      </w:pPr>
      <w:r w:rsidRPr="009123CB">
        <w:rPr>
          <w:b/>
          <w:bCs/>
          <w:lang w:val="de-DE"/>
        </w:rPr>
        <w:t>Verlängerung im Rahmen eines separaten Vertrages</w:t>
      </w:r>
    </w:p>
    <w:p w:rsidR="008D4EE5" w:rsidRPr="009123CB" w:rsidRDefault="008D4EE5" w:rsidP="00174833">
      <w:pPr>
        <w:rPr>
          <w:lang w:val="de-DE"/>
        </w:rPr>
      </w:pPr>
      <w:r w:rsidRPr="009123CB">
        <w:rPr>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w:t>
      </w:r>
      <w:r w:rsidR="006257A7">
        <w:rPr>
          <w:lang w:val="de-DE"/>
        </w:rPr>
        <w:t xml:space="preserve">. </w:t>
      </w:r>
      <w:r w:rsidRPr="009123CB">
        <w:rPr>
          <w:lang w:val="de-DE"/>
        </w:rPr>
        <w:t>Die Software Assurance-Verlängerungsbestellung muss vor dem Ablauf des früheren Vertrages abgegeben werden, sofern sie nicht im Rahmen eines Open Lizenz-Vertrages vorgetragen wird</w:t>
      </w:r>
      <w:r w:rsidR="006257A7">
        <w:rPr>
          <w:lang w:val="de-DE"/>
        </w:rPr>
        <w:t xml:space="preserve">. </w:t>
      </w:r>
      <w:r w:rsidRPr="009123CB">
        <w:rPr>
          <w:lang w:val="de-DE"/>
        </w:rPr>
        <w:t>In diesem Fall haben</w:t>
      </w:r>
      <w:r w:rsidR="00174833">
        <w:rPr>
          <w:lang w:val="de-DE"/>
        </w:rPr>
        <w:t> </w:t>
      </w:r>
      <w:r w:rsidRPr="009123CB">
        <w:rPr>
          <w:lang w:val="de-DE"/>
        </w:rPr>
        <w:t>Kunden 90 Tage ab Ablauf Zeit, um die Bestellung abzugeben</w:t>
      </w:r>
      <w:r w:rsidR="006257A7">
        <w:rPr>
          <w:lang w:val="de-DE"/>
        </w:rPr>
        <w:t xml:space="preserve">. </w:t>
      </w:r>
    </w:p>
    <w:p w:rsidR="008D4EE5" w:rsidRPr="009123CB" w:rsidRDefault="008D4EE5" w:rsidP="008D4EE5">
      <w:pPr>
        <w:tabs>
          <w:tab w:val="num" w:pos="0"/>
        </w:tabs>
        <w:rPr>
          <w:lang w:val="de-DE"/>
        </w:rPr>
      </w:pPr>
    </w:p>
    <w:p w:rsidR="008D4EE5" w:rsidRPr="009123CB" w:rsidRDefault="008D4EE5" w:rsidP="008D4EE5">
      <w:pPr>
        <w:pStyle w:val="Heading4"/>
        <w:ind w:hanging="720"/>
        <w:rPr>
          <w:lang w:val="de-DE"/>
        </w:rPr>
      </w:pPr>
      <w:bookmarkStart w:id="712" w:name="_Toc336338224"/>
      <w:bookmarkStart w:id="713" w:name="_Toc363998962"/>
      <w:r w:rsidRPr="009123CB">
        <w:rPr>
          <w:rFonts w:ascii="Tahoma" w:hAnsi="Tahoma" w:cs="Tahoma"/>
          <w:sz w:val="24"/>
          <w:szCs w:val="22"/>
          <w:lang w:val="de-DE"/>
        </w:rPr>
        <w:t>Konzernvertrag 2011 und spätere Versionen</w:t>
      </w:r>
      <w:bookmarkEnd w:id="712"/>
      <w:bookmarkEnd w:id="713"/>
    </w:p>
    <w:p w:rsidR="008D4EE5" w:rsidRPr="009123CB" w:rsidRDefault="008D4EE5" w:rsidP="008D4EE5">
      <w:pPr>
        <w:outlineLvl w:val="2"/>
        <w:rPr>
          <w:lang w:val="de-DE"/>
        </w:rPr>
      </w:pPr>
    </w:p>
    <w:p w:rsidR="008D4EE5" w:rsidRPr="009123CB" w:rsidRDefault="008D4EE5" w:rsidP="008D4EE5">
      <w:pPr>
        <w:keepNext/>
        <w:tabs>
          <w:tab w:val="num" w:pos="720"/>
        </w:tabs>
        <w:spacing w:after="60"/>
        <w:ind w:left="360" w:hanging="360"/>
        <w:outlineLvl w:val="3"/>
        <w:rPr>
          <w:lang w:val="de-DE"/>
        </w:rPr>
      </w:pPr>
      <w:r w:rsidRPr="009123CB">
        <w:rPr>
          <w:b/>
          <w:szCs w:val="20"/>
          <w:lang w:val="de-DE"/>
        </w:rPr>
        <w:t>Verlängerung im Rahmen des gleichen Vertrages</w:t>
      </w:r>
    </w:p>
    <w:p w:rsidR="008D4EE5" w:rsidRPr="009123CB" w:rsidRDefault="008D4EE5" w:rsidP="00174833">
      <w:pPr>
        <w:tabs>
          <w:tab w:val="num" w:pos="0"/>
        </w:tabs>
        <w:rPr>
          <w:lang w:val="de-DE"/>
        </w:rPr>
      </w:pPr>
      <w:r w:rsidRPr="009123CB">
        <w:rPr>
          <w:rFonts w:cs="Tahoma"/>
          <w:szCs w:val="20"/>
          <w:lang w:val="de-DE"/>
        </w:rPr>
        <w:t>Nach Ablauf des Beitritts ist der Kunde zur Verlängerung der Konzernvertragspreise berechtigt, die ausschließlich auf</w:t>
      </w:r>
      <w:r w:rsidR="00174833">
        <w:rPr>
          <w:rFonts w:cs="Tahoma"/>
          <w:szCs w:val="20"/>
          <w:lang w:val="de-DE"/>
        </w:rPr>
        <w:t> </w:t>
      </w:r>
      <w:r w:rsidRPr="009123CB">
        <w:rPr>
          <w:rFonts w:cs="Tahoma"/>
          <w:szCs w:val="20"/>
          <w:lang w:val="de-DE"/>
        </w:rPr>
        <w:t>Software Assurance basieren</w:t>
      </w:r>
      <w:r w:rsidR="006257A7">
        <w:rPr>
          <w:rFonts w:cs="Tahoma"/>
          <w:szCs w:val="20"/>
          <w:lang w:val="de-DE"/>
        </w:rPr>
        <w:t xml:space="preserve">. </w:t>
      </w:r>
      <w:r w:rsidRPr="009123CB">
        <w:rPr>
          <w:rFonts w:cs="Tahoma"/>
          <w:szCs w:val="20"/>
          <w:lang w:val="de-DE"/>
        </w:rPr>
        <w:t>Kunden erhalten vor Ablauf ihres Beitritts eine schriftliche Mitteilung über ihre Verlängerungsoptionen</w:t>
      </w:r>
      <w:r w:rsidR="006257A7">
        <w:rPr>
          <w:rFonts w:cs="Tahoma"/>
          <w:szCs w:val="20"/>
          <w:lang w:val="de-DE"/>
        </w:rPr>
        <w:t xml:space="preserve">. </w:t>
      </w:r>
      <w:r w:rsidRPr="009123CB">
        <w:rPr>
          <w:rFonts w:cs="Tahoma"/>
          <w:szCs w:val="20"/>
          <w:lang w:val="de-DE"/>
        </w:rPr>
        <w:t>Gegebenenfalls haben Kunden die Option, ihren Beitritt einmalig um einen Folgezeitraum von 36 vollen Kalendermonaten zu verlängern</w:t>
      </w:r>
      <w:r w:rsidR="006257A7">
        <w:rPr>
          <w:rFonts w:cs="Tahoma"/>
          <w:szCs w:val="20"/>
          <w:lang w:val="de-DE"/>
        </w:rPr>
        <w:t xml:space="preserve">. </w:t>
      </w:r>
      <w:r w:rsidRPr="009123CB">
        <w:rPr>
          <w:rFonts w:cs="Tahoma"/>
          <w:szCs w:val="20"/>
          <w:lang w:val="de-DE"/>
        </w:rPr>
        <w:t>Nach diesem Verlängerungszeitraum muss der Kunde einen neuen Beitritt unterzeichnen, um Software Assurance zu verlängern</w:t>
      </w:r>
      <w:r w:rsidR="006257A7">
        <w:rPr>
          <w:rFonts w:cs="Tahoma"/>
          <w:szCs w:val="20"/>
          <w:lang w:val="de-DE"/>
        </w:rPr>
        <w:t xml:space="preserve">. </w:t>
      </w:r>
      <w:r w:rsidRPr="009123CB">
        <w:rPr>
          <w:rFonts w:cs="Tahoma"/>
          <w:szCs w:val="20"/>
          <w:lang w:val="de-DE"/>
        </w:rPr>
        <w:t>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6257A7">
        <w:rPr>
          <w:rFonts w:cs="Tahoma"/>
          <w:szCs w:val="20"/>
          <w:lang w:val="de-DE"/>
        </w:rPr>
        <w:t xml:space="preserve">. </w:t>
      </w:r>
      <w:r w:rsidRPr="009123CB">
        <w:rPr>
          <w:rFonts w:cs="Tahoma"/>
          <w:szCs w:val="20"/>
          <w:lang w:val="de-DE"/>
        </w:rPr>
        <w:t>Diese Bestellung muss vor Ablauf der vorherigen Laufzeit abgegeben werden</w:t>
      </w:r>
      <w:r w:rsidR="006257A7">
        <w:rPr>
          <w:rFonts w:cs="Tahoma"/>
          <w:szCs w:val="20"/>
          <w:lang w:val="de-DE"/>
        </w:rPr>
        <w:t xml:space="preserve">. </w:t>
      </w:r>
      <w:r w:rsidRPr="009123CB">
        <w:rPr>
          <w:rFonts w:cs="Tahoma"/>
          <w:szCs w:val="20"/>
          <w:lang w:val="de-DE"/>
        </w:rPr>
        <w:t>Der Verlängerungszeitraum beginnt an dem auf den Ablauf der vorherigen Laufzeit folgenden Tag</w:t>
      </w:r>
      <w:r w:rsidR="006257A7">
        <w:rPr>
          <w:rFonts w:cs="Tahoma"/>
          <w:szCs w:val="20"/>
          <w:lang w:val="de-DE"/>
        </w:rPr>
        <w:t xml:space="preserve">. </w:t>
      </w:r>
      <w:r w:rsidRPr="009123CB">
        <w:rPr>
          <w:rFonts w:cs="Tahoma"/>
          <w:szCs w:val="20"/>
          <w:lang w:val="de-DE"/>
        </w:rPr>
        <w:t>Weitere Informationen zur Software Assurance-Verlängerung im Rahmen eines nachfolgenden Beitritts finden Sie weiter unten</w:t>
      </w:r>
      <w:r w:rsidR="006257A7">
        <w:rPr>
          <w:rFonts w:cs="Tahoma"/>
          <w:szCs w:val="20"/>
          <w:lang w:val="de-DE"/>
        </w:rPr>
        <w:t xml:space="preserve">. </w:t>
      </w:r>
    </w:p>
    <w:p w:rsidR="008D4EE5" w:rsidRPr="009123CB" w:rsidRDefault="008D4EE5" w:rsidP="008D4EE5">
      <w:pPr>
        <w:tabs>
          <w:tab w:val="num" w:pos="0"/>
        </w:tabs>
        <w:rPr>
          <w:lang w:val="de-DE"/>
        </w:rPr>
      </w:pPr>
    </w:p>
    <w:p w:rsidR="008D4EE5" w:rsidRPr="009123CB" w:rsidRDefault="008D4EE5" w:rsidP="008D4EE5">
      <w:pPr>
        <w:keepNext/>
        <w:tabs>
          <w:tab w:val="num" w:pos="720"/>
        </w:tabs>
        <w:spacing w:after="60"/>
        <w:ind w:left="360" w:hanging="360"/>
        <w:outlineLvl w:val="3"/>
        <w:rPr>
          <w:lang w:val="de-DE"/>
        </w:rPr>
      </w:pPr>
      <w:r w:rsidRPr="009123CB">
        <w:rPr>
          <w:b/>
          <w:szCs w:val="20"/>
          <w:lang w:val="de-DE"/>
        </w:rPr>
        <w:t>Verlängerung im Rahmen eines separaten Vertrages</w:t>
      </w:r>
    </w:p>
    <w:p w:rsidR="008D4EE5" w:rsidRPr="009123CB" w:rsidRDefault="008D4EE5" w:rsidP="008D4EE5">
      <w:pPr>
        <w:tabs>
          <w:tab w:val="num" w:pos="0"/>
        </w:tabs>
        <w:rPr>
          <w:lang w:val="de-DE"/>
        </w:rPr>
      </w:pPr>
      <w:r w:rsidRPr="009123CB">
        <w:rPr>
          <w:rFonts w:cs="Tahoma"/>
          <w:color w:val="000000"/>
          <w:szCs w:val="2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w:t>
      </w:r>
      <w:r w:rsidR="006257A7">
        <w:rPr>
          <w:rFonts w:cs="Tahoma"/>
          <w:color w:val="000000"/>
          <w:szCs w:val="20"/>
          <w:lang w:val="de-DE"/>
        </w:rPr>
        <w:t xml:space="preserve">. </w:t>
      </w:r>
      <w:r w:rsidRPr="009123CB">
        <w:rPr>
          <w:rFonts w:cs="Tahoma"/>
          <w:color w:val="000000"/>
          <w:szCs w:val="20"/>
          <w:lang w:val="de-DE"/>
        </w:rPr>
        <w:t>Bei Zusätzlichen Produkten hat der Kunde ab dem Ablauf 90 Tage Zeit, um die Bestellung abzugeben, da</w:t>
      </w:r>
      <w:r w:rsidRPr="009123CB">
        <w:rPr>
          <w:rFonts w:cs="Tahoma"/>
          <w:color w:val="000000"/>
          <w:szCs w:val="24"/>
          <w:lang w:val="de-DE"/>
        </w:rPr>
        <w:t xml:space="preserve"> Software Assurance von einem Open-Lizenzvertrag vorgetragen wird</w:t>
      </w:r>
      <w:r w:rsidR="006257A7">
        <w:rPr>
          <w:rFonts w:cs="Tahoma"/>
          <w:color w:val="000000"/>
          <w:szCs w:val="24"/>
          <w:lang w:val="de-DE"/>
        </w:rPr>
        <w:t xml:space="preserve">. </w:t>
      </w:r>
    </w:p>
    <w:p w:rsidR="008D4EE5" w:rsidRPr="009123CB" w:rsidRDefault="008D4EE5" w:rsidP="008D4EE5">
      <w:pPr>
        <w:tabs>
          <w:tab w:val="num" w:pos="0"/>
        </w:tabs>
        <w:rPr>
          <w:lang w:val="de-DE"/>
        </w:rPr>
      </w:pPr>
    </w:p>
    <w:p w:rsidR="008D4EE5" w:rsidRPr="009123CB" w:rsidRDefault="008D4EE5" w:rsidP="008D4EE5">
      <w:pPr>
        <w:keepNext/>
        <w:tabs>
          <w:tab w:val="num" w:pos="720"/>
        </w:tabs>
        <w:spacing w:after="60"/>
        <w:ind w:left="360" w:hanging="360"/>
        <w:outlineLvl w:val="3"/>
        <w:rPr>
          <w:lang w:val="de-DE"/>
        </w:rPr>
      </w:pPr>
      <w:r w:rsidRPr="009123CB">
        <w:rPr>
          <w:b/>
          <w:szCs w:val="20"/>
          <w:lang w:val="de-DE"/>
        </w:rPr>
        <w:t xml:space="preserve">Beitritt zur Anwendungsplattform </w:t>
      </w:r>
    </w:p>
    <w:p w:rsidR="008D4EE5" w:rsidRPr="009123CB" w:rsidRDefault="008D4EE5" w:rsidP="008D4EE5">
      <w:pPr>
        <w:tabs>
          <w:tab w:val="num" w:pos="0"/>
        </w:tabs>
        <w:rPr>
          <w:lang w:val="de-DE"/>
        </w:rPr>
      </w:pPr>
      <w:r w:rsidRPr="009123CB">
        <w:rPr>
          <w:rFonts w:cs="Tahoma"/>
          <w:szCs w:val="20"/>
          <w:lang w:val="de-DE"/>
        </w:rPr>
        <w:t>Kunden sind berechtigt, Software Assurance für die verfügbaren Produkte zu bestellen, ohne gleichzeitig, wie in den Bestimmungen des Beitrags vorgesehen, eine neue Lizenz bestellen zu müssen</w:t>
      </w:r>
      <w:r w:rsidR="006257A7">
        <w:rPr>
          <w:rFonts w:cs="Tahoma"/>
          <w:szCs w:val="20"/>
          <w:lang w:val="de-DE"/>
        </w:rPr>
        <w:t xml:space="preserve">. </w:t>
      </w:r>
    </w:p>
    <w:p w:rsidR="008D4EE5" w:rsidRPr="009123CB" w:rsidRDefault="008D4EE5" w:rsidP="008D4EE5">
      <w:pPr>
        <w:rPr>
          <w:lang w:val="de-DE"/>
        </w:rPr>
      </w:pPr>
      <w:bookmarkStart w:id="714" w:name="_Toc336338225"/>
    </w:p>
    <w:p w:rsidR="008D4EE5" w:rsidRPr="009123CB" w:rsidRDefault="008D4EE5" w:rsidP="008D4EE5">
      <w:pPr>
        <w:pStyle w:val="Heading4"/>
        <w:ind w:left="360"/>
        <w:rPr>
          <w:lang w:val="de-DE"/>
        </w:rPr>
      </w:pPr>
      <w:bookmarkStart w:id="715" w:name="_Toc363998963"/>
      <w:r w:rsidRPr="009123CB">
        <w:rPr>
          <w:rFonts w:ascii="Tahoma" w:hAnsi="Tahoma" w:cs="Tahoma"/>
          <w:sz w:val="24"/>
          <w:lang w:val="de-DE"/>
        </w:rPr>
        <w:t>Konzernvertrag vor 2011</w:t>
      </w:r>
      <w:bookmarkEnd w:id="714"/>
      <w:bookmarkEnd w:id="715"/>
    </w:p>
    <w:p w:rsidR="008D4EE5" w:rsidRPr="009123CB" w:rsidRDefault="008D4EE5" w:rsidP="008D4EE5">
      <w:pPr>
        <w:tabs>
          <w:tab w:val="num" w:pos="0"/>
        </w:tabs>
        <w:rPr>
          <w:lang w:val="de-DE"/>
        </w:rPr>
      </w:pPr>
    </w:p>
    <w:p w:rsidR="008D4EE5" w:rsidRDefault="008D4EE5" w:rsidP="008D4EE5">
      <w:pPr>
        <w:tabs>
          <w:tab w:val="num" w:pos="0"/>
        </w:tabs>
        <w:rPr>
          <w:rFonts w:cs="Tahoma"/>
          <w:szCs w:val="20"/>
          <w:lang w:val="de-DE"/>
        </w:rPr>
      </w:pPr>
      <w:r w:rsidRPr="009123CB">
        <w:rPr>
          <w:rFonts w:cs="Tahoma"/>
          <w:szCs w:val="20"/>
          <w:lang w:val="de-DE"/>
        </w:rPr>
        <w:t>Nach Ablauf des Beitritts ist der Kunde zur Verlängerung der Konzernvertragspreise berechtigt, die ausschließlich auf Software Assurance basieren</w:t>
      </w:r>
      <w:r w:rsidR="006257A7">
        <w:rPr>
          <w:rFonts w:cs="Tahoma"/>
          <w:szCs w:val="20"/>
          <w:lang w:val="de-DE"/>
        </w:rPr>
        <w:t xml:space="preserve">. </w:t>
      </w:r>
      <w:r w:rsidRPr="009123CB">
        <w:rPr>
          <w:rFonts w:cs="Tahoma"/>
          <w:szCs w:val="20"/>
          <w:lang w:val="de-DE"/>
        </w:rPr>
        <w:t>Kunden erhalten 60 Tage vor Ablauf ihres Beitritts eine schriftliche Mitteilung über ihre Verlängerungsoptionen</w:t>
      </w:r>
      <w:r w:rsidR="006257A7">
        <w:rPr>
          <w:rFonts w:cs="Tahoma"/>
          <w:szCs w:val="20"/>
          <w:lang w:val="de-DE"/>
        </w:rPr>
        <w:t xml:space="preserve">. </w:t>
      </w:r>
      <w:r w:rsidRPr="009123CB">
        <w:rPr>
          <w:rFonts w:cs="Tahoma"/>
          <w:szCs w:val="20"/>
          <w:lang w:val="de-DE"/>
        </w:rPr>
        <w:t>Zur Verlängerung müssen Kunden einen neuen Konzernbeitritt oder -vertrag 2011oder später unterzeichnen</w:t>
      </w:r>
      <w:r w:rsidR="006257A7">
        <w:rPr>
          <w:rFonts w:cs="Tahoma"/>
          <w:szCs w:val="20"/>
          <w:lang w:val="de-DE"/>
        </w:rPr>
        <w:t xml:space="preserve">. </w:t>
      </w:r>
      <w:r w:rsidRPr="009123CB">
        <w:rPr>
          <w:rFonts w:cs="Tahoma"/>
          <w:szCs w:val="20"/>
          <w:lang w:val="de-DE"/>
        </w:rPr>
        <w:t>Der Verlängerungszeitraum beginnt an dem auf den Ablauf der vorherigen Laufzeit folgenden Tag</w:t>
      </w:r>
      <w:r w:rsidR="006257A7">
        <w:rPr>
          <w:rFonts w:cs="Tahoma"/>
          <w:szCs w:val="20"/>
          <w:lang w:val="de-DE"/>
        </w:rPr>
        <w:t xml:space="preserve">. </w:t>
      </w:r>
    </w:p>
    <w:p w:rsidR="003E5F02" w:rsidRPr="009123CB" w:rsidRDefault="003E5F02" w:rsidP="008D4EE5">
      <w:pPr>
        <w:tabs>
          <w:tab w:val="num" w:pos="0"/>
        </w:tabs>
        <w:rPr>
          <w:lang w:val="de-DE"/>
        </w:rPr>
      </w:pPr>
    </w:p>
    <w:p w:rsidR="008D4EE5" w:rsidRPr="009123CB" w:rsidRDefault="008D4EE5" w:rsidP="008D4EE5">
      <w:pPr>
        <w:tabs>
          <w:tab w:val="num" w:pos="0"/>
        </w:tabs>
        <w:spacing w:after="60"/>
        <w:rPr>
          <w:lang w:val="de-DE"/>
        </w:rPr>
      </w:pPr>
      <w:r w:rsidRPr="009123CB">
        <w:rPr>
          <w:rFonts w:cs="Tahoma"/>
          <w:b/>
          <w:szCs w:val="20"/>
          <w:lang w:val="de-DE"/>
        </w:rPr>
        <w:t>Beitritt zur Anwendungsplattform</w:t>
      </w:r>
    </w:p>
    <w:p w:rsidR="008D4EE5" w:rsidRPr="009123CB" w:rsidRDefault="008D4EE5" w:rsidP="008D4EE5">
      <w:pPr>
        <w:tabs>
          <w:tab w:val="num" w:pos="0"/>
        </w:tabs>
        <w:rPr>
          <w:lang w:val="de-DE"/>
        </w:rPr>
      </w:pPr>
      <w:r w:rsidRPr="009123CB">
        <w:rPr>
          <w:rFonts w:cs="Tahoma"/>
          <w:szCs w:val="20"/>
          <w:lang w:val="de-DE"/>
        </w:rPr>
        <w:t>Kunden sind berechtigt, Software Assurance für die verfügbaren Produkte zu bestellen, ohne gleichzeitig, wie in den Bestimmungen des Beitrags vorgesehen, eine neue Lizenz bestellen zu müssen</w:t>
      </w:r>
      <w:r w:rsidR="006257A7">
        <w:rPr>
          <w:rFonts w:cs="Tahoma"/>
          <w:szCs w:val="20"/>
          <w:lang w:val="de-DE"/>
        </w:rPr>
        <w:t xml:space="preserve">. </w:t>
      </w:r>
    </w:p>
    <w:p w:rsidR="008D4EE5" w:rsidRPr="009123CB" w:rsidRDefault="008D4EE5" w:rsidP="008D4EE5">
      <w:pPr>
        <w:rPr>
          <w:lang w:val="de-DE"/>
        </w:rPr>
      </w:pPr>
    </w:p>
    <w:p w:rsidR="008D4EE5" w:rsidRPr="009123CB" w:rsidRDefault="008D4EE5" w:rsidP="008D4EE5">
      <w:pPr>
        <w:pStyle w:val="Heading4"/>
        <w:ind w:left="360"/>
        <w:rPr>
          <w:lang w:val="de-DE"/>
        </w:rPr>
      </w:pPr>
      <w:bookmarkStart w:id="716" w:name="_Toc323159750"/>
      <w:bookmarkStart w:id="717" w:name="_Toc336338226"/>
      <w:bookmarkStart w:id="718" w:name="_Toc363998964"/>
      <w:r w:rsidRPr="009123CB">
        <w:rPr>
          <w:rFonts w:ascii="Tahoma" w:hAnsi="Tahoma" w:cs="Tahoma"/>
          <w:sz w:val="24"/>
          <w:lang w:val="de-DE"/>
        </w:rPr>
        <w:t>Programmübergreifende Verlängerung</w:t>
      </w:r>
      <w:bookmarkEnd w:id="716"/>
      <w:bookmarkEnd w:id="717"/>
      <w:bookmarkEnd w:id="718"/>
    </w:p>
    <w:p w:rsidR="008D4EE5" w:rsidRPr="009123CB" w:rsidRDefault="008D4EE5" w:rsidP="008D4EE5">
      <w:pPr>
        <w:tabs>
          <w:tab w:val="num" w:pos="0"/>
        </w:tabs>
        <w:rPr>
          <w:lang w:val="de-DE"/>
        </w:rPr>
      </w:pPr>
    </w:p>
    <w:p w:rsidR="008D4EE5" w:rsidRPr="009123CB" w:rsidRDefault="008D4EE5" w:rsidP="00174833">
      <w:pPr>
        <w:pStyle w:val="AppendIndentSub"/>
        <w:tabs>
          <w:tab w:val="num" w:pos="0"/>
        </w:tabs>
        <w:ind w:left="0"/>
        <w:rPr>
          <w:lang w:val="de-DE"/>
        </w:rPr>
      </w:pPr>
      <w:r w:rsidRPr="009123CB">
        <w:rPr>
          <w:rFonts w:ascii="Tahoma" w:hAnsi="Tahoma" w:cs="Tahoma"/>
          <w:sz w:val="18"/>
          <w:lang w:val="de-DE"/>
        </w:rPr>
        <w:t>Als Ausnahme von den oben genannten Regeln können Kunden Software Assurance verlängern, indem sie Software</w:t>
      </w:r>
      <w:r w:rsidR="00174833">
        <w:rPr>
          <w:rFonts w:ascii="Tahoma" w:hAnsi="Tahoma" w:cs="Tahoma"/>
          <w:sz w:val="18"/>
          <w:lang w:val="de-DE"/>
        </w:rPr>
        <w:t> </w:t>
      </w:r>
      <w:r w:rsidRPr="009123CB">
        <w:rPr>
          <w:rFonts w:ascii="Tahoma" w:hAnsi="Tahoma" w:cs="Tahoma"/>
          <w:sz w:val="18"/>
          <w:lang w:val="de-DE"/>
        </w:rPr>
        <w:t>Assurance im Rahmen eines bestehenden Open Value-Vertrages, eines bestehenden Select-, Select Plus- oder Konzernbeitritts erwerben</w:t>
      </w:r>
      <w:r w:rsidR="006257A7">
        <w:rPr>
          <w:rFonts w:ascii="Tahoma" w:hAnsi="Tahoma" w:cs="Tahoma"/>
          <w:sz w:val="18"/>
          <w:lang w:val="de-DE"/>
        </w:rPr>
        <w:t xml:space="preserve">. </w:t>
      </w:r>
      <w:r w:rsidRPr="009123CB">
        <w:rPr>
          <w:rFonts w:ascii="Tahoma" w:hAnsi="Tahoma" w:cs="Tahoma"/>
          <w:sz w:val="18"/>
          <w:lang w:val="de-DE"/>
        </w:rPr>
        <w:t>Für Kunden, die Software Assurance im Rahmen eines bestehenden Konzernbeitritts verlängern, gilt diese Ausnahme nur für zusätzliche Produkte und Produkte außerhalb einer unternehmensweiten Verpflichtung</w:t>
      </w:r>
      <w:r w:rsidR="006257A7">
        <w:rPr>
          <w:rFonts w:ascii="Tahoma" w:hAnsi="Tahoma" w:cs="Tahoma"/>
          <w:sz w:val="18"/>
          <w:lang w:val="de-DE"/>
        </w:rPr>
        <w:t xml:space="preserve">. </w:t>
      </w:r>
      <w:r w:rsidRPr="009123CB">
        <w:rPr>
          <w:rFonts w:ascii="Tahoma" w:hAnsi="Tahoma" w:cs="Tahoma"/>
          <w:sz w:val="18"/>
          <w:lang w:val="de-DE"/>
        </w:rPr>
        <w:t>Kunden müssen eine Bestellung für Software Assurance unter ihrem bestehenden Vertrag oder Beitritt</w:t>
      </w:r>
      <w:r w:rsidR="00174833">
        <w:rPr>
          <w:rFonts w:ascii="Tahoma" w:hAnsi="Tahoma" w:cs="Tahoma"/>
          <w:sz w:val="18"/>
          <w:lang w:val="de-DE"/>
        </w:rPr>
        <w:t> </w:t>
      </w:r>
      <w:r w:rsidRPr="009123CB">
        <w:rPr>
          <w:rFonts w:ascii="Tahoma" w:hAnsi="Tahoma" w:cs="Tahoma"/>
          <w:sz w:val="18"/>
          <w:lang w:val="de-DE"/>
        </w:rPr>
        <w:t>vor Ablauf des früheren Vertrages abgeben</w:t>
      </w:r>
      <w:r w:rsidR="006257A7">
        <w:rPr>
          <w:rFonts w:ascii="Tahoma" w:hAnsi="Tahoma" w:cs="Tahoma"/>
          <w:sz w:val="18"/>
          <w:lang w:val="de-DE"/>
        </w:rPr>
        <w:t xml:space="preserve">. </w:t>
      </w:r>
    </w:p>
    <w:p w:rsidR="008D4EE5" w:rsidRPr="009123CB" w:rsidRDefault="008D4EE5" w:rsidP="008D4EE5">
      <w:pPr>
        <w:pStyle w:val="AppendIndentSub"/>
        <w:tabs>
          <w:tab w:val="num" w:pos="0"/>
        </w:tabs>
        <w:ind w:left="0"/>
        <w:rPr>
          <w:lang w:val="de-DE"/>
        </w:rPr>
      </w:pPr>
    </w:p>
    <w:p w:rsidR="008D4EE5" w:rsidRPr="009123CB" w:rsidRDefault="008D4EE5" w:rsidP="00174833">
      <w:pPr>
        <w:pStyle w:val="AppendIndentSub"/>
        <w:tabs>
          <w:tab w:val="num" w:pos="0"/>
        </w:tabs>
        <w:ind w:left="0"/>
        <w:rPr>
          <w:lang w:val="de-DE"/>
        </w:rPr>
      </w:pPr>
      <w:r w:rsidRPr="009123CB">
        <w:rPr>
          <w:rFonts w:ascii="Tahoma" w:hAnsi="Tahoma" w:cs="Tahoma"/>
          <w:sz w:val="18"/>
          <w:szCs w:val="18"/>
          <w:lang w:val="de-DE"/>
        </w:rPr>
        <w:t>Für alle Programme mit Ausnahme von Select Plus muss sich die Bestellung auf die Restlaufzeit des bestehenden Vertrages oder Beitritts beziehen (d</w:t>
      </w:r>
      <w:r w:rsidR="006257A7">
        <w:rPr>
          <w:rFonts w:ascii="Tahoma" w:hAnsi="Tahoma" w:cs="Tahoma"/>
          <w:sz w:val="18"/>
          <w:szCs w:val="18"/>
          <w:lang w:val="de-DE"/>
        </w:rPr>
        <w:t xml:space="preserve">. </w:t>
      </w:r>
      <w:r w:rsidRPr="009123CB">
        <w:rPr>
          <w:rFonts w:ascii="Tahoma" w:hAnsi="Tahoma" w:cs="Tahoma"/>
          <w:sz w:val="18"/>
          <w:szCs w:val="18"/>
          <w:lang w:val="de-DE"/>
        </w:rPr>
        <w:t>h</w:t>
      </w:r>
      <w:r w:rsidR="006257A7">
        <w:rPr>
          <w:rFonts w:ascii="Tahoma" w:hAnsi="Tahoma" w:cs="Tahoma"/>
          <w:sz w:val="18"/>
          <w:szCs w:val="18"/>
          <w:lang w:val="de-DE"/>
        </w:rPr>
        <w:t xml:space="preserve">. </w:t>
      </w:r>
      <w:r w:rsidRPr="009123CB">
        <w:rPr>
          <w:rFonts w:ascii="Tahoma" w:hAnsi="Tahoma" w:cs="Tahoma"/>
          <w:sz w:val="18"/>
          <w:szCs w:val="18"/>
          <w:lang w:val="de-DE"/>
        </w:rPr>
        <w:t>, SA x Anzahl der ab Bestelldatum verbleibenden Jahre der Laufzeit des Beitritts, einschließlich angefangener Jahre)</w:t>
      </w:r>
      <w:r w:rsidR="006257A7">
        <w:rPr>
          <w:rFonts w:ascii="Tahoma" w:hAnsi="Tahoma" w:cs="Tahoma"/>
          <w:sz w:val="18"/>
          <w:szCs w:val="18"/>
          <w:lang w:val="de-DE"/>
        </w:rPr>
        <w:t xml:space="preserve">. </w:t>
      </w:r>
      <w:r w:rsidRPr="009123CB">
        <w:rPr>
          <w:rFonts w:ascii="Tahoma" w:hAnsi="Tahoma" w:cs="Tahoma"/>
          <w:sz w:val="18"/>
          <w:szCs w:val="18"/>
          <w:lang w:val="de-DE"/>
        </w:rPr>
        <w:t>Bei Select Plus umfasst die Bestellung 36 Monate</w:t>
      </w:r>
      <w:r w:rsidR="006257A7">
        <w:rPr>
          <w:rFonts w:ascii="Tahoma" w:hAnsi="Tahoma" w:cs="Tahoma"/>
          <w:sz w:val="18"/>
          <w:szCs w:val="18"/>
          <w:lang w:val="de-DE"/>
        </w:rPr>
        <w:t xml:space="preserve">. </w:t>
      </w:r>
      <w:r w:rsidRPr="009123CB">
        <w:rPr>
          <w:rFonts w:ascii="Tahoma" w:hAnsi="Tahoma" w:cs="Tahoma"/>
          <w:sz w:val="18"/>
          <w:szCs w:val="18"/>
          <w:lang w:val="de-DE"/>
        </w:rPr>
        <w:t>Da die Software Assurance-Preise nicht anteilig für Teile des Jahres berechnet werden, müssen Kunden die Bestellungen zum richtigen Zeitpunkt abgeben, um den Jahrestag des Wirksamkeitsdatums ihres bestehenden Vertrages optimal zu</w:t>
      </w:r>
      <w:r w:rsidR="00174833">
        <w:rPr>
          <w:rFonts w:ascii="Tahoma" w:hAnsi="Tahoma" w:cs="Tahoma"/>
          <w:sz w:val="18"/>
          <w:szCs w:val="18"/>
          <w:lang w:val="de-DE"/>
        </w:rPr>
        <w:t> </w:t>
      </w:r>
      <w:r w:rsidRPr="009123CB">
        <w:rPr>
          <w:rFonts w:ascii="Tahoma" w:hAnsi="Tahoma" w:cs="Tahoma"/>
          <w:sz w:val="18"/>
          <w:szCs w:val="18"/>
          <w:lang w:val="de-DE"/>
        </w:rPr>
        <w:t>nutzen</w:t>
      </w:r>
      <w:r w:rsidR="006257A7">
        <w:rPr>
          <w:rFonts w:ascii="Tahoma" w:hAnsi="Tahoma" w:cs="Tahoma"/>
          <w:sz w:val="18"/>
          <w:szCs w:val="18"/>
          <w:lang w:val="de-DE"/>
        </w:rPr>
        <w:t xml:space="preserve">. </w:t>
      </w:r>
      <w:r w:rsidRPr="009123CB">
        <w:rPr>
          <w:rFonts w:ascii="Tahoma" w:hAnsi="Tahoma" w:cs="Tahoma"/>
          <w:sz w:val="18"/>
          <w:szCs w:val="18"/>
          <w:lang w:val="de-DE"/>
        </w:rP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r w:rsidR="006257A7">
        <w:rPr>
          <w:rFonts w:ascii="Tahoma" w:hAnsi="Tahoma" w:cs="Tahoma"/>
          <w:sz w:val="18"/>
          <w:szCs w:val="18"/>
          <w:lang w:val="de-DE"/>
        </w:rPr>
        <w:t xml:space="preserve">. </w:t>
      </w:r>
      <w:r w:rsidRPr="009123CB">
        <w:rPr>
          <w:rFonts w:ascii="Tahoma" w:hAnsi="Tahoma" w:cs="Tahoma"/>
          <w:sz w:val="18"/>
          <w:szCs w:val="18"/>
          <w:lang w:val="de-DE"/>
        </w:rPr>
        <w:t>Kunden sind zu</w:t>
      </w:r>
      <w:r w:rsidR="00174833">
        <w:rPr>
          <w:rFonts w:ascii="Tahoma" w:hAnsi="Tahoma" w:cs="Tahoma"/>
          <w:sz w:val="18"/>
          <w:szCs w:val="18"/>
          <w:lang w:val="de-DE"/>
        </w:rPr>
        <w:t> </w:t>
      </w:r>
      <w:r w:rsidRPr="009123CB">
        <w:rPr>
          <w:rFonts w:ascii="Tahoma" w:hAnsi="Tahoma" w:cs="Tahoma"/>
          <w:sz w:val="18"/>
          <w:szCs w:val="18"/>
          <w:lang w:val="de-DE"/>
        </w:rPr>
        <w:t>Upgrades berechtigt, die während dieses Zeitraums zur Verfügung gestellt werden, vorausgesetzt Software Assurance wird verlängert</w:t>
      </w:r>
      <w:r w:rsidR="006257A7">
        <w:rPr>
          <w:rFonts w:ascii="Tahoma" w:hAnsi="Tahoma" w:cs="Tahoma"/>
          <w:sz w:val="18"/>
          <w:szCs w:val="18"/>
          <w:lang w:val="de-DE"/>
        </w:rPr>
        <w:t xml:space="preserve">. </w:t>
      </w:r>
    </w:p>
    <w:p w:rsidR="008D4EE5" w:rsidRPr="009123CB" w:rsidRDefault="008D4EE5" w:rsidP="008D4EE5">
      <w:pPr>
        <w:pStyle w:val="AppendixIndent"/>
        <w:tabs>
          <w:tab w:val="num" w:pos="0"/>
        </w:tabs>
        <w:ind w:left="0"/>
        <w:rPr>
          <w:lang w:val="de-DE"/>
        </w:rPr>
      </w:pPr>
    </w:p>
    <w:p w:rsidR="008D4EE5" w:rsidRPr="009123CB" w:rsidRDefault="008D4EE5" w:rsidP="008D4EE5">
      <w:pPr>
        <w:rPr>
          <w:lang w:val="de-DE"/>
        </w:rPr>
      </w:pPr>
      <w:r w:rsidRPr="009123CB">
        <w:rPr>
          <w:rFonts w:cs="Tahoma"/>
          <w:lang w:val="de-DE"/>
        </w:rPr>
        <w:br w:type="page"/>
      </w:r>
    </w:p>
    <w:p w:rsidR="008D4EE5" w:rsidRPr="009123CB" w:rsidRDefault="008D4EE5" w:rsidP="008D4EE5">
      <w:pPr>
        <w:pStyle w:val="Heading1"/>
        <w:rPr>
          <w:lang w:val="de-DE"/>
        </w:rPr>
      </w:pPr>
      <w:bookmarkStart w:id="719" w:name="_Toc336338227"/>
      <w:bookmarkStart w:id="720" w:name="_Toc363998965"/>
      <w:r w:rsidRPr="009123CB">
        <w:rPr>
          <w:lang w:val="de-DE"/>
        </w:rPr>
        <w:t>ABSCHNITT 7 – Software Assurance</w:t>
      </w:r>
      <w:r w:rsidR="008A4BF2">
        <w:rPr>
          <w:lang w:val="de-DE"/>
        </w:rPr>
        <w:t xml:space="preserve"> </w:t>
      </w:r>
      <w:r w:rsidRPr="009123CB">
        <w:rPr>
          <w:lang w:val="de-DE"/>
        </w:rPr>
        <w:t>(SA)-VERGÜNSTIGUNGEN und Onlinedienste</w:t>
      </w:r>
      <w:r w:rsidR="008A4BF2">
        <w:rPr>
          <w:lang w:val="de-DE"/>
        </w:rPr>
        <w:t xml:space="preserve"> </w:t>
      </w:r>
      <w:r w:rsidRPr="009123CB">
        <w:rPr>
          <w:lang w:val="de-DE"/>
        </w:rPr>
        <w:t>(OLS)-Vergünstigungen</w:t>
      </w:r>
      <w:bookmarkEnd w:id="719"/>
      <w:r w:rsidRPr="009123CB">
        <w:rPr>
          <w:lang w:val="de-DE"/>
        </w:rPr>
        <w:t>n</w:t>
      </w:r>
      <w:bookmarkEnd w:id="720"/>
    </w:p>
    <w:p w:rsidR="008D4EE5" w:rsidRPr="009123CB" w:rsidRDefault="008D4EE5" w:rsidP="008D4EE5">
      <w:pPr>
        <w:rPr>
          <w:lang w:val="de-DE"/>
        </w:rPr>
      </w:pPr>
    </w:p>
    <w:p w:rsidR="008D4EE5" w:rsidRPr="009123CB" w:rsidRDefault="008D4EE5" w:rsidP="008D4EE5">
      <w:pPr>
        <w:spacing w:after="60"/>
        <w:rPr>
          <w:lang w:val="de-DE"/>
        </w:rPr>
      </w:pPr>
      <w:r w:rsidRPr="009123CB">
        <w:rPr>
          <w:rFonts w:cs="Tahoma"/>
          <w:szCs w:val="20"/>
          <w:lang w:val="de-DE"/>
        </w:rPr>
        <w:t>In diesem Abschnitt werden Software Assurance-Vergünstigungen und Onlinedienste-Vergünstigungen beschrieben</w:t>
      </w:r>
      <w:r w:rsidR="006257A7">
        <w:rPr>
          <w:rFonts w:cs="Tahoma"/>
          <w:szCs w:val="20"/>
          <w:lang w:val="de-DE"/>
        </w:rPr>
        <w:t xml:space="preserve">. </w:t>
      </w:r>
    </w:p>
    <w:p w:rsidR="008D4EE5" w:rsidRPr="009123CB" w:rsidRDefault="008D4EE5" w:rsidP="008D4EE5">
      <w:pPr>
        <w:rPr>
          <w:lang w:val="de-DE"/>
        </w:rPr>
      </w:pPr>
    </w:p>
    <w:p w:rsidR="008D4EE5" w:rsidRPr="009123CB" w:rsidRDefault="008D4EE5" w:rsidP="008D4EE5">
      <w:pPr>
        <w:spacing w:after="60"/>
        <w:rPr>
          <w:lang w:val="de-DE"/>
        </w:rPr>
      </w:pPr>
      <w:r w:rsidRPr="009123CB">
        <w:rPr>
          <w:rFonts w:cs="Tahoma"/>
          <w:b/>
          <w:szCs w:val="20"/>
          <w:lang w:val="de-DE"/>
        </w:rPr>
        <w:t>Software Assurance-Vergünstigungen</w:t>
      </w:r>
    </w:p>
    <w:p w:rsidR="008D4EE5" w:rsidRPr="009123CB" w:rsidRDefault="008D4EE5" w:rsidP="008D4EE5">
      <w:pPr>
        <w:rPr>
          <w:lang w:val="de-DE"/>
        </w:rPr>
      </w:pPr>
      <w:r w:rsidRPr="009123CB">
        <w:rPr>
          <w:rFonts w:cs="Tahoma"/>
          <w:szCs w:val="20"/>
          <w:lang w:val="de-DE"/>
        </w:rPr>
        <w:t>Diese Vergünstigungen hängen vom Produkt und Produktpool ab</w:t>
      </w:r>
      <w:r w:rsidR="006257A7">
        <w:rPr>
          <w:rFonts w:cs="Tahoma"/>
          <w:szCs w:val="20"/>
          <w:lang w:val="de-DE"/>
        </w:rPr>
        <w:t xml:space="preserve">. </w:t>
      </w:r>
      <w:r w:rsidRPr="009123CB">
        <w:rPr>
          <w:rFonts w:cs="Tahoma"/>
          <w:szCs w:val="20"/>
          <w:lang w:val="de-DE"/>
        </w:rPr>
        <w:t>Der Zugriff des Kunden auf und seine Rechte zur Nutzung seiner Software Assurance-Vergünstigungen laufen im Allgemeinen mit Ablauf seiner Software Assurance ab</w:t>
      </w:r>
      <w:r w:rsidR="006257A7">
        <w:rPr>
          <w:rFonts w:cs="Tahoma"/>
          <w:szCs w:val="20"/>
          <w:lang w:val="de-DE"/>
        </w:rPr>
        <w:t xml:space="preserve">. </w:t>
      </w:r>
      <w:r w:rsidRPr="009123CB">
        <w:rPr>
          <w:rFonts w:cs="Tahoma"/>
          <w:szCs w:val="20"/>
          <w:lang w:val="de-DE"/>
        </w:rPr>
        <w:t>Die meisten Software Assurance-Vergünstigungen werden zu Beginn der Software Assurance-Laufzeit gewährt</w:t>
      </w:r>
      <w:r w:rsidR="006257A7">
        <w:rPr>
          <w:rFonts w:cs="Tahoma"/>
          <w:szCs w:val="20"/>
          <w:lang w:val="de-DE"/>
        </w:rPr>
        <w:t xml:space="preserve">. </w:t>
      </w:r>
      <w:r w:rsidRPr="009123CB">
        <w:rPr>
          <w:rFonts w:cs="Tahoma"/>
          <w:szCs w:val="20"/>
          <w:lang w:val="de-DE"/>
        </w:rPr>
        <w:t>Änderungen während der Software Assurance-Laufzeit (z</w:t>
      </w:r>
      <w:r w:rsidR="006257A7">
        <w:rPr>
          <w:rFonts w:cs="Tahoma"/>
          <w:szCs w:val="20"/>
          <w:lang w:val="de-DE"/>
        </w:rPr>
        <w:t xml:space="preserve">. </w:t>
      </w:r>
      <w:r w:rsidRPr="009123CB">
        <w:rPr>
          <w:rFonts w:cs="Tahoma"/>
          <w:szCs w:val="20"/>
          <w:lang w:val="de-DE"/>
        </w:rPr>
        <w:t>B</w:t>
      </w:r>
      <w:r w:rsidR="006257A7">
        <w:rPr>
          <w:rFonts w:cs="Tahoma"/>
          <w:szCs w:val="20"/>
          <w:lang w:val="de-DE"/>
        </w:rPr>
        <w:t xml:space="preserve">. </w:t>
      </w:r>
      <w:r w:rsidRPr="009123CB">
        <w:rPr>
          <w:rFonts w:cs="Tahoma"/>
          <w:szCs w:val="20"/>
          <w:lang w:val="de-DE"/>
        </w:rPr>
        <w:t>zusätzliche Käufe, Rückgaben oder Übergänge von Onlinediensten) können zu Änderungen bei der Vergünstigungsberechtigung führen</w:t>
      </w:r>
      <w:r w:rsidR="006257A7">
        <w:rPr>
          <w:rFonts w:cs="Tahoma"/>
          <w:szCs w:val="20"/>
          <w:lang w:val="de-DE"/>
        </w:rPr>
        <w:t xml:space="preserve">. </w:t>
      </w:r>
    </w:p>
    <w:p w:rsidR="008D4EE5" w:rsidRPr="009123CB" w:rsidRDefault="008D4EE5" w:rsidP="008D4EE5">
      <w:pPr>
        <w:rPr>
          <w:lang w:val="de-DE"/>
        </w:rPr>
      </w:pPr>
    </w:p>
    <w:p w:rsidR="008D4EE5" w:rsidRPr="009123CB" w:rsidRDefault="008D4EE5" w:rsidP="008D4EE5">
      <w:pPr>
        <w:spacing w:after="60"/>
        <w:rPr>
          <w:lang w:val="de-DE"/>
        </w:rPr>
      </w:pPr>
      <w:r w:rsidRPr="009123CB">
        <w:rPr>
          <w:rFonts w:cs="Tahoma"/>
          <w:b/>
          <w:szCs w:val="20"/>
          <w:lang w:val="de-DE"/>
        </w:rPr>
        <w:t>Onlinedienste-Vergünstigungen</w:t>
      </w:r>
    </w:p>
    <w:p w:rsidR="008D4EE5" w:rsidRPr="009123CB" w:rsidRDefault="008D4EE5" w:rsidP="008D4EE5">
      <w:pPr>
        <w:rPr>
          <w:lang w:val="de-DE"/>
        </w:rPr>
      </w:pPr>
      <w:r w:rsidRPr="009123CB">
        <w:rPr>
          <w:rFonts w:cs="Tahoma"/>
          <w:szCs w:val="20"/>
          <w:lang w:val="de-DE"/>
        </w:rPr>
        <w:t>Diese Vergünstigungen sind je nach Produkt unterschiedlich</w:t>
      </w:r>
      <w:r w:rsidR="006257A7">
        <w:rPr>
          <w:rFonts w:cs="Tahoma"/>
          <w:szCs w:val="20"/>
          <w:lang w:val="de-DE"/>
        </w:rPr>
        <w:t xml:space="preserve">. </w:t>
      </w:r>
      <w:r w:rsidRPr="009123CB">
        <w:rPr>
          <w:rFonts w:cs="Tahoma"/>
          <w:szCs w:val="20"/>
          <w:lang w:val="de-DE"/>
        </w:rPr>
        <w:t>Der Zugriff auf und die Rechte des Kunden zur Verwendung von Onlinedienste-Vergünstigungen laufen bei Ablauf der entsprechenden Onlinedienste-Abonnementlizenz ab</w:t>
      </w:r>
      <w:r w:rsidR="006257A7">
        <w:rPr>
          <w:rFonts w:cs="Tahoma"/>
          <w:szCs w:val="20"/>
          <w:lang w:val="de-DE"/>
        </w:rPr>
        <w:t xml:space="preserve">. </w:t>
      </w:r>
    </w:p>
    <w:p w:rsidR="008D4EE5" w:rsidRPr="009123CB" w:rsidRDefault="008D4EE5" w:rsidP="008D4EE5">
      <w:pPr>
        <w:rPr>
          <w:lang w:val="de-DE"/>
        </w:rPr>
      </w:pPr>
    </w:p>
    <w:p w:rsidR="008D4EE5" w:rsidRPr="009123CB" w:rsidRDefault="008D4EE5" w:rsidP="00174833">
      <w:pPr>
        <w:rPr>
          <w:lang w:val="de-DE"/>
        </w:rPr>
      </w:pPr>
      <w:r w:rsidRPr="009123CB">
        <w:rPr>
          <w:rFonts w:cs="Tahoma"/>
          <w:szCs w:val="20"/>
          <w:lang w:val="de-DE"/>
        </w:rPr>
        <w:t>Ausnahmen von den oben genannten Regeln werden unten in den einzelnen Abschnitten zu den Vergünstigungen</w:t>
      </w:r>
      <w:r w:rsidR="00174833">
        <w:rPr>
          <w:rFonts w:cs="Tahoma"/>
          <w:szCs w:val="20"/>
          <w:lang w:val="de-DE"/>
        </w:rPr>
        <w:t> </w:t>
      </w:r>
      <w:r w:rsidRPr="009123CB">
        <w:rPr>
          <w:rFonts w:cs="Tahoma"/>
          <w:szCs w:val="20"/>
          <w:lang w:val="de-DE"/>
        </w:rPr>
        <w:t>aufgeführt</w:t>
      </w:r>
      <w:r w:rsidR="006257A7">
        <w:rPr>
          <w:rFonts w:cs="Tahoma"/>
          <w:szCs w:val="20"/>
          <w:lang w:val="de-DE"/>
        </w:rPr>
        <w:t xml:space="preserve">. </w:t>
      </w:r>
      <w:r w:rsidRPr="009123CB">
        <w:rPr>
          <w:rFonts w:cs="Tahoma"/>
          <w:szCs w:val="20"/>
          <w:lang w:val="de-DE"/>
        </w:rPr>
        <w:t>Die Vergünstigungen können jederzeit ohne Ankündigung geändert und eingestellt werden</w:t>
      </w:r>
      <w:r w:rsidR="006257A7">
        <w:rPr>
          <w:rFonts w:cs="Tahoma"/>
          <w:szCs w:val="20"/>
          <w:lang w:val="de-DE"/>
        </w:rPr>
        <w:t xml:space="preserve">. </w:t>
      </w:r>
      <w:r w:rsidRPr="009123CB">
        <w:rPr>
          <w:rFonts w:cs="Tahoma"/>
          <w:szCs w:val="20"/>
          <w:lang w:val="de-DE"/>
        </w:rPr>
        <w:t>Die</w:t>
      </w:r>
      <w:r w:rsidR="00174833">
        <w:rPr>
          <w:rFonts w:cs="Tahoma"/>
          <w:szCs w:val="20"/>
          <w:lang w:val="de-DE"/>
        </w:rPr>
        <w:t> </w:t>
      </w:r>
      <w:r w:rsidRPr="009123CB">
        <w:rPr>
          <w:rFonts w:cs="Tahoma"/>
          <w:szCs w:val="20"/>
          <w:lang w:val="de-DE"/>
        </w:rPr>
        <w:t>Verfügbarkeit von Vergünstigungen hängt von Programm, Region, Fulfillment-Optionen und Sprache ab</w:t>
      </w:r>
      <w:r w:rsidR="006257A7">
        <w:rPr>
          <w:rFonts w:cs="Tahoma"/>
          <w:szCs w:val="20"/>
          <w:lang w:val="de-DE"/>
        </w:rPr>
        <w:t xml:space="preserve">. </w:t>
      </w:r>
    </w:p>
    <w:p w:rsidR="008D4EE5" w:rsidRPr="009123CB" w:rsidRDefault="008D4EE5" w:rsidP="008D4EE5">
      <w:pPr>
        <w:pStyle w:val="AppendixBodyText"/>
        <w:spacing w:after="0"/>
        <w:rPr>
          <w:lang w:val="de-DE"/>
        </w:rPr>
      </w:pPr>
    </w:p>
    <w:p w:rsidR="008D4EE5" w:rsidRPr="009123CB" w:rsidRDefault="008D4EE5" w:rsidP="008D4EE5">
      <w:pPr>
        <w:pStyle w:val="AppendixBodyText"/>
        <w:spacing w:after="0"/>
        <w:rPr>
          <w:lang w:val="de-DE"/>
        </w:rPr>
      </w:pPr>
      <w:r w:rsidRPr="009123CB">
        <w:rPr>
          <w:rFonts w:ascii="Tahoma" w:hAnsi="Tahoma" w:cs="Tahoma"/>
          <w:sz w:val="18"/>
          <w:lang w:val="de-DE"/>
        </w:rPr>
        <w:t>Software Assurance-Vergünstigungen und Onlinedienste-Vergünstigungen werden unter den verschiedenen Programmen wie im Diagramm unten dargestellt zugewiesen:</w:t>
      </w:r>
    </w:p>
    <w:p w:rsidR="008D4EE5" w:rsidRPr="009123CB" w:rsidRDefault="008D4EE5" w:rsidP="008D4EE5">
      <w:pPr>
        <w:pStyle w:val="AppendixBodyText"/>
        <w:spacing w:after="0"/>
        <w:rPr>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260"/>
        <w:gridCol w:w="1080"/>
        <w:gridCol w:w="2070"/>
        <w:gridCol w:w="2250"/>
        <w:gridCol w:w="1350"/>
      </w:tblGrid>
      <w:tr w:rsidR="008D4EE5" w:rsidTr="00174833">
        <w:trPr>
          <w:trHeight w:val="178"/>
        </w:trPr>
        <w:tc>
          <w:tcPr>
            <w:tcW w:w="1627" w:type="dxa"/>
            <w:shd w:val="clear" w:color="auto" w:fill="FFCC99"/>
            <w:vAlign w:val="center"/>
          </w:tcPr>
          <w:p w:rsidR="008D4EE5" w:rsidRDefault="008D4EE5" w:rsidP="00A67771">
            <w:pPr>
              <w:pStyle w:val="AppendixTableHeadings"/>
              <w:jc w:val="left"/>
              <w:rPr>
                <w:rFonts w:ascii="Tahoma" w:hAnsi="Tahoma" w:cs="Tahoma"/>
                <w:sz w:val="20"/>
                <w:szCs w:val="20"/>
              </w:rPr>
            </w:pPr>
            <w:r>
              <w:rPr>
                <w:rFonts w:ascii="Tahoma" w:hAnsi="Tahoma" w:cs="Tahoma"/>
                <w:sz w:val="20"/>
                <w:szCs w:val="20"/>
              </w:rPr>
              <w:t>Programme</w:t>
            </w:r>
          </w:p>
        </w:tc>
        <w:tc>
          <w:tcPr>
            <w:tcW w:w="1260" w:type="dxa"/>
            <w:shd w:val="clear" w:color="auto" w:fill="FFCC99"/>
            <w:vAlign w:val="center"/>
          </w:tcPr>
          <w:p w:rsidR="008D4EE5" w:rsidRDefault="008D4EE5" w:rsidP="00A67771">
            <w:pPr>
              <w:pStyle w:val="AppendixTableHeadings"/>
              <w:jc w:val="left"/>
              <w:rPr>
                <w:rFonts w:ascii="Tahoma" w:hAnsi="Tahoma" w:cs="Tahoma"/>
                <w:sz w:val="20"/>
                <w:szCs w:val="20"/>
              </w:rPr>
            </w:pPr>
            <w:r>
              <w:rPr>
                <w:rFonts w:ascii="Tahoma" w:hAnsi="Tahoma" w:cs="Tahoma"/>
                <w:sz w:val="20"/>
                <w:szCs w:val="20"/>
              </w:rPr>
              <w:t>Open-Lizenz</w:t>
            </w:r>
          </w:p>
        </w:tc>
        <w:tc>
          <w:tcPr>
            <w:tcW w:w="1080" w:type="dxa"/>
            <w:shd w:val="clear" w:color="auto" w:fill="FFCC99"/>
            <w:vAlign w:val="center"/>
          </w:tcPr>
          <w:p w:rsidR="008D4EE5" w:rsidRDefault="008D4EE5" w:rsidP="00A67771">
            <w:pPr>
              <w:pStyle w:val="AppendixTableHeadings"/>
              <w:jc w:val="left"/>
              <w:rPr>
                <w:rFonts w:ascii="Tahoma" w:hAnsi="Tahoma" w:cs="Tahoma"/>
                <w:sz w:val="20"/>
                <w:szCs w:val="20"/>
              </w:rPr>
            </w:pPr>
            <w:r>
              <w:rPr>
                <w:rFonts w:ascii="Tahoma" w:hAnsi="Tahoma" w:cs="Tahoma"/>
                <w:sz w:val="20"/>
                <w:szCs w:val="20"/>
              </w:rPr>
              <w:t>Open Value</w:t>
            </w:r>
          </w:p>
        </w:tc>
        <w:tc>
          <w:tcPr>
            <w:tcW w:w="2070" w:type="dxa"/>
            <w:shd w:val="clear" w:color="auto" w:fill="FFCC99"/>
            <w:vAlign w:val="center"/>
          </w:tcPr>
          <w:p w:rsidR="008D4EE5" w:rsidRDefault="008D4EE5" w:rsidP="00A67771">
            <w:pPr>
              <w:pStyle w:val="AppendixTableHeadings"/>
              <w:jc w:val="left"/>
              <w:rPr>
                <w:rFonts w:ascii="Tahoma" w:hAnsi="Tahoma" w:cs="Tahoma"/>
                <w:sz w:val="20"/>
                <w:szCs w:val="20"/>
              </w:rPr>
            </w:pPr>
            <w:r>
              <w:rPr>
                <w:rFonts w:ascii="Tahoma" w:hAnsi="Tahoma" w:cs="Tahoma"/>
                <w:sz w:val="20"/>
                <w:szCs w:val="20"/>
              </w:rPr>
              <w:t>Open Value Subscription – Bildungslösungen</w:t>
            </w:r>
          </w:p>
        </w:tc>
        <w:tc>
          <w:tcPr>
            <w:tcW w:w="2250" w:type="dxa"/>
            <w:shd w:val="clear" w:color="auto" w:fill="FFCC99"/>
            <w:vAlign w:val="center"/>
          </w:tcPr>
          <w:p w:rsidR="008D4EE5" w:rsidRPr="009123CB" w:rsidRDefault="008D4EE5" w:rsidP="00A67771">
            <w:pPr>
              <w:pStyle w:val="AppendixTableHeadings"/>
              <w:jc w:val="left"/>
              <w:rPr>
                <w:lang w:val="de-DE"/>
              </w:rPr>
            </w:pPr>
            <w:r w:rsidRPr="009123CB">
              <w:rPr>
                <w:rFonts w:ascii="Tahoma" w:hAnsi="Tahoma" w:cs="Tahoma"/>
                <w:sz w:val="20"/>
                <w:szCs w:val="20"/>
                <w:lang w:val="de-DE"/>
              </w:rPr>
              <w:t>Select*</w:t>
            </w:r>
          </w:p>
          <w:p w:rsidR="008D4EE5" w:rsidRPr="009123CB" w:rsidRDefault="008D4EE5" w:rsidP="00A67771">
            <w:pPr>
              <w:pStyle w:val="AppendixTableHeadings"/>
              <w:jc w:val="left"/>
              <w:rPr>
                <w:lang w:val="de-DE"/>
              </w:rPr>
            </w:pPr>
            <w:r w:rsidRPr="009123CB">
              <w:rPr>
                <w:rFonts w:ascii="Tahoma" w:hAnsi="Tahoma" w:cs="Tahoma"/>
                <w:sz w:val="20"/>
                <w:szCs w:val="20"/>
                <w:lang w:val="de-DE"/>
              </w:rPr>
              <w:t>Konzernvertrag</w:t>
            </w:r>
          </w:p>
          <w:p w:rsidR="008D4EE5" w:rsidRPr="009123CB" w:rsidRDefault="008D4EE5" w:rsidP="00A67771">
            <w:pPr>
              <w:pStyle w:val="AppendixTableHeadings"/>
              <w:jc w:val="left"/>
              <w:rPr>
                <w:lang w:val="de-DE"/>
              </w:rPr>
            </w:pPr>
            <w:r w:rsidRPr="009123CB">
              <w:rPr>
                <w:rFonts w:ascii="Tahoma" w:hAnsi="Tahoma" w:cs="Tahoma"/>
                <w:sz w:val="20"/>
                <w:szCs w:val="20"/>
                <w:lang w:val="de-DE"/>
              </w:rPr>
              <w:t>Beitritt für Bildungslösungen unter dem Campus- und</w:t>
            </w:r>
          </w:p>
          <w:p w:rsidR="008D4EE5" w:rsidRDefault="008D4EE5" w:rsidP="00A67771">
            <w:pPr>
              <w:pStyle w:val="AppendixTableHeadings"/>
              <w:jc w:val="left"/>
              <w:rPr>
                <w:rFonts w:ascii="Tahoma" w:hAnsi="Tahoma" w:cs="Tahoma"/>
                <w:sz w:val="20"/>
                <w:szCs w:val="20"/>
              </w:rPr>
            </w:pPr>
            <w:r>
              <w:rPr>
                <w:rFonts w:ascii="Tahoma" w:hAnsi="Tahoma" w:cs="Tahoma"/>
                <w:sz w:val="20"/>
                <w:szCs w:val="20"/>
              </w:rPr>
              <w:t>School-Vertrag</w:t>
            </w:r>
          </w:p>
        </w:tc>
        <w:tc>
          <w:tcPr>
            <w:tcW w:w="1350" w:type="dxa"/>
            <w:shd w:val="clear" w:color="auto" w:fill="FFCC99"/>
            <w:vAlign w:val="center"/>
          </w:tcPr>
          <w:p w:rsidR="008D4EE5" w:rsidRDefault="008D4EE5" w:rsidP="00A67771">
            <w:pPr>
              <w:pStyle w:val="AppendixTableHeadings"/>
              <w:rPr>
                <w:rFonts w:ascii="Tahoma" w:hAnsi="Tahoma" w:cs="Tahoma"/>
                <w:sz w:val="20"/>
                <w:szCs w:val="20"/>
              </w:rPr>
            </w:pPr>
            <w:r>
              <w:rPr>
                <w:rFonts w:ascii="Tahoma" w:hAnsi="Tahoma" w:cs="Tahoma"/>
                <w:sz w:val="20"/>
                <w:szCs w:val="20"/>
              </w:rPr>
              <w:t>Select Plus</w:t>
            </w:r>
          </w:p>
        </w:tc>
      </w:tr>
      <w:tr w:rsidR="008D4EE5" w:rsidTr="00174833">
        <w:trPr>
          <w:trHeight w:val="369"/>
        </w:trPr>
        <w:tc>
          <w:tcPr>
            <w:tcW w:w="1627" w:type="dxa"/>
            <w:vAlign w:val="center"/>
          </w:tcPr>
          <w:p w:rsidR="008D4EE5" w:rsidRDefault="008D4EE5" w:rsidP="00A67771">
            <w:pPr>
              <w:pStyle w:val="AppendixTableText"/>
              <w:rPr>
                <w:rFonts w:ascii="Tahoma" w:hAnsi="Tahoma" w:cs="Tahoma"/>
                <w:szCs w:val="20"/>
              </w:rPr>
            </w:pPr>
            <w:r>
              <w:rPr>
                <w:rFonts w:ascii="Tahoma" w:hAnsi="Tahoma" w:cs="Tahoma"/>
                <w:szCs w:val="20"/>
              </w:rPr>
              <w:t>Vergünstigungen sind verfügbar nach:</w:t>
            </w:r>
          </w:p>
        </w:tc>
        <w:tc>
          <w:tcPr>
            <w:tcW w:w="1260" w:type="dxa"/>
            <w:vAlign w:val="center"/>
          </w:tcPr>
          <w:p w:rsidR="008D4EE5" w:rsidRDefault="008D4EE5" w:rsidP="00A67771">
            <w:pPr>
              <w:pStyle w:val="AppendixTableText"/>
              <w:rPr>
                <w:rFonts w:ascii="Tahoma" w:hAnsi="Tahoma" w:cs="Tahoma"/>
                <w:szCs w:val="20"/>
              </w:rPr>
            </w:pPr>
            <w:r>
              <w:rPr>
                <w:rFonts w:ascii="Tahoma" w:hAnsi="Tahoma" w:cs="Tahoma"/>
                <w:szCs w:val="20"/>
              </w:rPr>
              <w:t>Lizenzanzahl</w:t>
            </w:r>
          </w:p>
        </w:tc>
        <w:tc>
          <w:tcPr>
            <w:tcW w:w="1080" w:type="dxa"/>
            <w:vAlign w:val="center"/>
          </w:tcPr>
          <w:p w:rsidR="008D4EE5" w:rsidRDefault="008D4EE5" w:rsidP="00A67771">
            <w:pPr>
              <w:pStyle w:val="AppendixTableText"/>
              <w:rPr>
                <w:rFonts w:ascii="Tahoma" w:hAnsi="Tahoma" w:cs="Tahoma"/>
                <w:szCs w:val="20"/>
              </w:rPr>
            </w:pPr>
            <w:r>
              <w:rPr>
                <w:rFonts w:ascii="Tahoma" w:hAnsi="Tahoma" w:cs="Tahoma"/>
                <w:szCs w:val="20"/>
              </w:rPr>
              <w:t>Vertrag</w:t>
            </w:r>
          </w:p>
        </w:tc>
        <w:tc>
          <w:tcPr>
            <w:tcW w:w="2070" w:type="dxa"/>
            <w:vAlign w:val="center"/>
          </w:tcPr>
          <w:p w:rsidR="008D4EE5" w:rsidRDefault="008D4EE5" w:rsidP="00A67771">
            <w:pPr>
              <w:pStyle w:val="AppendixTableText"/>
              <w:rPr>
                <w:rFonts w:ascii="Tahoma" w:hAnsi="Tahoma" w:cs="Tahoma"/>
                <w:szCs w:val="20"/>
              </w:rPr>
            </w:pPr>
            <w:r>
              <w:rPr>
                <w:rFonts w:ascii="Tahoma" w:hAnsi="Tahoma" w:cs="Tahoma"/>
                <w:szCs w:val="20"/>
              </w:rPr>
              <w:t>Vertrag</w:t>
            </w:r>
          </w:p>
        </w:tc>
        <w:tc>
          <w:tcPr>
            <w:tcW w:w="2250" w:type="dxa"/>
            <w:vAlign w:val="center"/>
          </w:tcPr>
          <w:p w:rsidR="008D4EE5" w:rsidRDefault="008D4EE5" w:rsidP="00A67771">
            <w:pPr>
              <w:pStyle w:val="AppendixTableText"/>
              <w:rPr>
                <w:rFonts w:ascii="Tahoma" w:hAnsi="Tahoma" w:cs="Tahoma"/>
                <w:szCs w:val="20"/>
              </w:rPr>
            </w:pPr>
            <w:r>
              <w:rPr>
                <w:rFonts w:ascii="Tahoma" w:hAnsi="Tahoma" w:cs="Tahoma"/>
                <w:szCs w:val="20"/>
              </w:rPr>
              <w:t>Beitritt</w:t>
            </w:r>
          </w:p>
        </w:tc>
        <w:tc>
          <w:tcPr>
            <w:tcW w:w="1350" w:type="dxa"/>
          </w:tcPr>
          <w:p w:rsidR="008D4EE5" w:rsidRDefault="008D4EE5" w:rsidP="00A67771">
            <w:pPr>
              <w:pStyle w:val="AppendixTableText"/>
              <w:rPr>
                <w:rFonts w:ascii="Tahoma" w:hAnsi="Tahoma" w:cs="Tahoma"/>
                <w:szCs w:val="20"/>
              </w:rPr>
            </w:pPr>
            <w:r>
              <w:rPr>
                <w:rFonts w:ascii="Tahoma" w:hAnsi="Tahoma" w:cs="Tahoma"/>
                <w:szCs w:val="20"/>
              </w:rPr>
              <w:t>Registriertes Verbundenes Unternehmen</w:t>
            </w:r>
          </w:p>
        </w:tc>
      </w:tr>
    </w:tbl>
    <w:p w:rsidR="008D4EE5" w:rsidRPr="009123CB" w:rsidRDefault="008D4EE5" w:rsidP="008D4EE5">
      <w:pPr>
        <w:pStyle w:val="AppendixBodyText"/>
        <w:spacing w:after="0"/>
        <w:ind w:right="403"/>
        <w:rPr>
          <w:lang w:val="de-DE"/>
        </w:rPr>
      </w:pPr>
      <w:r w:rsidRPr="009123CB">
        <w:rPr>
          <w:rFonts w:ascii="Tahoma" w:hAnsi="Tahoma" w:cs="Tahoma"/>
          <w:b/>
          <w:i/>
          <w:sz w:val="16"/>
          <w:szCs w:val="16"/>
          <w:lang w:val="de-DE"/>
        </w:rPr>
        <w:t>Anmerkung:</w:t>
      </w:r>
      <w:r w:rsidRPr="009123CB">
        <w:rPr>
          <w:rFonts w:ascii="Tahoma" w:hAnsi="Tahoma" w:cs="Tahoma"/>
          <w:i/>
          <w:sz w:val="16"/>
          <w:szCs w:val="16"/>
          <w:lang w:val="de-DE"/>
        </w:rPr>
        <w:t xml:space="preserve"> *Kunden, die Canadian HealthCare-Volumenlizenz-Konzernverträge schließen, erhalten SA-Vergünstigungen, die den SA-Vergünstigungen für Kunden entsprechen, die Produkte über Microsoft Open Value erwerben</w:t>
      </w:r>
      <w:r w:rsidR="006257A7">
        <w:rPr>
          <w:rFonts w:ascii="Tahoma" w:hAnsi="Tahoma" w:cs="Tahoma"/>
          <w:i/>
          <w:sz w:val="16"/>
          <w:szCs w:val="16"/>
          <w:lang w:val="de-DE"/>
        </w:rPr>
        <w:t xml:space="preserve">. </w:t>
      </w:r>
    </w:p>
    <w:p w:rsidR="008D4EE5" w:rsidRPr="009123CB" w:rsidRDefault="008D4EE5" w:rsidP="008D4EE5">
      <w:pPr>
        <w:pStyle w:val="AppendixBodyText"/>
        <w:spacing w:after="0"/>
        <w:rPr>
          <w:lang w:val="de-DE"/>
        </w:rPr>
      </w:pPr>
    </w:p>
    <w:p w:rsidR="008D4EE5" w:rsidRPr="009123CB" w:rsidRDefault="008D4EE5" w:rsidP="00EE00B3">
      <w:pPr>
        <w:pStyle w:val="AppendixBodyText"/>
        <w:spacing w:after="0"/>
        <w:rPr>
          <w:lang w:val="de-DE"/>
        </w:rPr>
      </w:pPr>
      <w:r w:rsidRPr="009123CB">
        <w:rPr>
          <w:rFonts w:ascii="Tahoma" w:hAnsi="Tahoma" w:cs="Tahoma"/>
          <w:sz w:val="18"/>
          <w:lang w:val="de-DE"/>
        </w:rPr>
        <w:t>Software Assurance-Vergünstigungen und Onlinedienste-Vergünstigungen werden im Diagramm unten dargestellt</w:t>
      </w:r>
      <w:r w:rsidR="006257A7">
        <w:rPr>
          <w:rFonts w:ascii="Tahoma" w:hAnsi="Tahoma" w:cs="Tahoma"/>
          <w:sz w:val="18"/>
          <w:lang w:val="de-DE"/>
        </w:rPr>
        <w:t xml:space="preserve">. </w:t>
      </w:r>
      <w:r w:rsidRPr="009123CB">
        <w:rPr>
          <w:rFonts w:ascii="Tahoma" w:hAnsi="Tahoma" w:cs="Tahoma"/>
          <w:sz w:val="18"/>
          <w:lang w:val="de-DE"/>
        </w:rPr>
        <w:t>Bestimmte Vorteile entsprechen einzelnen Lizenzen, für die Software Assurance erworben wird</w:t>
      </w:r>
      <w:r w:rsidR="006257A7">
        <w:rPr>
          <w:rFonts w:ascii="Tahoma" w:hAnsi="Tahoma" w:cs="Tahoma"/>
          <w:sz w:val="18"/>
          <w:lang w:val="de-DE"/>
        </w:rPr>
        <w:t xml:space="preserve">. </w:t>
      </w:r>
      <w:r w:rsidRPr="009123CB">
        <w:rPr>
          <w:rFonts w:ascii="Tahoma" w:hAnsi="Tahoma" w:cs="Tahoma"/>
          <w:sz w:val="18"/>
          <w:lang w:val="de-DE"/>
        </w:rPr>
        <w:t>Aktive</w:t>
      </w:r>
      <w:r w:rsidR="00174833">
        <w:rPr>
          <w:rFonts w:ascii="Tahoma" w:hAnsi="Tahoma" w:cs="Tahoma"/>
          <w:sz w:val="18"/>
          <w:lang w:val="de-DE"/>
        </w:rPr>
        <w:t> </w:t>
      </w:r>
      <w:r w:rsidRPr="009123CB">
        <w:rPr>
          <w:rFonts w:ascii="Tahoma" w:hAnsi="Tahoma" w:cs="Tahoma"/>
          <w:sz w:val="18"/>
          <w:lang w:val="de-DE"/>
        </w:rPr>
        <w:t>Software Assurance (oder ein anderes Upgrade-Programm) für ein qualifizierendes Produkt qualifiziert diesen Kunden zu diesen Vergünstigungen, unabhängig von der Produktversion, die ein Kunde tatsächlich verwendet</w:t>
      </w:r>
      <w:r w:rsidR="006257A7">
        <w:rPr>
          <w:rFonts w:ascii="Tahoma" w:hAnsi="Tahoma" w:cs="Tahoma"/>
          <w:sz w:val="18"/>
          <w:lang w:val="de-DE"/>
        </w:rPr>
        <w:t xml:space="preserve">. </w:t>
      </w:r>
      <w:r w:rsidRPr="009123CB">
        <w:rPr>
          <w:rFonts w:ascii="Tahoma" w:hAnsi="Tahoma" w:cs="Tahoma"/>
          <w:sz w:val="18"/>
          <w:lang w:val="de-DE"/>
        </w:rPr>
        <w:t>Die qualifizierenden Produkte werden in den einzelnen Produktabschnitten genannt</w:t>
      </w:r>
      <w:r w:rsidR="006257A7">
        <w:rPr>
          <w:rFonts w:ascii="Tahoma" w:hAnsi="Tahoma" w:cs="Tahoma"/>
          <w:sz w:val="18"/>
          <w:lang w:val="de-DE"/>
        </w:rPr>
        <w:t xml:space="preserve">. </w:t>
      </w:r>
      <w:r w:rsidRPr="009123CB">
        <w:rPr>
          <w:rFonts w:ascii="Tahoma" w:hAnsi="Tahoma" w:cs="Tahoma"/>
          <w:sz w:val="18"/>
          <w:lang w:val="de-DE"/>
        </w:rPr>
        <w:t>Einige Vergünstigungen werden auf Grundlage der SA-Ausgaben des Kunden für einen bestimmten Satz qualifizierender Produkte innerhalb eines Pools gewährt</w:t>
      </w:r>
      <w:r w:rsidR="006257A7">
        <w:rPr>
          <w:rFonts w:ascii="Tahoma" w:hAnsi="Tahoma" w:cs="Tahoma"/>
          <w:sz w:val="18"/>
          <w:lang w:val="de-DE"/>
        </w:rPr>
        <w:t xml:space="preserve">. </w:t>
      </w:r>
      <w:r w:rsidRPr="009123CB">
        <w:rPr>
          <w:rFonts w:ascii="Tahoma" w:hAnsi="Tahoma" w:cs="Tahoma"/>
          <w:sz w:val="18"/>
          <w:lang w:val="de-DE"/>
        </w:rPr>
        <w:t>In diesem Sinne sind mit „SA-Ausgaben“ nicht die tatsächlich ausgegebenen Beträge des Kunden gemeint</w:t>
      </w:r>
      <w:r w:rsidR="006257A7">
        <w:rPr>
          <w:rFonts w:ascii="Tahoma" w:hAnsi="Tahoma" w:cs="Tahoma"/>
          <w:sz w:val="18"/>
          <w:lang w:val="de-DE"/>
        </w:rPr>
        <w:t xml:space="preserve">. </w:t>
      </w:r>
      <w:r w:rsidRPr="009123CB">
        <w:rPr>
          <w:rFonts w:ascii="Tahoma" w:hAnsi="Tahoma" w:cs="Tahoma"/>
          <w:sz w:val="18"/>
          <w:lang w:val="de-DE"/>
        </w:rPr>
        <w:t xml:space="preserve">Vielmehr ist ein Überschlag der Ausgaben eines Kunden für Software Assurance für diese Produkte unter seinem Select- oder Konzernbeitritt, </w:t>
      </w:r>
      <w:r w:rsidRPr="009123CB">
        <w:rPr>
          <w:rFonts w:ascii="Tahoma" w:hAnsi="Tahoma" w:cs="Tahoma"/>
          <w:sz w:val="18"/>
          <w:szCs w:val="18"/>
          <w:lang w:val="de-DE"/>
        </w:rPr>
        <w:t>seiner Select Plus-Registrierung oder seinem Open-Vertrag gemeint (zum Beispiel der Erwerb von nur SA und die SA-Komponenten von L&amp;SA-Käufen)</w:t>
      </w:r>
      <w:r w:rsidR="006257A7">
        <w:rPr>
          <w:rFonts w:ascii="Tahoma" w:hAnsi="Tahoma" w:cs="Tahoma"/>
          <w:sz w:val="18"/>
          <w:szCs w:val="18"/>
          <w:lang w:val="de-DE"/>
        </w:rPr>
        <w:t xml:space="preserve">. </w:t>
      </w:r>
      <w:r w:rsidRPr="009123CB">
        <w:rPr>
          <w:rFonts w:ascii="Tahoma" w:hAnsi="Tahoma" w:cs="Tahoma"/>
          <w:sz w:val="18"/>
          <w:szCs w:val="18"/>
          <w:lang w:val="de-DE"/>
        </w:rPr>
        <w:t>Für Kunden unter Abonnementprogrammen handelt es sich um einen Überschlag des Gesamtbetrags, den der Kunde für die Lizenzierung dieser Produkte unter seinem Beitritt bzw</w:t>
      </w:r>
      <w:r w:rsidR="006257A7">
        <w:rPr>
          <w:rFonts w:ascii="Tahoma" w:hAnsi="Tahoma" w:cs="Tahoma"/>
          <w:sz w:val="18"/>
          <w:szCs w:val="18"/>
          <w:lang w:val="de-DE"/>
        </w:rPr>
        <w:t xml:space="preserve">. </w:t>
      </w:r>
      <w:r w:rsidRPr="009123CB">
        <w:rPr>
          <w:rFonts w:ascii="Tahoma" w:hAnsi="Tahoma" w:cs="Tahoma"/>
          <w:sz w:val="18"/>
          <w:szCs w:val="18"/>
          <w:lang w:val="de-DE"/>
        </w:rPr>
        <w:t>Vertrag ausgegeben hat</w:t>
      </w:r>
      <w:r w:rsidR="006257A7">
        <w:rPr>
          <w:rFonts w:ascii="Tahoma" w:hAnsi="Tahoma" w:cs="Tahoma"/>
          <w:sz w:val="18"/>
          <w:szCs w:val="18"/>
          <w:lang w:val="de-DE"/>
        </w:rPr>
        <w:t xml:space="preserve">. </w:t>
      </w:r>
      <w:r w:rsidRPr="009123CB">
        <w:rPr>
          <w:rFonts w:ascii="Tahoma" w:hAnsi="Tahoma" w:cs="Tahoma"/>
          <w:sz w:val="18"/>
          <w:szCs w:val="18"/>
          <w:lang w:val="de-DE"/>
        </w:rPr>
        <w:t>Andere Vergünstigungen entsprechen der Mitgliedschaft bei Software Assurance; die Mitgliedschaft bei Software Assurance für den jeweiligen</w:t>
      </w:r>
      <w:r w:rsidR="00EE00B3">
        <w:rPr>
          <w:rFonts w:ascii="Tahoma" w:hAnsi="Tahoma" w:cs="Tahoma"/>
          <w:sz w:val="18"/>
          <w:szCs w:val="18"/>
          <w:lang w:val="de-DE"/>
        </w:rPr>
        <w:t> </w:t>
      </w:r>
      <w:r w:rsidRPr="009123CB">
        <w:rPr>
          <w:rFonts w:ascii="Tahoma" w:hAnsi="Tahoma" w:cs="Tahoma"/>
          <w:sz w:val="18"/>
          <w:szCs w:val="18"/>
          <w:lang w:val="de-DE"/>
        </w:rPr>
        <w:t>Produktpool qualifiziert den Kunden für diese Vergünstigungen</w:t>
      </w:r>
      <w:r w:rsidR="006257A7">
        <w:rPr>
          <w:rFonts w:ascii="Tahoma" w:hAnsi="Tahoma" w:cs="Tahoma"/>
          <w:sz w:val="18"/>
          <w:szCs w:val="18"/>
          <w:lang w:val="de-DE"/>
        </w:rPr>
        <w:t xml:space="preserve">. </w:t>
      </w:r>
    </w:p>
    <w:p w:rsidR="008D4EE5" w:rsidRPr="009123CB" w:rsidRDefault="008D4EE5" w:rsidP="008D4EE5">
      <w:pPr>
        <w:rPr>
          <w:lang w:val="de-DE"/>
        </w:rPr>
      </w:pPr>
      <w:r w:rsidRPr="009123CB">
        <w:rPr>
          <w:rFonts w:cs="Tahoma"/>
          <w:lang w:val="de-DE"/>
        </w:rPr>
        <w:br w:type="page"/>
      </w:r>
    </w:p>
    <w:tbl>
      <w:tblPr>
        <w:tblW w:w="9729" w:type="dxa"/>
        <w:tblInd w:w="101" w:type="dxa"/>
        <w:tblLayout w:type="fixed"/>
        <w:tblLook w:val="0000" w:firstRow="0" w:lastRow="0" w:firstColumn="0" w:lastColumn="0" w:noHBand="0" w:noVBand="0"/>
      </w:tblPr>
      <w:tblGrid>
        <w:gridCol w:w="2347"/>
        <w:gridCol w:w="1620"/>
        <w:gridCol w:w="1530"/>
        <w:gridCol w:w="1440"/>
        <w:gridCol w:w="1386"/>
        <w:gridCol w:w="1406"/>
      </w:tblGrid>
      <w:tr w:rsidR="008D4EE5" w:rsidTr="002376BB">
        <w:trPr>
          <w:trHeight w:val="255"/>
          <w:tblHeader/>
        </w:trPr>
        <w:tc>
          <w:tcPr>
            <w:tcW w:w="2347"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Default="008D4EE5" w:rsidP="00A67771">
            <w:pPr>
              <w:pStyle w:val="AppendixTableHeadings"/>
              <w:rPr>
                <w:rFonts w:ascii="Tahoma" w:hAnsi="Tahoma" w:cs="Tahoma"/>
                <w:sz w:val="20"/>
                <w:szCs w:val="20"/>
              </w:rPr>
            </w:pPr>
            <w:r>
              <w:rPr>
                <w:rFonts w:ascii="Tahoma" w:hAnsi="Tahoma" w:cs="Tahoma"/>
                <w:sz w:val="20"/>
                <w:szCs w:val="20"/>
              </w:rPr>
              <w:t>Vergünstigungen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Default="008D4EE5" w:rsidP="00A67771">
            <w:pPr>
              <w:pStyle w:val="AppendixTableHeadings"/>
              <w:rPr>
                <w:rFonts w:ascii="Tahoma" w:hAnsi="Tahoma" w:cs="Tahoma"/>
                <w:sz w:val="20"/>
                <w:szCs w:val="20"/>
              </w:rPr>
            </w:pPr>
            <w:r>
              <w:rPr>
                <w:rFonts w:ascii="Tahoma" w:hAnsi="Tahoma" w:cs="Tahoma"/>
                <w:sz w:val="20"/>
                <w:szCs w:val="20"/>
              </w:rPr>
              <w:t>Anwendungs-Pool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Default="008D4EE5" w:rsidP="00A67771">
            <w:pPr>
              <w:pStyle w:val="AppendixTableHeadings"/>
              <w:rPr>
                <w:rFonts w:ascii="Tahoma" w:hAnsi="Tahoma" w:cs="Tahoma"/>
                <w:sz w:val="20"/>
                <w:szCs w:val="20"/>
              </w:rPr>
            </w:pPr>
            <w:r>
              <w:rPr>
                <w:rFonts w:ascii="Tahoma" w:hAnsi="Tahoma" w:cs="Tahoma"/>
                <w:sz w:val="20"/>
                <w:szCs w:val="20"/>
              </w:rPr>
              <w:t>System-Pool</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Default="008D4EE5" w:rsidP="00A67771">
            <w:pPr>
              <w:pStyle w:val="AppendixTableHeadings"/>
              <w:rPr>
                <w:rFonts w:ascii="Tahoma" w:hAnsi="Tahoma" w:cs="Tahoma"/>
                <w:sz w:val="20"/>
                <w:szCs w:val="20"/>
              </w:rPr>
            </w:pPr>
            <w:r>
              <w:rPr>
                <w:rFonts w:ascii="Tahoma" w:hAnsi="Tahoma" w:cs="Tahoma"/>
                <w:sz w:val="20"/>
                <w:szCs w:val="20"/>
              </w:rPr>
              <w:t>Server-Pool</w:t>
            </w:r>
          </w:p>
        </w:tc>
        <w:tc>
          <w:tcPr>
            <w:tcW w:w="1386"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Default="008D4EE5" w:rsidP="00A67771">
            <w:pPr>
              <w:pStyle w:val="AppendixTableHeadings"/>
              <w:rPr>
                <w:rFonts w:ascii="Tahoma" w:hAnsi="Tahoma" w:cs="Tahoma"/>
                <w:sz w:val="20"/>
                <w:szCs w:val="20"/>
              </w:rPr>
            </w:pPr>
            <w:r>
              <w:rPr>
                <w:rFonts w:ascii="Tahoma" w:hAnsi="Tahoma" w:cs="Tahoma"/>
                <w:sz w:val="20"/>
                <w:szCs w:val="20"/>
              </w:rPr>
              <w:t>Windows Intune (pro Gerät)</w:t>
            </w:r>
          </w:p>
        </w:tc>
        <w:tc>
          <w:tcPr>
            <w:tcW w:w="1406"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Default="008D4EE5" w:rsidP="00A67771">
            <w:pPr>
              <w:pStyle w:val="AppendixTableHeadings"/>
              <w:rPr>
                <w:rFonts w:ascii="Tahoma" w:hAnsi="Tahoma" w:cs="Tahoma"/>
                <w:sz w:val="20"/>
                <w:szCs w:val="20"/>
              </w:rPr>
            </w:pPr>
            <w:r>
              <w:rPr>
                <w:rFonts w:ascii="Tahoma" w:hAnsi="Tahoma" w:cs="Tahoma"/>
                <w:sz w:val="20"/>
                <w:szCs w:val="20"/>
              </w:rPr>
              <w:t>Office 365</w:t>
            </w:r>
          </w:p>
        </w:tc>
      </w:tr>
      <w:tr w:rsidR="008D4EE5" w:rsidTr="002376BB">
        <w:trPr>
          <w:trHeight w:val="255"/>
        </w:trPr>
        <w:tc>
          <w:tcPr>
            <w:tcW w:w="2347" w:type="dxa"/>
            <w:tcBorders>
              <w:top w:val="single" w:sz="8" w:space="0" w:color="auto"/>
              <w:left w:val="single" w:sz="4" w:space="0" w:color="auto"/>
              <w:bottom w:val="single" w:sz="4" w:space="0" w:color="auto"/>
              <w:right w:val="single" w:sz="4" w:space="0" w:color="auto"/>
            </w:tcBorders>
            <w:vAlign w:val="bottom"/>
          </w:tcPr>
          <w:p w:rsidR="008D4EE5" w:rsidRDefault="008D4EE5" w:rsidP="00A67771">
            <w:pPr>
              <w:pStyle w:val="AppendixTableText"/>
              <w:jc w:val="left"/>
              <w:rPr>
                <w:rFonts w:ascii="Tahoma" w:hAnsi="Tahoma" w:cs="Tahoma"/>
              </w:rPr>
            </w:pPr>
            <w:r>
              <w:rPr>
                <w:rFonts w:ascii="Tahoma" w:hAnsi="Tahoma" w:cs="Tahoma"/>
              </w:rPr>
              <w:t>Rechte für neue Versionen</w:t>
            </w:r>
          </w:p>
        </w:tc>
        <w:tc>
          <w:tcPr>
            <w:tcW w:w="1620" w:type="dxa"/>
            <w:tcBorders>
              <w:top w:val="single" w:sz="8" w:space="0" w:color="auto"/>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530" w:type="dxa"/>
            <w:tcBorders>
              <w:top w:val="single" w:sz="8" w:space="0" w:color="auto"/>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40" w:type="dxa"/>
            <w:tcBorders>
              <w:top w:val="single" w:sz="8" w:space="0" w:color="auto"/>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386" w:type="dxa"/>
            <w:tcBorders>
              <w:top w:val="single" w:sz="8" w:space="0" w:color="auto"/>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06" w:type="dxa"/>
            <w:tcBorders>
              <w:top w:val="single" w:sz="8" w:space="0" w:color="auto"/>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r>
      <w:tr w:rsidR="008D4EE5" w:rsidTr="002376BB">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8D4EE5" w:rsidRDefault="008D4EE5" w:rsidP="00A67771">
            <w:pPr>
              <w:pStyle w:val="AppendixTableText"/>
              <w:jc w:val="left"/>
              <w:rPr>
                <w:rFonts w:ascii="Tahoma" w:hAnsi="Tahoma" w:cs="Tahoma"/>
              </w:rPr>
            </w:pPr>
            <w:r>
              <w:rPr>
                <w:rFonts w:ascii="Tahoma" w:hAnsi="Tahoma" w:cs="Tahoma"/>
              </w:rPr>
              <w:t>Office Multi Language Pack</w:t>
            </w:r>
          </w:p>
        </w:tc>
        <w:tc>
          <w:tcPr>
            <w:tcW w:w="162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Style w:val="CommentReference"/>
                <w:rFonts w:ascii="Tahoma" w:hAnsi="Tahoma" w:cs="Tahoma"/>
                <w:sz w:val="18"/>
                <w:szCs w:val="18"/>
              </w:rPr>
            </w:pPr>
          </w:p>
        </w:tc>
        <w:tc>
          <w:tcPr>
            <w:tcW w:w="138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Style w:val="CommentReference"/>
                <w:rFonts w:ascii="Tahoma" w:hAnsi="Tahoma" w:cs="Tahoma"/>
                <w:sz w:val="18"/>
                <w:szCs w:val="18"/>
              </w:rPr>
            </w:pPr>
          </w:p>
        </w:tc>
        <w:tc>
          <w:tcPr>
            <w:tcW w:w="140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Style w:val="CommentReference"/>
                <w:rFonts w:ascii="Tahoma" w:hAnsi="Tahoma" w:cs="Tahoma"/>
                <w:sz w:val="18"/>
                <w:szCs w:val="18"/>
              </w:rPr>
            </w:pPr>
            <w:r>
              <w:rPr>
                <w:rFonts w:ascii="Tahoma" w:hAnsi="Tahoma" w:cs="Tahoma"/>
              </w:rPr>
              <w:t>Ja</w:t>
            </w:r>
          </w:p>
        </w:tc>
      </w:tr>
      <w:tr w:rsidR="008D4EE5" w:rsidTr="002376BB">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8D4EE5" w:rsidRDefault="008D4EE5" w:rsidP="00A67771">
            <w:pPr>
              <w:pStyle w:val="AppendixTableText"/>
              <w:jc w:val="left"/>
              <w:rPr>
                <w:rFonts w:ascii="Tahoma" w:hAnsi="Tahoma" w:cs="Tahoma"/>
              </w:rPr>
            </w:pPr>
            <w:r>
              <w:rPr>
                <w:rFonts w:ascii="Tahoma" w:hAnsi="Tahoma" w:cs="Tahoma"/>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Style w:val="CommentReference"/>
                <w:rFonts w:ascii="Tahoma" w:hAnsi="Tahoma" w:cs="Tahoma"/>
                <w:sz w:val="18"/>
                <w:szCs w:val="18"/>
              </w:rPr>
            </w:pPr>
            <w:r>
              <w:rPr>
                <w:rStyle w:val="CommentReference"/>
                <w:rFonts w:ascii="Tahoma" w:hAnsi="Tahoma" w:cs="Tahoma"/>
                <w:sz w:val="18"/>
                <w:szCs w:val="18"/>
              </w:rPr>
              <w:t>Ja</w:t>
            </w:r>
          </w:p>
        </w:tc>
        <w:tc>
          <w:tcPr>
            <w:tcW w:w="138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Style w:val="CommentReference"/>
                <w:rFonts w:ascii="Tahoma" w:hAnsi="Tahoma" w:cs="Tahoma"/>
                <w:sz w:val="18"/>
                <w:szCs w:val="18"/>
              </w:rPr>
            </w:pPr>
          </w:p>
        </w:tc>
        <w:tc>
          <w:tcPr>
            <w:tcW w:w="140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Style w:val="CommentReference"/>
                <w:rFonts w:ascii="Tahoma" w:hAnsi="Tahoma" w:cs="Tahoma"/>
                <w:sz w:val="18"/>
                <w:szCs w:val="18"/>
              </w:rPr>
            </w:pPr>
          </w:p>
        </w:tc>
      </w:tr>
      <w:tr w:rsidR="008D4EE5" w:rsidTr="002376BB">
        <w:trPr>
          <w:trHeight w:val="255"/>
        </w:trPr>
        <w:tc>
          <w:tcPr>
            <w:tcW w:w="2347" w:type="dxa"/>
            <w:tcBorders>
              <w:top w:val="nil"/>
              <w:left w:val="single" w:sz="4" w:space="0" w:color="auto"/>
              <w:bottom w:val="single" w:sz="4" w:space="0" w:color="auto"/>
              <w:right w:val="single" w:sz="4" w:space="0" w:color="auto"/>
            </w:tcBorders>
            <w:vAlign w:val="bottom"/>
          </w:tcPr>
          <w:p w:rsidR="008D4EE5" w:rsidRPr="009123CB" w:rsidRDefault="008D4EE5" w:rsidP="00A67771">
            <w:pPr>
              <w:pStyle w:val="AppendixTableText"/>
              <w:jc w:val="left"/>
              <w:rPr>
                <w:rFonts w:ascii="Tahoma" w:hAnsi="Tahoma" w:cs="Tahoma"/>
                <w:lang w:val="de-DE"/>
              </w:rPr>
            </w:pPr>
            <w:r w:rsidRPr="009123CB">
              <w:rPr>
                <w:rFonts w:ascii="Tahoma" w:hAnsi="Tahoma" w:cs="Tahoma"/>
                <w:lang w:val="de-DE"/>
              </w:rPr>
              <w:t>Rechte zur Nutzung von Enterprise-Editionen</w:t>
            </w:r>
          </w:p>
        </w:tc>
        <w:tc>
          <w:tcPr>
            <w:tcW w:w="1620" w:type="dxa"/>
            <w:tcBorders>
              <w:top w:val="nil"/>
              <w:left w:val="nil"/>
              <w:bottom w:val="single" w:sz="4" w:space="0" w:color="auto"/>
              <w:right w:val="single" w:sz="4" w:space="0" w:color="auto"/>
            </w:tcBorders>
            <w:vAlign w:val="center"/>
          </w:tcPr>
          <w:p w:rsidR="008D4EE5" w:rsidRPr="009123CB" w:rsidRDefault="008D4EE5" w:rsidP="00A67771">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4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38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0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r>
      <w:tr w:rsidR="008D4EE5" w:rsidTr="002376BB">
        <w:trPr>
          <w:trHeight w:val="255"/>
        </w:trPr>
        <w:tc>
          <w:tcPr>
            <w:tcW w:w="2347" w:type="dxa"/>
            <w:tcBorders>
              <w:top w:val="nil"/>
              <w:left w:val="single" w:sz="4" w:space="0" w:color="auto"/>
              <w:bottom w:val="single" w:sz="4" w:space="0" w:color="auto"/>
              <w:right w:val="single" w:sz="4" w:space="0" w:color="auto"/>
            </w:tcBorders>
            <w:vAlign w:val="bottom"/>
          </w:tcPr>
          <w:p w:rsidR="008D4EE5" w:rsidRDefault="008D4EE5" w:rsidP="00A67771">
            <w:pPr>
              <w:pStyle w:val="AppendixTableText"/>
              <w:jc w:val="left"/>
              <w:rPr>
                <w:rFonts w:ascii="Tahoma" w:hAnsi="Tahoma" w:cs="Tahoma"/>
              </w:rPr>
            </w:pPr>
            <w:r>
              <w:rPr>
                <w:rFonts w:ascii="Tahoma" w:hAnsi="Tahoma" w:cs="Tahoma"/>
              </w:rPr>
              <w:t>Trainingsgutscheine</w:t>
            </w:r>
          </w:p>
        </w:tc>
        <w:tc>
          <w:tcPr>
            <w:tcW w:w="162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53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4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38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40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r>
      <w:tr w:rsidR="008D4EE5" w:rsidTr="002376BB">
        <w:trPr>
          <w:trHeight w:val="255"/>
        </w:trPr>
        <w:tc>
          <w:tcPr>
            <w:tcW w:w="2347" w:type="dxa"/>
            <w:tcBorders>
              <w:top w:val="nil"/>
              <w:left w:val="single" w:sz="4" w:space="0" w:color="auto"/>
              <w:bottom w:val="single" w:sz="4" w:space="0" w:color="auto"/>
              <w:right w:val="single" w:sz="4" w:space="0" w:color="auto"/>
            </w:tcBorders>
            <w:vAlign w:val="bottom"/>
          </w:tcPr>
          <w:p w:rsidR="008D4EE5" w:rsidRDefault="008D4EE5" w:rsidP="00A67771">
            <w:pPr>
              <w:pStyle w:val="AppendixTableText"/>
              <w:jc w:val="left"/>
              <w:rPr>
                <w:rFonts w:ascii="Tahoma" w:hAnsi="Tahoma" w:cs="Tahoma"/>
              </w:rPr>
            </w:pPr>
            <w:r>
              <w:rPr>
                <w:rFonts w:ascii="Tahoma" w:hAnsi="Tahoma" w:cs="Tahoma"/>
              </w:rPr>
              <w:t>E-Learning</w:t>
            </w:r>
          </w:p>
        </w:tc>
        <w:tc>
          <w:tcPr>
            <w:tcW w:w="162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53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4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38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0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r>
      <w:tr w:rsidR="008D4EE5" w:rsidTr="002376BB">
        <w:trPr>
          <w:trHeight w:val="255"/>
        </w:trPr>
        <w:tc>
          <w:tcPr>
            <w:tcW w:w="2347" w:type="dxa"/>
            <w:tcBorders>
              <w:top w:val="nil"/>
              <w:left w:val="single" w:sz="4" w:space="0" w:color="auto"/>
              <w:bottom w:val="single" w:sz="4" w:space="0" w:color="auto"/>
              <w:right w:val="single" w:sz="4" w:space="0" w:color="auto"/>
            </w:tcBorders>
            <w:vAlign w:val="bottom"/>
          </w:tcPr>
          <w:p w:rsidR="008D4EE5" w:rsidRDefault="008D4EE5" w:rsidP="00A67771">
            <w:pPr>
              <w:pStyle w:val="AppendixTableText"/>
              <w:jc w:val="left"/>
              <w:rPr>
                <w:rFonts w:ascii="Tahoma" w:hAnsi="Tahoma" w:cs="Tahoma"/>
              </w:rPr>
            </w:pPr>
            <w:r>
              <w:rPr>
                <w:rFonts w:ascii="Tahoma" w:hAnsi="Tahoma" w:cs="Tahoma"/>
              </w:rPr>
              <w:t>Home Use Program</w:t>
            </w:r>
          </w:p>
        </w:tc>
        <w:tc>
          <w:tcPr>
            <w:tcW w:w="162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53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38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40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r>
      <w:tr w:rsidR="008D4EE5" w:rsidTr="002376BB">
        <w:trPr>
          <w:trHeight w:val="255"/>
        </w:trPr>
        <w:tc>
          <w:tcPr>
            <w:tcW w:w="2347" w:type="dxa"/>
            <w:tcBorders>
              <w:top w:val="nil"/>
              <w:left w:val="single" w:sz="4" w:space="0" w:color="auto"/>
              <w:bottom w:val="single" w:sz="4" w:space="0" w:color="auto"/>
              <w:right w:val="single" w:sz="4" w:space="0" w:color="auto"/>
            </w:tcBorders>
            <w:vAlign w:val="bottom"/>
          </w:tcPr>
          <w:p w:rsidR="008D4EE5" w:rsidRDefault="008D4EE5" w:rsidP="00A67771">
            <w:pPr>
              <w:pStyle w:val="AppendixTableText"/>
              <w:jc w:val="left"/>
              <w:rPr>
                <w:rFonts w:ascii="Tahoma" w:hAnsi="Tahoma" w:cs="Tahoma"/>
              </w:rPr>
            </w:pPr>
            <w:r>
              <w:rPr>
                <w:rFonts w:ascii="Tahoma" w:hAnsi="Tahoma" w:cs="Tahoma"/>
              </w:rPr>
              <w:t>Enterprise Source Licensing Program</w:t>
            </w:r>
          </w:p>
        </w:tc>
        <w:tc>
          <w:tcPr>
            <w:tcW w:w="162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4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38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40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r>
      <w:tr w:rsidR="008D4EE5" w:rsidTr="002376BB">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8D4EE5" w:rsidRDefault="008D4EE5" w:rsidP="00A67771">
            <w:pPr>
              <w:pStyle w:val="AppendixTableText"/>
              <w:jc w:val="left"/>
              <w:rPr>
                <w:rFonts w:ascii="Tahoma" w:hAnsi="Tahoma" w:cs="Tahoma"/>
              </w:rPr>
            </w:pPr>
            <w:r>
              <w:rPr>
                <w:rFonts w:ascii="Tahoma" w:hAnsi="Tahoma" w:cs="Tahoma"/>
              </w:rPr>
              <w:t>24x7 Problembehebungssupport</w:t>
            </w:r>
          </w:p>
        </w:tc>
        <w:tc>
          <w:tcPr>
            <w:tcW w:w="162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Style w:val="CommentReference"/>
                <w:rFonts w:ascii="Tahoma" w:hAnsi="Tahoma" w:cs="Tahoma"/>
                <w:sz w:val="18"/>
                <w:szCs w:val="18"/>
              </w:rPr>
            </w:pPr>
            <w:r>
              <w:rPr>
                <w:rFonts w:ascii="Tahoma" w:hAnsi="Tahoma" w:cs="Tahoma"/>
              </w:rPr>
              <w:t>Ja</w:t>
            </w:r>
          </w:p>
        </w:tc>
        <w:tc>
          <w:tcPr>
            <w:tcW w:w="138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p>
        </w:tc>
        <w:tc>
          <w:tcPr>
            <w:tcW w:w="140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p>
        </w:tc>
      </w:tr>
      <w:tr w:rsidR="008D4EE5" w:rsidTr="002376BB">
        <w:trPr>
          <w:trHeight w:val="255"/>
        </w:trPr>
        <w:tc>
          <w:tcPr>
            <w:tcW w:w="2347" w:type="dxa"/>
            <w:tcBorders>
              <w:top w:val="nil"/>
              <w:left w:val="single" w:sz="4" w:space="0" w:color="auto"/>
              <w:bottom w:val="single" w:sz="4" w:space="0" w:color="auto"/>
              <w:right w:val="single" w:sz="4" w:space="0" w:color="auto"/>
            </w:tcBorders>
            <w:vAlign w:val="bottom"/>
          </w:tcPr>
          <w:p w:rsidR="008D4EE5" w:rsidRDefault="008D4EE5" w:rsidP="00A67771">
            <w:pPr>
              <w:pStyle w:val="AppendixTableText"/>
              <w:jc w:val="left"/>
              <w:rPr>
                <w:rFonts w:ascii="Tahoma" w:hAnsi="Tahoma" w:cs="Tahoma"/>
              </w:rPr>
            </w:pPr>
            <w:r>
              <w:rPr>
                <w:rFonts w:ascii="Tahoma" w:hAnsi="Tahoma" w:cs="Tahoma"/>
              </w:rPr>
              <w:t>System Center Advisor</w:t>
            </w:r>
          </w:p>
        </w:tc>
        <w:tc>
          <w:tcPr>
            <w:tcW w:w="162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38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40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r>
      <w:tr w:rsidR="008D4EE5" w:rsidTr="002376BB">
        <w:trPr>
          <w:trHeight w:val="255"/>
        </w:trPr>
        <w:tc>
          <w:tcPr>
            <w:tcW w:w="2347" w:type="dxa"/>
            <w:tcBorders>
              <w:top w:val="nil"/>
              <w:left w:val="single" w:sz="4" w:space="0" w:color="auto"/>
              <w:bottom w:val="single" w:sz="4" w:space="0" w:color="auto"/>
              <w:right w:val="single" w:sz="4" w:space="0" w:color="auto"/>
            </w:tcBorders>
            <w:vAlign w:val="bottom"/>
          </w:tcPr>
          <w:p w:rsidR="008D4EE5" w:rsidRDefault="008D4EE5" w:rsidP="00A67771">
            <w:pPr>
              <w:pStyle w:val="AppendixTableText"/>
              <w:jc w:val="left"/>
              <w:rPr>
                <w:rFonts w:ascii="Tahoma" w:hAnsi="Tahoma" w:cs="Tahoma"/>
              </w:rPr>
            </w:pPr>
            <w:r>
              <w:rPr>
                <w:rFonts w:ascii="Tahoma" w:hAnsi="Tahoma" w:cs="Tahoma"/>
              </w:rPr>
              <w:t>Globaler System Center-Dienstmonitor</w:t>
            </w:r>
          </w:p>
        </w:tc>
        <w:tc>
          <w:tcPr>
            <w:tcW w:w="162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38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40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r>
      <w:tr w:rsidR="008D4EE5" w:rsidTr="002376BB">
        <w:trPr>
          <w:trHeight w:val="255"/>
        </w:trPr>
        <w:tc>
          <w:tcPr>
            <w:tcW w:w="2347" w:type="dxa"/>
            <w:tcBorders>
              <w:top w:val="nil"/>
              <w:left w:val="single" w:sz="4" w:space="0" w:color="auto"/>
              <w:bottom w:val="single" w:sz="4" w:space="0" w:color="auto"/>
              <w:right w:val="single" w:sz="4" w:space="0" w:color="auto"/>
            </w:tcBorders>
            <w:vAlign w:val="bottom"/>
          </w:tcPr>
          <w:p w:rsidR="008D4EE5" w:rsidRPr="009123CB" w:rsidRDefault="008D4EE5" w:rsidP="00A67771">
            <w:pPr>
              <w:pStyle w:val="AppendixTableText"/>
              <w:jc w:val="left"/>
              <w:rPr>
                <w:rFonts w:ascii="Tahoma" w:hAnsi="Tahoma" w:cs="Tahoma"/>
                <w:lang w:val="de-DE"/>
              </w:rPr>
            </w:pPr>
            <w:r w:rsidRPr="009123CB">
              <w:rPr>
                <w:rFonts w:ascii="Tahoma" w:hAnsi="Tahoma" w:cs="Tahoma"/>
                <w:lang w:val="de-DE"/>
              </w:rPr>
              <w:t>„Cold Backup“ für die Wiederherstellung im Notfall</w:t>
            </w:r>
          </w:p>
        </w:tc>
        <w:tc>
          <w:tcPr>
            <w:tcW w:w="1620" w:type="dxa"/>
            <w:tcBorders>
              <w:top w:val="nil"/>
              <w:left w:val="nil"/>
              <w:bottom w:val="single" w:sz="4" w:space="0" w:color="auto"/>
              <w:right w:val="single" w:sz="4" w:space="0" w:color="auto"/>
            </w:tcBorders>
            <w:vAlign w:val="center"/>
          </w:tcPr>
          <w:p w:rsidR="008D4EE5" w:rsidRPr="009123CB" w:rsidRDefault="008D4EE5" w:rsidP="00A67771">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center"/>
          </w:tcPr>
          <w:p w:rsidR="008D4EE5" w:rsidRPr="009123CB" w:rsidRDefault="008D4EE5" w:rsidP="00A67771">
            <w:pPr>
              <w:pStyle w:val="AppendixTableText"/>
              <w:rPr>
                <w:rFonts w:ascii="Tahoma" w:hAnsi="Tahoma" w:cs="Tahoma"/>
                <w:lang w:val="de-DE"/>
              </w:rPr>
            </w:pPr>
          </w:p>
        </w:tc>
        <w:tc>
          <w:tcPr>
            <w:tcW w:w="144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38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40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r>
      <w:tr w:rsidR="008D4EE5" w:rsidTr="002376BB">
        <w:trPr>
          <w:trHeight w:val="255"/>
        </w:trPr>
        <w:tc>
          <w:tcPr>
            <w:tcW w:w="2347" w:type="dxa"/>
            <w:tcBorders>
              <w:top w:val="single" w:sz="4" w:space="0" w:color="auto"/>
              <w:left w:val="single" w:sz="4" w:space="0" w:color="auto"/>
              <w:bottom w:val="single" w:sz="4" w:space="0" w:color="auto"/>
              <w:right w:val="single" w:sz="4" w:space="0" w:color="auto"/>
            </w:tcBorders>
            <w:vAlign w:val="bottom"/>
          </w:tcPr>
          <w:p w:rsidR="008D4EE5" w:rsidRDefault="008D4EE5" w:rsidP="00A67771">
            <w:pPr>
              <w:pStyle w:val="AppendixTableText"/>
              <w:jc w:val="left"/>
              <w:rPr>
                <w:rFonts w:ascii="Tahoma" w:hAnsi="Tahoma" w:cs="Tahoma"/>
              </w:rPr>
            </w:pPr>
            <w:r>
              <w:rPr>
                <w:rFonts w:ascii="Tahoma" w:hAnsi="Tahoma" w:cs="Tahoma"/>
              </w:rPr>
              <w:t>TechNet SA-Abonnementservices</w:t>
            </w:r>
          </w:p>
        </w:tc>
        <w:tc>
          <w:tcPr>
            <w:tcW w:w="1620" w:type="dxa"/>
            <w:tcBorders>
              <w:top w:val="single" w:sz="4" w:space="0" w:color="auto"/>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530" w:type="dxa"/>
            <w:tcBorders>
              <w:top w:val="single" w:sz="4" w:space="0" w:color="auto"/>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40" w:type="dxa"/>
            <w:tcBorders>
              <w:top w:val="single" w:sz="4" w:space="0" w:color="auto"/>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386" w:type="dxa"/>
            <w:tcBorders>
              <w:top w:val="single" w:sz="4" w:space="0" w:color="auto"/>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406" w:type="dxa"/>
            <w:tcBorders>
              <w:top w:val="single" w:sz="4" w:space="0" w:color="auto"/>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r>
      <w:tr w:rsidR="008D4EE5" w:rsidTr="002376BB">
        <w:trPr>
          <w:trHeight w:val="255"/>
        </w:trPr>
        <w:tc>
          <w:tcPr>
            <w:tcW w:w="2347" w:type="dxa"/>
            <w:tcBorders>
              <w:top w:val="nil"/>
              <w:left w:val="single" w:sz="4" w:space="0" w:color="auto"/>
              <w:bottom w:val="single" w:sz="4" w:space="0" w:color="auto"/>
              <w:right w:val="single" w:sz="4" w:space="0" w:color="auto"/>
            </w:tcBorders>
            <w:vAlign w:val="bottom"/>
          </w:tcPr>
          <w:p w:rsidR="008D4EE5" w:rsidRDefault="008D4EE5" w:rsidP="00A67771">
            <w:pPr>
              <w:pStyle w:val="AppendixTableText"/>
              <w:jc w:val="left"/>
              <w:rPr>
                <w:rFonts w:ascii="Tahoma" w:hAnsi="Tahoma" w:cs="Tahoma"/>
              </w:rPr>
            </w:pPr>
            <w:r>
              <w:rPr>
                <w:rFonts w:ascii="Tahoma" w:hAnsi="Tahoma" w:cs="Tahoma"/>
              </w:rPr>
              <w:t>TechNet Plus Direct</w:t>
            </w:r>
          </w:p>
        </w:tc>
        <w:tc>
          <w:tcPr>
            <w:tcW w:w="162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38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c>
          <w:tcPr>
            <w:tcW w:w="1406" w:type="dxa"/>
            <w:tcBorders>
              <w:top w:val="nil"/>
              <w:left w:val="nil"/>
              <w:bottom w:val="single" w:sz="4" w:space="0" w:color="auto"/>
              <w:right w:val="single" w:sz="4" w:space="0" w:color="auto"/>
            </w:tcBorders>
            <w:vAlign w:val="center"/>
          </w:tcPr>
          <w:p w:rsidR="008D4EE5" w:rsidRDefault="008D4EE5" w:rsidP="00A67771">
            <w:pPr>
              <w:pStyle w:val="AppendixTableText"/>
              <w:rPr>
                <w:rFonts w:ascii="Tahoma" w:hAnsi="Tahoma" w:cs="Tahoma"/>
              </w:rPr>
            </w:pPr>
          </w:p>
        </w:tc>
      </w:tr>
      <w:tr w:rsidR="008D4EE5" w:rsidTr="002376BB">
        <w:trPr>
          <w:trHeight w:val="246"/>
        </w:trPr>
        <w:tc>
          <w:tcPr>
            <w:tcW w:w="2347" w:type="dxa"/>
            <w:tcBorders>
              <w:top w:val="single" w:sz="6" w:space="0" w:color="auto"/>
              <w:left w:val="single" w:sz="4" w:space="0" w:color="auto"/>
              <w:bottom w:val="single" w:sz="6" w:space="0" w:color="auto"/>
              <w:right w:val="single" w:sz="6" w:space="0" w:color="auto"/>
            </w:tcBorders>
            <w:vAlign w:val="bottom"/>
          </w:tcPr>
          <w:p w:rsidR="008D4EE5" w:rsidRDefault="008D4EE5" w:rsidP="00A67771">
            <w:pPr>
              <w:pStyle w:val="AppendixTableText"/>
              <w:jc w:val="left"/>
              <w:rPr>
                <w:rFonts w:ascii="Tahoma" w:hAnsi="Tahoma" w:cs="Tahoma"/>
              </w:rPr>
            </w:pPr>
            <w:r>
              <w:rPr>
                <w:rFonts w:ascii="Tahoma"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p>
        </w:tc>
        <w:tc>
          <w:tcPr>
            <w:tcW w:w="138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0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p>
        </w:tc>
      </w:tr>
      <w:tr w:rsidR="008D4EE5" w:rsidTr="002376BB">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8D4EE5" w:rsidRDefault="008D4EE5" w:rsidP="00A67771">
            <w:pPr>
              <w:pStyle w:val="AppendixTableText"/>
              <w:jc w:val="left"/>
              <w:rPr>
                <w:rFonts w:ascii="Tahoma" w:hAnsi="Tahoma" w:cs="Tahoma"/>
              </w:rPr>
            </w:pPr>
            <w:r>
              <w:rPr>
                <w:rFonts w:ascii="Tahoma" w:hAnsi="Tahoma" w:cs="Tahoma"/>
              </w:rPr>
              <w:t>Erweiterter Hotfix-Support</w:t>
            </w:r>
          </w:p>
        </w:tc>
        <w:tc>
          <w:tcPr>
            <w:tcW w:w="162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Style w:val="CommentReference"/>
                <w:rFonts w:ascii="Tahoma" w:hAnsi="Tahoma" w:cs="Tahoma"/>
                <w:sz w:val="18"/>
                <w:szCs w:val="18"/>
              </w:rPr>
            </w:pPr>
            <w:r>
              <w:rPr>
                <w:rFonts w:ascii="Tahoma" w:hAnsi="Tahoma" w:cs="Tahoma"/>
              </w:rPr>
              <w:t>Ja</w:t>
            </w:r>
          </w:p>
        </w:tc>
        <w:tc>
          <w:tcPr>
            <w:tcW w:w="138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0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p>
        </w:tc>
      </w:tr>
      <w:tr w:rsidR="008D4EE5" w:rsidTr="002376BB">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8D4EE5" w:rsidRPr="006257CE" w:rsidRDefault="008D4EE5" w:rsidP="00A67771">
            <w:pPr>
              <w:pStyle w:val="AppendixTableText"/>
              <w:jc w:val="left"/>
              <w:rPr>
                <w:rFonts w:ascii="Tahoma" w:hAnsi="Tahoma" w:cs="Tahoma"/>
                <w:color w:val="000000"/>
              </w:rPr>
            </w:pPr>
            <w:r>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rsidR="008D4EE5" w:rsidRPr="006257CE" w:rsidRDefault="008D4EE5" w:rsidP="00A67771">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8D4EE5" w:rsidRPr="006257CE" w:rsidRDefault="008D4EE5" w:rsidP="00A67771">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8D4EE5" w:rsidRPr="006257CE" w:rsidRDefault="008D4EE5" w:rsidP="00A67771">
            <w:pPr>
              <w:pStyle w:val="AppendixTableText"/>
              <w:rPr>
                <w:rFonts w:ascii="Tahoma" w:hAnsi="Tahoma" w:cs="Tahoma"/>
                <w:color w:val="000000"/>
              </w:rPr>
            </w:pPr>
          </w:p>
        </w:tc>
        <w:tc>
          <w:tcPr>
            <w:tcW w:w="1386" w:type="dxa"/>
            <w:tcBorders>
              <w:top w:val="single" w:sz="6" w:space="0" w:color="auto"/>
              <w:left w:val="single" w:sz="6" w:space="0" w:color="auto"/>
              <w:bottom w:val="single" w:sz="6" w:space="0" w:color="auto"/>
              <w:right w:val="single" w:sz="4" w:space="0" w:color="auto"/>
            </w:tcBorders>
            <w:vAlign w:val="center"/>
          </w:tcPr>
          <w:p w:rsidR="008D4EE5" w:rsidRPr="006257CE" w:rsidRDefault="008D4EE5" w:rsidP="00A67771">
            <w:pPr>
              <w:pStyle w:val="AppendixTableText"/>
              <w:spacing w:before="120"/>
              <w:rPr>
                <w:rFonts w:ascii="Tahoma" w:hAnsi="Tahoma" w:cs="Tahoma"/>
                <w:color w:val="000000"/>
              </w:rPr>
            </w:pPr>
            <w:r>
              <w:rPr>
                <w:rFonts w:ascii="Tahoma" w:hAnsi="Tahoma" w:cs="Tahoma"/>
                <w:color w:val="000000"/>
              </w:rPr>
              <w:t>Ja</w:t>
            </w:r>
          </w:p>
        </w:tc>
        <w:tc>
          <w:tcPr>
            <w:tcW w:w="1406" w:type="dxa"/>
            <w:tcBorders>
              <w:top w:val="single" w:sz="6" w:space="0" w:color="auto"/>
              <w:left w:val="single" w:sz="6" w:space="0" w:color="auto"/>
              <w:bottom w:val="single" w:sz="6" w:space="0" w:color="auto"/>
              <w:right w:val="single" w:sz="4" w:space="0" w:color="auto"/>
            </w:tcBorders>
            <w:vAlign w:val="center"/>
          </w:tcPr>
          <w:p w:rsidR="008D4EE5" w:rsidRPr="006257CE" w:rsidRDefault="008D4EE5" w:rsidP="00A67771">
            <w:pPr>
              <w:pStyle w:val="AppendixTableText"/>
              <w:spacing w:before="120"/>
              <w:rPr>
                <w:rFonts w:ascii="Tahoma" w:hAnsi="Tahoma" w:cs="Tahoma"/>
                <w:color w:val="000000"/>
              </w:rPr>
            </w:pPr>
          </w:p>
        </w:tc>
      </w:tr>
      <w:tr w:rsidR="008D4EE5" w:rsidTr="002376BB">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8D4EE5" w:rsidRPr="006257CE" w:rsidRDefault="008D4EE5" w:rsidP="00A67771">
            <w:pPr>
              <w:pStyle w:val="AppendixTableText"/>
              <w:jc w:val="left"/>
              <w:rPr>
                <w:rFonts w:ascii="Tahoma" w:hAnsi="Tahoma" w:cs="Tahoma"/>
                <w:color w:val="000000"/>
              </w:rPr>
            </w:pPr>
            <w:r>
              <w:rPr>
                <w:rFonts w:ascii="Tahoma" w:hAnsi="Tahoma" w:cs="Tahoma"/>
                <w:color w:val="000000"/>
              </w:rPr>
              <w:t>Virtualisierungsrechte für Windows-Desktops</w:t>
            </w:r>
          </w:p>
        </w:tc>
        <w:tc>
          <w:tcPr>
            <w:tcW w:w="1620" w:type="dxa"/>
            <w:tcBorders>
              <w:top w:val="single" w:sz="6" w:space="0" w:color="auto"/>
              <w:left w:val="single" w:sz="6" w:space="0" w:color="auto"/>
              <w:bottom w:val="single" w:sz="6" w:space="0" w:color="auto"/>
              <w:right w:val="single" w:sz="6" w:space="0" w:color="auto"/>
            </w:tcBorders>
            <w:vAlign w:val="center"/>
          </w:tcPr>
          <w:p w:rsidR="008D4EE5" w:rsidRPr="006257CE" w:rsidRDefault="008D4EE5" w:rsidP="00A67771">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8D4EE5" w:rsidRPr="006257CE" w:rsidRDefault="008D4EE5" w:rsidP="00A67771">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rsidR="008D4EE5" w:rsidRPr="006257CE" w:rsidRDefault="008D4EE5" w:rsidP="00A67771">
            <w:pPr>
              <w:pStyle w:val="AppendixTableText"/>
              <w:rPr>
                <w:rFonts w:ascii="Tahoma" w:hAnsi="Tahoma" w:cs="Tahoma"/>
                <w:color w:val="000000"/>
              </w:rPr>
            </w:pPr>
          </w:p>
        </w:tc>
        <w:tc>
          <w:tcPr>
            <w:tcW w:w="1386" w:type="dxa"/>
            <w:tcBorders>
              <w:top w:val="single" w:sz="6" w:space="0" w:color="auto"/>
              <w:left w:val="single" w:sz="6" w:space="0" w:color="auto"/>
              <w:bottom w:val="single" w:sz="6" w:space="0" w:color="auto"/>
              <w:right w:val="single" w:sz="4" w:space="0" w:color="auto"/>
            </w:tcBorders>
            <w:vAlign w:val="center"/>
          </w:tcPr>
          <w:p w:rsidR="008D4EE5" w:rsidRPr="006257CE" w:rsidRDefault="008D4EE5" w:rsidP="00A67771">
            <w:pPr>
              <w:pStyle w:val="AppendixTableText"/>
              <w:spacing w:before="120"/>
              <w:rPr>
                <w:rFonts w:ascii="Tahoma" w:hAnsi="Tahoma" w:cs="Tahoma"/>
                <w:color w:val="000000"/>
              </w:rPr>
            </w:pPr>
            <w:r>
              <w:rPr>
                <w:rFonts w:ascii="Tahoma" w:hAnsi="Tahoma" w:cs="Tahoma"/>
                <w:color w:val="000000"/>
              </w:rPr>
              <w:t>Ja</w:t>
            </w:r>
          </w:p>
        </w:tc>
        <w:tc>
          <w:tcPr>
            <w:tcW w:w="1406" w:type="dxa"/>
            <w:tcBorders>
              <w:top w:val="single" w:sz="6" w:space="0" w:color="auto"/>
              <w:left w:val="single" w:sz="6" w:space="0" w:color="auto"/>
              <w:bottom w:val="single" w:sz="6" w:space="0" w:color="auto"/>
              <w:right w:val="single" w:sz="4" w:space="0" w:color="auto"/>
            </w:tcBorders>
            <w:vAlign w:val="center"/>
          </w:tcPr>
          <w:p w:rsidR="008D4EE5" w:rsidRPr="006257CE" w:rsidRDefault="008D4EE5" w:rsidP="00A67771">
            <w:pPr>
              <w:pStyle w:val="AppendixTableText"/>
              <w:spacing w:before="120"/>
              <w:rPr>
                <w:rFonts w:ascii="Tahoma" w:hAnsi="Tahoma" w:cs="Tahoma"/>
                <w:color w:val="000000"/>
              </w:rPr>
            </w:pPr>
          </w:p>
        </w:tc>
      </w:tr>
      <w:tr w:rsidR="008D4EE5" w:rsidTr="002376BB">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8D4EE5" w:rsidRPr="006257CE" w:rsidRDefault="008D4EE5" w:rsidP="00A67771">
            <w:pPr>
              <w:pStyle w:val="AppendixTableText"/>
              <w:jc w:val="left"/>
              <w:rPr>
                <w:rFonts w:ascii="Tahoma" w:hAnsi="Tahoma" w:cs="Tahoma"/>
                <w:color w:val="000000"/>
              </w:rPr>
            </w:pPr>
            <w:r>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rsidR="008D4EE5" w:rsidRPr="006257CE" w:rsidRDefault="008D4EE5" w:rsidP="00A67771">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8D4EE5" w:rsidRPr="006257CE" w:rsidRDefault="008D4EE5" w:rsidP="00A67771">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rsidR="008D4EE5" w:rsidRPr="006257CE" w:rsidRDefault="008D4EE5" w:rsidP="00A67771">
            <w:pPr>
              <w:pStyle w:val="AppendixTableText"/>
              <w:rPr>
                <w:rFonts w:ascii="Tahoma" w:hAnsi="Tahoma" w:cs="Tahoma"/>
                <w:color w:val="000000"/>
              </w:rPr>
            </w:pPr>
          </w:p>
        </w:tc>
        <w:tc>
          <w:tcPr>
            <w:tcW w:w="1386" w:type="dxa"/>
            <w:tcBorders>
              <w:top w:val="single" w:sz="6" w:space="0" w:color="auto"/>
              <w:left w:val="single" w:sz="6" w:space="0" w:color="auto"/>
              <w:bottom w:val="single" w:sz="6" w:space="0" w:color="auto"/>
              <w:right w:val="single" w:sz="4" w:space="0" w:color="auto"/>
            </w:tcBorders>
            <w:vAlign w:val="center"/>
          </w:tcPr>
          <w:p w:rsidR="008D4EE5" w:rsidRPr="006257CE" w:rsidRDefault="008D4EE5" w:rsidP="00A67771">
            <w:pPr>
              <w:pStyle w:val="AppendixTableText"/>
              <w:spacing w:before="120"/>
              <w:rPr>
                <w:rFonts w:ascii="Tahoma" w:hAnsi="Tahoma" w:cs="Tahoma"/>
                <w:color w:val="000000"/>
              </w:rPr>
            </w:pPr>
            <w:r>
              <w:rPr>
                <w:rFonts w:ascii="Tahoma" w:hAnsi="Tahoma" w:cs="Tahoma"/>
                <w:color w:val="000000"/>
              </w:rPr>
              <w:t>Ja</w:t>
            </w:r>
          </w:p>
        </w:tc>
        <w:tc>
          <w:tcPr>
            <w:tcW w:w="1406" w:type="dxa"/>
            <w:tcBorders>
              <w:top w:val="single" w:sz="6" w:space="0" w:color="auto"/>
              <w:left w:val="single" w:sz="6" w:space="0" w:color="auto"/>
              <w:bottom w:val="single" w:sz="6" w:space="0" w:color="auto"/>
              <w:right w:val="single" w:sz="4" w:space="0" w:color="auto"/>
            </w:tcBorders>
            <w:vAlign w:val="center"/>
          </w:tcPr>
          <w:p w:rsidR="008D4EE5" w:rsidRPr="006257CE" w:rsidRDefault="008D4EE5" w:rsidP="00A67771">
            <w:pPr>
              <w:pStyle w:val="AppendixTableText"/>
              <w:spacing w:before="120"/>
              <w:rPr>
                <w:rFonts w:ascii="Tahoma" w:hAnsi="Tahoma" w:cs="Tahoma"/>
                <w:color w:val="000000"/>
              </w:rPr>
            </w:pPr>
          </w:p>
        </w:tc>
      </w:tr>
      <w:tr w:rsidR="008D4EE5" w:rsidTr="002376BB">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8D4EE5" w:rsidRDefault="008D4EE5" w:rsidP="00A67771">
            <w:pPr>
              <w:pStyle w:val="AppendixTableText"/>
              <w:jc w:val="left"/>
              <w:rPr>
                <w:rFonts w:ascii="Tahoma" w:hAnsi="Tahoma" w:cs="Tahoma"/>
              </w:rPr>
            </w:pPr>
            <w:r>
              <w:rPr>
                <w:rFonts w:ascii="Tahoma" w:hAnsi="Tahoma" w:cs="Tahoma"/>
              </w:rPr>
              <w:t>Step Up-Lizenz</w:t>
            </w:r>
          </w:p>
        </w:tc>
        <w:tc>
          <w:tcPr>
            <w:tcW w:w="162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53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r>
              <w:rPr>
                <w:rFonts w:ascii="Tahoma" w:hAnsi="Tahoma" w:cs="Tahoma"/>
              </w:rPr>
              <w:t>Nein</w:t>
            </w:r>
          </w:p>
        </w:tc>
        <w:tc>
          <w:tcPr>
            <w:tcW w:w="1440"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38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p>
        </w:tc>
        <w:tc>
          <w:tcPr>
            <w:tcW w:w="140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p>
        </w:tc>
      </w:tr>
      <w:tr w:rsidR="008D4EE5" w:rsidTr="002376BB">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8D4EE5" w:rsidRDefault="008D4EE5" w:rsidP="00A67771">
            <w:pPr>
              <w:pStyle w:val="AppendixTableText"/>
              <w:jc w:val="left"/>
              <w:rPr>
                <w:rFonts w:ascii="Tahoma" w:hAnsi="Tahoma" w:cs="Tahoma"/>
              </w:rPr>
            </w:pPr>
            <w:r>
              <w:rPr>
                <w:rFonts w:ascii="Tahoma" w:hAnsi="Tahoma" w:cs="Tahoma"/>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p>
        </w:tc>
        <w:tc>
          <w:tcPr>
            <w:tcW w:w="138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0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p>
        </w:tc>
      </w:tr>
      <w:tr w:rsidR="008D4EE5" w:rsidTr="002376BB">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8D4EE5" w:rsidRDefault="008D4EE5" w:rsidP="00A67771">
            <w:pPr>
              <w:pStyle w:val="AppendixTableText"/>
              <w:jc w:val="left"/>
              <w:rPr>
                <w:rFonts w:ascii="Tahoma" w:hAnsi="Tahoma" w:cs="Tahoma"/>
              </w:rPr>
            </w:pPr>
            <w:r>
              <w:rPr>
                <w:rFonts w:ascii="Tahoma" w:hAnsi="Tahoma" w:cs="Tahoma"/>
              </w:rPr>
              <w:t>Windows Companion-Abonnementlizenz</w:t>
            </w:r>
          </w:p>
        </w:tc>
        <w:tc>
          <w:tcPr>
            <w:tcW w:w="162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D4EE5" w:rsidRDefault="008D4EE5" w:rsidP="00A67771">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p>
        </w:tc>
        <w:tc>
          <w:tcPr>
            <w:tcW w:w="138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r>
              <w:rPr>
                <w:rFonts w:ascii="Tahoma" w:hAnsi="Tahoma" w:cs="Tahoma"/>
              </w:rPr>
              <w:t>Ja</w:t>
            </w:r>
          </w:p>
        </w:tc>
        <w:tc>
          <w:tcPr>
            <w:tcW w:w="1406" w:type="dxa"/>
            <w:tcBorders>
              <w:top w:val="single" w:sz="6" w:space="0" w:color="auto"/>
              <w:left w:val="single" w:sz="6" w:space="0" w:color="auto"/>
              <w:bottom w:val="single" w:sz="6" w:space="0" w:color="auto"/>
              <w:right w:val="single" w:sz="4" w:space="0" w:color="auto"/>
            </w:tcBorders>
            <w:vAlign w:val="center"/>
          </w:tcPr>
          <w:p w:rsidR="008D4EE5" w:rsidRDefault="008D4EE5" w:rsidP="00A67771">
            <w:pPr>
              <w:pStyle w:val="AppendixTableText"/>
              <w:rPr>
                <w:rFonts w:ascii="Tahoma" w:hAnsi="Tahoma" w:cs="Tahoma"/>
              </w:rPr>
            </w:pPr>
          </w:p>
        </w:tc>
      </w:tr>
    </w:tbl>
    <w:p w:rsidR="008D4EE5" w:rsidRPr="009123CB" w:rsidRDefault="008D4EE5" w:rsidP="008A4BF2">
      <w:pPr>
        <w:pStyle w:val="AppendixBodyText"/>
        <w:ind w:right="180"/>
        <w:rPr>
          <w:lang w:val="de-DE"/>
        </w:rPr>
      </w:pPr>
      <w:r w:rsidRPr="009123CB">
        <w:rPr>
          <w:rFonts w:ascii="Tahoma" w:hAnsi="Tahoma" w:cs="Tahoma"/>
          <w:i/>
          <w:sz w:val="16"/>
          <w:szCs w:val="16"/>
          <w:lang w:val="de-DE"/>
        </w:rPr>
        <w:t>*„Ja“ im Diagramm bedeutet, Mitgliedschaft bei Software Assurance, Erwerb von Software Assurance für qualifizierende Produkte oder SA-Ausgaben für qualifizierende Produkte innerhalb dieses Pools oder Erwerb von Windows Intune (Pro</w:t>
      </w:r>
      <w:r w:rsidR="008A4BF2">
        <w:rPr>
          <w:rFonts w:ascii="Tahoma" w:hAnsi="Tahoma" w:cs="Tahoma"/>
          <w:i/>
          <w:sz w:val="16"/>
          <w:szCs w:val="16"/>
          <w:lang w:val="de-DE"/>
        </w:rPr>
        <w:t> </w:t>
      </w:r>
      <w:r w:rsidRPr="009123CB">
        <w:rPr>
          <w:rFonts w:ascii="Tahoma" w:hAnsi="Tahoma" w:cs="Tahoma"/>
          <w:i/>
          <w:sz w:val="16"/>
          <w:szCs w:val="16"/>
          <w:lang w:val="de-DE"/>
        </w:rPr>
        <w:t>Gerät)/qualifizierender Office 365 Suite würden den Kunden für diese Vergünstigung qualifizieren</w:t>
      </w:r>
      <w:r w:rsidR="006257A7">
        <w:rPr>
          <w:rFonts w:ascii="Tahoma" w:hAnsi="Tahoma" w:cs="Tahoma"/>
          <w:i/>
          <w:sz w:val="16"/>
          <w:szCs w:val="16"/>
          <w:lang w:val="de-DE"/>
        </w:rPr>
        <w:t xml:space="preserve">. </w:t>
      </w:r>
    </w:p>
    <w:p w:rsidR="008D4EE5" w:rsidRPr="009123CB" w:rsidRDefault="008D4EE5" w:rsidP="008D4EE5">
      <w:pPr>
        <w:pStyle w:val="AppendixBodyText"/>
        <w:ind w:right="180"/>
        <w:rPr>
          <w:lang w:val="de-DE"/>
        </w:rPr>
      </w:pPr>
      <w:r w:rsidRPr="009123CB">
        <w:rPr>
          <w:rFonts w:ascii="Tahoma" w:hAnsi="Tahoma" w:cs="Tahoma"/>
          <w:i/>
          <w:sz w:val="16"/>
          <w:szCs w:val="16"/>
          <w:lang w:val="de-DE"/>
        </w:rPr>
        <w:t>*</w:t>
      </w:r>
      <w:r w:rsidR="002376BB" w:rsidRPr="009123CB">
        <w:rPr>
          <w:rFonts w:ascii="Tahoma" w:hAnsi="Tahoma" w:cs="Tahoma"/>
          <w:i/>
          <w:sz w:val="16"/>
          <w:lang w:val="de-DE"/>
        </w:rPr>
        <w:t>*</w:t>
      </w:r>
      <w:r w:rsidRPr="009123CB">
        <w:rPr>
          <w:rFonts w:ascii="Tahoma" w:hAnsi="Tahoma" w:cs="Tahoma"/>
          <w:i/>
          <w:sz w:val="16"/>
          <w:szCs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r w:rsidR="006257A7">
        <w:rPr>
          <w:rFonts w:ascii="Tahoma" w:hAnsi="Tahoma" w:cs="Tahoma"/>
          <w:i/>
          <w:sz w:val="16"/>
          <w:szCs w:val="16"/>
          <w:lang w:val="de-DE"/>
        </w:rPr>
        <w:t xml:space="preserve">. </w:t>
      </w:r>
    </w:p>
    <w:p w:rsidR="008D4EE5" w:rsidRPr="009123CB" w:rsidRDefault="008D4EE5" w:rsidP="008D4EE5">
      <w:pPr>
        <w:pStyle w:val="AppendixBodyText"/>
        <w:spacing w:after="0"/>
        <w:rPr>
          <w:lang w:val="de-DE"/>
        </w:rPr>
      </w:pPr>
      <w:r w:rsidRPr="009123CB">
        <w:rPr>
          <w:rFonts w:ascii="Tahoma" w:hAnsi="Tahoma" w:cs="Tahoma"/>
          <w:i/>
          <w:sz w:val="16"/>
          <w:lang w:val="de-DE"/>
        </w:rPr>
        <w:t>***Grundsätzlich enthalten Abonnementangebote mit Softwarekomponenten, die aus versionierter Software bestehen, Rechte für neue Versionen für diese Komponenten</w:t>
      </w:r>
      <w:r w:rsidR="006257A7">
        <w:rPr>
          <w:rFonts w:ascii="Tahoma" w:hAnsi="Tahoma" w:cs="Tahoma"/>
          <w:i/>
          <w:sz w:val="16"/>
          <w:lang w:val="de-DE"/>
        </w:rPr>
        <w:t xml:space="preserve">. </w:t>
      </w:r>
    </w:p>
    <w:p w:rsidR="008D4EE5" w:rsidRPr="009123CB" w:rsidRDefault="008D4EE5" w:rsidP="008D4EE5">
      <w:pPr>
        <w:pStyle w:val="AppendixBodyText"/>
        <w:spacing w:after="0"/>
        <w:rPr>
          <w:lang w:val="de-DE"/>
        </w:rPr>
      </w:pPr>
      <w:r w:rsidRPr="002376BB">
        <w:rPr>
          <w:rFonts w:ascii="Tahoma" w:hAnsi="Tahoma" w:cs="Tahoma"/>
          <w:sz w:val="16"/>
          <w:szCs w:val="16"/>
          <w:vertAlign w:val="superscript"/>
          <w:lang w:val="de-DE"/>
        </w:rPr>
        <w:t>1</w:t>
      </w:r>
      <w:r w:rsidRPr="009123CB">
        <w:rPr>
          <w:rFonts w:ascii="Tahoma" w:hAnsi="Tahoma" w:cs="Tahoma"/>
          <w:i/>
          <w:sz w:val="16"/>
          <w:lang w:val="de-DE"/>
        </w:rPr>
        <w:t>Keine Software Assurance-Vergünstigung für Windows Embedded 8-Produkte</w:t>
      </w:r>
      <w:r w:rsidR="006257A7">
        <w:rPr>
          <w:rFonts w:ascii="Tahoma" w:hAnsi="Tahoma" w:cs="Tahoma"/>
          <w:i/>
          <w:sz w:val="16"/>
          <w:lang w:val="de-DE"/>
        </w:rPr>
        <w:t xml:space="preserve">. </w:t>
      </w:r>
    </w:p>
    <w:p w:rsidR="008D4EE5" w:rsidRPr="009123CB" w:rsidRDefault="008D4EE5" w:rsidP="008D4EE5">
      <w:pPr>
        <w:pStyle w:val="AppendixBodyText"/>
        <w:spacing w:after="0"/>
        <w:rPr>
          <w:lang w:val="de-DE"/>
        </w:rPr>
      </w:pPr>
      <w:r w:rsidRPr="002376BB">
        <w:rPr>
          <w:rFonts w:ascii="Tahoma" w:hAnsi="Tahoma" w:cs="Tahoma"/>
          <w:sz w:val="16"/>
          <w:szCs w:val="16"/>
          <w:vertAlign w:val="superscript"/>
          <w:lang w:val="de-DE"/>
        </w:rPr>
        <w:t>2</w:t>
      </w:r>
      <w:r w:rsidRPr="009123CB">
        <w:rPr>
          <w:rFonts w:ascii="Tahoma" w:hAnsi="Tahoma" w:cs="Tahoma"/>
          <w:i/>
          <w:sz w:val="16"/>
          <w:lang w:val="de-DE"/>
        </w:rPr>
        <w:t>Software Assurance für Windows 8 Embedded-Produkte lässt lokale Virtualisierungsrechte zu, aber nicht den Zugriff auf virtualisierte Remoteinstanzen der Software</w:t>
      </w:r>
      <w:r w:rsidR="006257A7">
        <w:rPr>
          <w:rFonts w:ascii="Tahoma" w:hAnsi="Tahoma" w:cs="Tahoma"/>
          <w:i/>
          <w:sz w:val="16"/>
          <w:lang w:val="de-DE"/>
        </w:rPr>
        <w:t xml:space="preserve">. </w:t>
      </w:r>
    </w:p>
    <w:p w:rsidR="008D4EE5" w:rsidRPr="009123CB" w:rsidRDefault="008D4EE5" w:rsidP="008D4EE5">
      <w:pPr>
        <w:rPr>
          <w:lang w:val="de-DE"/>
        </w:rPr>
      </w:pPr>
      <w:r w:rsidRPr="009123CB">
        <w:rPr>
          <w:rFonts w:cs="Tahoma"/>
          <w:lang w:val="de-DE"/>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8D4EE5" w:rsidRPr="00FB51BA" w:rsidTr="00A67771">
        <w:trPr>
          <w:trHeight w:val="60"/>
        </w:trPr>
        <w:tc>
          <w:tcPr>
            <w:tcW w:w="8280" w:type="dxa"/>
            <w:shd w:val="clear" w:color="auto" w:fill="FFCC99"/>
            <w:vAlign w:val="center"/>
          </w:tcPr>
          <w:p w:rsidR="008D4EE5" w:rsidRPr="009123CB" w:rsidRDefault="008D4EE5" w:rsidP="00A67771">
            <w:pPr>
              <w:pStyle w:val="AppendixTableHeadings"/>
              <w:rPr>
                <w:rFonts w:ascii="Tahoma" w:hAnsi="Tahoma" w:cs="Tahoma"/>
                <w:sz w:val="20"/>
                <w:szCs w:val="20"/>
                <w:lang w:val="de-DE"/>
              </w:rPr>
            </w:pPr>
            <w:r w:rsidRPr="009123CB">
              <w:rPr>
                <w:rFonts w:ascii="Tahoma" w:hAnsi="Tahoma" w:cs="Tahoma"/>
                <w:sz w:val="20"/>
                <w:szCs w:val="20"/>
                <w:lang w:val="de-DE"/>
              </w:rPr>
              <w:t>Produkte aus dem Office System-Anwendungs-Pool</w:t>
            </w:r>
          </w:p>
        </w:tc>
      </w:tr>
      <w:tr w:rsidR="008D4EE5" w:rsidRPr="001748D9" w:rsidTr="00A67771">
        <w:trPr>
          <w:trHeight w:val="438"/>
        </w:trPr>
        <w:tc>
          <w:tcPr>
            <w:tcW w:w="8280" w:type="dxa"/>
            <w:vAlign w:val="center"/>
          </w:tcPr>
          <w:p w:rsidR="008D4EE5" w:rsidRPr="001614A1" w:rsidRDefault="008D4EE5" w:rsidP="00A67771">
            <w:pPr>
              <w:spacing w:line="240" w:lineRule="atLeast"/>
              <w:rPr>
                <w:lang w:val="de-DE"/>
              </w:rPr>
            </w:pPr>
            <w:r w:rsidRPr="001614A1">
              <w:rPr>
                <w:rFonts w:cs="Tahoma"/>
                <w:color w:val="000000"/>
                <w:szCs w:val="18"/>
                <w:lang w:val="de-DE"/>
              </w:rPr>
              <w:t>Office Standard 2013</w:t>
            </w:r>
          </w:p>
          <w:p w:rsidR="008D4EE5" w:rsidRPr="001614A1" w:rsidRDefault="008D4EE5" w:rsidP="00A67771">
            <w:pPr>
              <w:spacing w:line="240" w:lineRule="atLeast"/>
              <w:rPr>
                <w:lang w:val="de-DE"/>
              </w:rPr>
            </w:pPr>
            <w:r w:rsidRPr="001614A1">
              <w:rPr>
                <w:rFonts w:cs="Tahoma"/>
                <w:color w:val="000000"/>
                <w:szCs w:val="18"/>
                <w:lang w:val="de-DE"/>
              </w:rPr>
              <w:t xml:space="preserve">Office Professional Plus 2013 </w:t>
            </w:r>
          </w:p>
          <w:p w:rsidR="008D4EE5" w:rsidRPr="001614A1" w:rsidRDefault="008D4EE5" w:rsidP="00A67771">
            <w:pPr>
              <w:spacing w:line="240" w:lineRule="atLeast"/>
              <w:rPr>
                <w:lang w:val="de-DE"/>
              </w:rPr>
            </w:pPr>
            <w:r w:rsidRPr="001614A1">
              <w:rPr>
                <w:rFonts w:cs="Tahoma"/>
                <w:color w:val="000000"/>
                <w:szCs w:val="18"/>
                <w:lang w:val="de-DE"/>
              </w:rPr>
              <w:t>Project Standard 2013</w:t>
            </w:r>
          </w:p>
          <w:p w:rsidR="008D4EE5" w:rsidRPr="001614A1" w:rsidRDefault="008D4EE5" w:rsidP="00A67771">
            <w:pPr>
              <w:spacing w:line="240" w:lineRule="atLeast"/>
              <w:rPr>
                <w:lang w:val="de-DE"/>
              </w:rPr>
            </w:pPr>
            <w:r w:rsidRPr="001614A1">
              <w:rPr>
                <w:rFonts w:cs="Tahoma"/>
                <w:color w:val="000000"/>
                <w:szCs w:val="18"/>
                <w:lang w:val="de-DE"/>
              </w:rPr>
              <w:t>Project Professional 2013</w:t>
            </w:r>
          </w:p>
          <w:p w:rsidR="008D4EE5" w:rsidRPr="006257A7" w:rsidRDefault="008D4EE5" w:rsidP="00A67771">
            <w:pPr>
              <w:spacing w:line="240" w:lineRule="atLeast"/>
              <w:rPr>
                <w:lang w:val="de-DE"/>
              </w:rPr>
            </w:pPr>
            <w:r w:rsidRPr="006257A7">
              <w:rPr>
                <w:rFonts w:cs="Tahoma"/>
                <w:color w:val="000000"/>
                <w:szCs w:val="18"/>
                <w:lang w:val="de-DE"/>
              </w:rPr>
              <w:t>Visio</w:t>
            </w:r>
            <w:r w:rsidR="0069040B" w:rsidRPr="006257A7">
              <w:rPr>
                <w:rFonts w:cs="Tahoma"/>
                <w:color w:val="000000"/>
                <w:szCs w:val="18"/>
                <w:vertAlign w:val="superscript"/>
                <w:lang w:val="de-DE"/>
              </w:rPr>
              <w:t>®</w:t>
            </w:r>
            <w:r w:rsidRPr="006257A7">
              <w:rPr>
                <w:rFonts w:cs="Tahoma"/>
                <w:color w:val="000000"/>
                <w:szCs w:val="18"/>
                <w:lang w:val="de-DE"/>
              </w:rPr>
              <w:t xml:space="preserve"> Standard 2013</w:t>
            </w:r>
          </w:p>
          <w:p w:rsidR="008D4EE5" w:rsidRPr="006257A7" w:rsidRDefault="008D4EE5" w:rsidP="00A67771">
            <w:pPr>
              <w:spacing w:line="240" w:lineRule="atLeast"/>
              <w:rPr>
                <w:lang w:val="de-DE"/>
              </w:rPr>
            </w:pPr>
            <w:r w:rsidRPr="006257A7">
              <w:rPr>
                <w:rFonts w:cs="Tahoma"/>
                <w:color w:val="000000"/>
                <w:szCs w:val="18"/>
                <w:lang w:val="de-DE"/>
              </w:rPr>
              <w:t>Visio</w:t>
            </w:r>
            <w:r w:rsidR="0069040B" w:rsidRPr="006257A7">
              <w:rPr>
                <w:rFonts w:cs="Tahoma"/>
                <w:color w:val="000000"/>
                <w:szCs w:val="18"/>
                <w:vertAlign w:val="superscript"/>
                <w:lang w:val="de-DE"/>
              </w:rPr>
              <w:t>®</w:t>
            </w:r>
            <w:r w:rsidRPr="006257A7">
              <w:rPr>
                <w:rFonts w:cs="Tahoma"/>
                <w:color w:val="000000"/>
                <w:szCs w:val="18"/>
                <w:lang w:val="de-DE"/>
              </w:rPr>
              <w:t xml:space="preserve"> Professional 2013</w:t>
            </w:r>
          </w:p>
          <w:p w:rsidR="008D4EE5" w:rsidRPr="006257A7" w:rsidRDefault="008D4EE5" w:rsidP="00A67771">
            <w:pPr>
              <w:spacing w:line="240" w:lineRule="atLeast"/>
              <w:rPr>
                <w:lang w:val="de-DE"/>
              </w:rPr>
            </w:pPr>
            <w:r w:rsidRPr="006257A7">
              <w:rPr>
                <w:rFonts w:cs="Tahoma"/>
                <w:color w:val="000000"/>
                <w:szCs w:val="18"/>
                <w:lang w:val="de-DE"/>
              </w:rPr>
              <w:t>Access 2013</w:t>
            </w:r>
          </w:p>
          <w:p w:rsidR="008D4EE5" w:rsidRPr="006257A7" w:rsidRDefault="008D4EE5" w:rsidP="00A67771">
            <w:pPr>
              <w:spacing w:line="240" w:lineRule="atLeast"/>
              <w:rPr>
                <w:lang w:val="de-DE"/>
              </w:rPr>
            </w:pPr>
            <w:r w:rsidRPr="006257A7">
              <w:rPr>
                <w:rFonts w:cs="Tahoma"/>
                <w:color w:val="000000"/>
                <w:szCs w:val="18"/>
                <w:lang w:val="de-DE"/>
              </w:rPr>
              <w:t xml:space="preserve">Excel 2013 </w:t>
            </w:r>
          </w:p>
          <w:p w:rsidR="008D4EE5" w:rsidRPr="006257A7" w:rsidRDefault="008D4EE5" w:rsidP="00A67771">
            <w:pPr>
              <w:spacing w:line="240" w:lineRule="atLeast"/>
              <w:rPr>
                <w:lang w:val="de-DE"/>
              </w:rPr>
            </w:pPr>
            <w:r w:rsidRPr="006257A7">
              <w:rPr>
                <w:rFonts w:cs="Tahoma"/>
                <w:color w:val="000000"/>
                <w:szCs w:val="18"/>
                <w:lang w:val="de-DE"/>
              </w:rPr>
              <w:t>InfoPath</w:t>
            </w:r>
            <w:r w:rsidR="0069040B" w:rsidRPr="006257A7">
              <w:rPr>
                <w:rFonts w:cs="Tahoma"/>
                <w:color w:val="000000"/>
                <w:szCs w:val="18"/>
                <w:vertAlign w:val="superscript"/>
                <w:lang w:val="de-DE"/>
              </w:rPr>
              <w:t>®</w:t>
            </w:r>
            <w:r w:rsidRPr="006257A7">
              <w:rPr>
                <w:rFonts w:cs="Tahoma"/>
                <w:color w:val="000000"/>
                <w:szCs w:val="18"/>
                <w:lang w:val="de-DE"/>
              </w:rPr>
              <w:t xml:space="preserve"> 2013</w:t>
            </w:r>
          </w:p>
          <w:p w:rsidR="008D4EE5" w:rsidRPr="006257A7" w:rsidRDefault="008D4EE5" w:rsidP="00A67771">
            <w:pPr>
              <w:spacing w:line="240" w:lineRule="atLeast"/>
              <w:rPr>
                <w:lang w:val="de-DE"/>
              </w:rPr>
            </w:pPr>
            <w:r w:rsidRPr="006257A7">
              <w:rPr>
                <w:rFonts w:cs="Tahoma"/>
                <w:color w:val="000000"/>
                <w:szCs w:val="18"/>
                <w:lang w:val="de-DE"/>
              </w:rPr>
              <w:t>Lync 2013</w:t>
            </w:r>
          </w:p>
          <w:p w:rsidR="008D4EE5" w:rsidRPr="006257A7" w:rsidRDefault="008D4EE5" w:rsidP="00A67771">
            <w:pPr>
              <w:spacing w:line="240" w:lineRule="atLeast"/>
              <w:rPr>
                <w:lang w:val="de-DE"/>
              </w:rPr>
            </w:pPr>
            <w:r w:rsidRPr="006257A7">
              <w:rPr>
                <w:rFonts w:cs="Tahoma"/>
                <w:color w:val="000000"/>
                <w:szCs w:val="18"/>
                <w:lang w:val="de-DE"/>
              </w:rPr>
              <w:t>OneNote™ 2013</w:t>
            </w:r>
          </w:p>
          <w:p w:rsidR="008D4EE5" w:rsidRPr="006257A7" w:rsidRDefault="008D4EE5" w:rsidP="00A67771">
            <w:pPr>
              <w:spacing w:line="240" w:lineRule="atLeast"/>
              <w:rPr>
                <w:lang w:val="de-DE"/>
              </w:rPr>
            </w:pPr>
            <w:r w:rsidRPr="006257A7">
              <w:rPr>
                <w:rFonts w:cs="Tahoma"/>
                <w:color w:val="000000"/>
                <w:szCs w:val="18"/>
                <w:lang w:val="de-DE"/>
              </w:rPr>
              <w:t>Outlook</w:t>
            </w:r>
            <w:r w:rsidR="0069040B" w:rsidRPr="006257A7">
              <w:rPr>
                <w:rFonts w:cs="Tahoma"/>
                <w:color w:val="000000"/>
                <w:szCs w:val="18"/>
                <w:vertAlign w:val="superscript"/>
                <w:lang w:val="de-DE"/>
              </w:rPr>
              <w:t>®</w:t>
            </w:r>
            <w:r w:rsidRPr="006257A7">
              <w:rPr>
                <w:rFonts w:cs="Tahoma"/>
                <w:color w:val="000000"/>
                <w:szCs w:val="18"/>
                <w:lang w:val="de-DE"/>
              </w:rPr>
              <w:t xml:space="preserve"> 2013</w:t>
            </w:r>
          </w:p>
          <w:p w:rsidR="008D4EE5" w:rsidRPr="0062435A" w:rsidRDefault="008D4EE5" w:rsidP="00A67771">
            <w:pPr>
              <w:spacing w:line="240" w:lineRule="atLeast"/>
            </w:pPr>
            <w:r>
              <w:rPr>
                <w:rFonts w:cs="Tahoma"/>
                <w:color w:val="000000"/>
                <w:szCs w:val="18"/>
              </w:rPr>
              <w:t>PowerPoint</w:t>
            </w:r>
            <w:r w:rsidR="0069040B" w:rsidRPr="0069040B">
              <w:rPr>
                <w:rFonts w:cs="Tahoma"/>
                <w:color w:val="000000"/>
                <w:szCs w:val="18"/>
                <w:vertAlign w:val="superscript"/>
              </w:rPr>
              <w:t>®</w:t>
            </w:r>
            <w:r>
              <w:rPr>
                <w:rFonts w:cs="Tahoma"/>
                <w:color w:val="000000"/>
                <w:szCs w:val="18"/>
              </w:rPr>
              <w:t xml:space="preserve"> 2013</w:t>
            </w:r>
          </w:p>
          <w:p w:rsidR="008D4EE5" w:rsidRPr="0062435A" w:rsidRDefault="008D4EE5" w:rsidP="00A67771">
            <w:pPr>
              <w:spacing w:line="240" w:lineRule="atLeast"/>
            </w:pPr>
            <w:r>
              <w:rPr>
                <w:rFonts w:cs="Tahoma"/>
                <w:color w:val="000000"/>
                <w:szCs w:val="18"/>
              </w:rPr>
              <w:t>Publisher 2013</w:t>
            </w:r>
          </w:p>
          <w:p w:rsidR="008D4EE5" w:rsidRPr="0062435A" w:rsidRDefault="008D4EE5" w:rsidP="00A67771">
            <w:pPr>
              <w:spacing w:line="240" w:lineRule="atLeast"/>
            </w:pPr>
            <w:r>
              <w:rPr>
                <w:rFonts w:cs="Tahoma"/>
                <w:color w:val="000000"/>
                <w:szCs w:val="18"/>
              </w:rPr>
              <w:t>Word 2013</w:t>
            </w:r>
          </w:p>
          <w:p w:rsidR="008D4EE5" w:rsidRPr="008775F2" w:rsidRDefault="008D4EE5" w:rsidP="00A67771">
            <w:pPr>
              <w:spacing w:line="240" w:lineRule="atLeast"/>
            </w:pPr>
            <w:r w:rsidRPr="008775F2">
              <w:rPr>
                <w:rFonts w:cs="Tahoma"/>
                <w:color w:val="000000"/>
                <w:szCs w:val="18"/>
              </w:rPr>
              <w:t xml:space="preserve">Office für Mac Standard 2011 </w:t>
            </w:r>
          </w:p>
          <w:p w:rsidR="008D4EE5" w:rsidRPr="009123CB" w:rsidRDefault="008D4EE5" w:rsidP="00A67771">
            <w:pPr>
              <w:spacing w:line="240" w:lineRule="atLeast"/>
              <w:rPr>
                <w:lang w:val="de-DE"/>
              </w:rPr>
            </w:pPr>
            <w:r w:rsidRPr="009123CB">
              <w:rPr>
                <w:rFonts w:cs="Tahoma"/>
                <w:color w:val="000000"/>
                <w:szCs w:val="18"/>
                <w:lang w:val="de-DE"/>
              </w:rPr>
              <w:t>Lync für Mac 2011</w:t>
            </w:r>
          </w:p>
          <w:p w:rsidR="008D4EE5" w:rsidRPr="009123CB" w:rsidRDefault="008D4EE5" w:rsidP="00A67771">
            <w:pPr>
              <w:spacing w:line="240" w:lineRule="atLeast"/>
              <w:rPr>
                <w:lang w:val="de-DE"/>
              </w:rPr>
            </w:pPr>
            <w:r w:rsidRPr="009123CB">
              <w:rPr>
                <w:rFonts w:cs="Tahoma"/>
                <w:color w:val="000000"/>
                <w:szCs w:val="18"/>
                <w:lang w:val="de-DE"/>
              </w:rPr>
              <w:t>Outlook für Mac 2011</w:t>
            </w:r>
          </w:p>
          <w:p w:rsidR="008D4EE5" w:rsidRPr="009123CB" w:rsidRDefault="008D4EE5" w:rsidP="00A67771">
            <w:pPr>
              <w:spacing w:line="240" w:lineRule="atLeast"/>
              <w:rPr>
                <w:lang w:val="de-DE"/>
              </w:rPr>
            </w:pPr>
            <w:r w:rsidRPr="009123CB">
              <w:rPr>
                <w:rFonts w:cs="Tahoma"/>
                <w:color w:val="000000"/>
                <w:szCs w:val="18"/>
                <w:lang w:val="de-DE"/>
              </w:rPr>
              <w:t>PowerPoint für Mac 2011</w:t>
            </w:r>
          </w:p>
          <w:p w:rsidR="008D4EE5" w:rsidRPr="009123CB" w:rsidRDefault="008D4EE5" w:rsidP="00A67771">
            <w:pPr>
              <w:spacing w:line="240" w:lineRule="atLeast"/>
              <w:rPr>
                <w:lang w:val="de-DE"/>
              </w:rPr>
            </w:pPr>
            <w:r w:rsidRPr="009123CB">
              <w:rPr>
                <w:rFonts w:cs="Tahoma"/>
                <w:color w:val="000000"/>
                <w:szCs w:val="18"/>
                <w:lang w:val="de-DE"/>
              </w:rPr>
              <w:t>Excel für Mac 2011</w:t>
            </w:r>
          </w:p>
          <w:p w:rsidR="008D4EE5" w:rsidRPr="001748D9" w:rsidRDefault="008D4EE5" w:rsidP="00A67771">
            <w:pPr>
              <w:spacing w:line="240" w:lineRule="atLeast"/>
              <w:rPr>
                <w:rFonts w:cs="Tahoma"/>
                <w:color w:val="000000"/>
                <w:szCs w:val="18"/>
                <w:lang w:val="de-DE"/>
              </w:rPr>
            </w:pPr>
            <w:r w:rsidRPr="001748D9">
              <w:rPr>
                <w:rFonts w:cs="Tahoma"/>
                <w:color w:val="000000"/>
                <w:szCs w:val="18"/>
                <w:lang w:val="de-DE"/>
              </w:rPr>
              <w:t>Word für Mac 2011</w:t>
            </w:r>
          </w:p>
        </w:tc>
      </w:tr>
    </w:tbl>
    <w:p w:rsidR="008D4EE5" w:rsidRPr="009123CB" w:rsidRDefault="008D4EE5" w:rsidP="008D4EE5">
      <w:pPr>
        <w:pStyle w:val="AppendixBodyText"/>
        <w:spacing w:after="0"/>
        <w:ind w:firstLine="550"/>
        <w:rPr>
          <w:lang w:val="de-DE"/>
        </w:rPr>
      </w:pPr>
      <w:r w:rsidRPr="009123CB">
        <w:rPr>
          <w:rFonts w:ascii="Tahoma" w:hAnsi="Tahoma" w:cs="Tahoma"/>
          <w:b/>
          <w:i/>
          <w:sz w:val="16"/>
          <w:szCs w:val="16"/>
          <w:lang w:val="de-DE"/>
        </w:rPr>
        <w:t>Anmerkung:</w:t>
      </w:r>
      <w:r w:rsidRPr="009123CB">
        <w:rPr>
          <w:rFonts w:ascii="Tahoma" w:hAnsi="Tahoma" w:cs="Tahoma"/>
          <w:i/>
          <w:sz w:val="16"/>
          <w:szCs w:val="16"/>
          <w:lang w:val="de-DE"/>
        </w:rPr>
        <w:t xml:space="preserve"> Änderungen der Liste der Produkte aus dem Office System-Anwendungs-Pool sind vorbehalten</w:t>
      </w:r>
      <w:r w:rsidR="006257A7">
        <w:rPr>
          <w:rFonts w:ascii="Tahoma" w:hAnsi="Tahoma" w:cs="Tahoma"/>
          <w:i/>
          <w:sz w:val="16"/>
          <w:szCs w:val="16"/>
          <w:lang w:val="de-DE"/>
        </w:rPr>
        <w:t xml:space="preserve">. </w:t>
      </w:r>
    </w:p>
    <w:p w:rsidR="008D4EE5" w:rsidRPr="009123CB" w:rsidRDefault="008D4EE5" w:rsidP="008D4EE5">
      <w:pPr>
        <w:pStyle w:val="AppendixBodyText"/>
        <w:spacing w:after="0"/>
        <w:rPr>
          <w:lang w:val="de-DE"/>
        </w:rPr>
      </w:pPr>
    </w:p>
    <w:p w:rsidR="008D4EE5" w:rsidRPr="009123CB" w:rsidRDefault="008D4EE5" w:rsidP="008D4EE5">
      <w:pPr>
        <w:pStyle w:val="Heading2"/>
        <w:ind w:left="0"/>
        <w:rPr>
          <w:lang w:val="de-DE"/>
        </w:rPr>
      </w:pPr>
      <w:bookmarkStart w:id="721" w:name="_Toc336338228"/>
      <w:bookmarkStart w:id="722" w:name="_Toc363998966"/>
      <w:r w:rsidRPr="009123CB">
        <w:rPr>
          <w:rFonts w:ascii="Tahoma" w:hAnsi="Tahoma"/>
          <w:lang w:val="de-DE"/>
        </w:rPr>
        <w:t>Rechte für neue Versionen</w:t>
      </w:r>
      <w:bookmarkEnd w:id="721"/>
      <w:bookmarkEnd w:id="722"/>
    </w:p>
    <w:p w:rsidR="008D4EE5" w:rsidRPr="009123CB" w:rsidRDefault="008D4EE5" w:rsidP="008D4EE5">
      <w:pPr>
        <w:rPr>
          <w:lang w:val="de-DE"/>
        </w:rPr>
      </w:pPr>
    </w:p>
    <w:p w:rsidR="008D4EE5" w:rsidRPr="009123CB" w:rsidRDefault="008D4EE5" w:rsidP="002376BB">
      <w:pPr>
        <w:pStyle w:val="AppendixBodyText"/>
        <w:spacing w:after="0"/>
        <w:rPr>
          <w:lang w:val="de-DE"/>
        </w:rPr>
      </w:pPr>
      <w:r w:rsidRPr="009123CB">
        <w:rPr>
          <w:rFonts w:ascii="Tahoma" w:hAnsi="Tahoma" w:cs="Tahoma"/>
          <w:color w:val="000000"/>
          <w:sz w:val="18"/>
          <w:lang w:val="de-DE"/>
        </w:rPr>
        <w:t>Mit Software Assurance sind Kunden berechtigt, auf neue Versionen lizenzierter Software upzugraden, die während ihrer Software Assurance-Laufzeit zur Verfügung gestellt werden</w:t>
      </w:r>
      <w:r w:rsidR="006257A7">
        <w:rPr>
          <w:rFonts w:ascii="Tahoma" w:hAnsi="Tahoma" w:cs="Tahoma"/>
          <w:color w:val="000000"/>
          <w:sz w:val="18"/>
          <w:lang w:val="de-DE"/>
        </w:rPr>
        <w:t xml:space="preserve">. </w:t>
      </w:r>
      <w:r w:rsidRPr="009123CB">
        <w:rPr>
          <w:rFonts w:ascii="Tahoma" w:hAnsi="Tahoma" w:cs="Tahoma"/>
          <w:color w:val="000000"/>
          <w:sz w:val="18"/>
          <w:lang w:val="de-DE"/>
        </w:rP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6257A7">
        <w:rPr>
          <w:rFonts w:ascii="Tahoma" w:hAnsi="Tahoma" w:cs="Tahoma"/>
          <w:color w:val="000000"/>
          <w:sz w:val="18"/>
          <w:lang w:val="de-DE"/>
        </w:rPr>
        <w:t xml:space="preserve">. </w:t>
      </w:r>
      <w:r w:rsidRPr="009123CB">
        <w:rPr>
          <w:rFonts w:ascii="Tahoma" w:hAnsi="Tahoma" w:cs="Tahoma"/>
          <w:color w:val="000000"/>
          <w:sz w:val="18"/>
          <w:lang w:val="de-DE"/>
        </w:rPr>
        <w:t>Beispiel: Wenn während der Software Assurance-Laufzeit eine neue Version von Microsoft Office zur Verfügung gestellt wird, werden Ihre Lizenzen automatisch auf die neue Version upgegradet</w:t>
      </w:r>
      <w:r w:rsidR="006257A7">
        <w:rPr>
          <w:rFonts w:ascii="Tahoma" w:hAnsi="Tahoma" w:cs="Tahoma"/>
          <w:color w:val="000000"/>
          <w:sz w:val="18"/>
          <w:lang w:val="de-DE"/>
        </w:rPr>
        <w:t xml:space="preserve">. </w:t>
      </w:r>
      <w:r w:rsidRPr="009123CB">
        <w:rPr>
          <w:rFonts w:ascii="Tahoma" w:hAnsi="Tahoma" w:cs="Tahoma"/>
          <w:color w:val="000000"/>
          <w:sz w:val="18"/>
          <w:lang w:val="de-DE"/>
        </w:rPr>
        <w:t>Kunden, die zeitlich unbeschränkte Lizenzen über Software Assurance erwerben, können die</w:t>
      </w:r>
      <w:r w:rsidR="002376BB">
        <w:rPr>
          <w:rFonts w:ascii="Tahoma" w:hAnsi="Tahoma" w:cs="Tahoma"/>
          <w:color w:val="000000"/>
          <w:sz w:val="18"/>
          <w:lang w:val="de-DE"/>
        </w:rPr>
        <w:t> </w:t>
      </w:r>
      <w:r w:rsidRPr="009123CB">
        <w:rPr>
          <w:rFonts w:ascii="Tahoma" w:hAnsi="Tahoma" w:cs="Tahoma"/>
          <w:color w:val="000000"/>
          <w:sz w:val="18"/>
          <w:lang w:val="de-DE"/>
        </w:rPr>
        <w:t>Upgrades nach Ablauf von Software Assurance bereitstellen</w:t>
      </w:r>
      <w:r w:rsidR="006257A7">
        <w:rPr>
          <w:rFonts w:ascii="Tahoma" w:hAnsi="Tahoma" w:cs="Tahoma"/>
          <w:color w:val="000000"/>
          <w:sz w:val="18"/>
          <w:lang w:val="de-DE"/>
        </w:rPr>
        <w:t xml:space="preserve">. </w:t>
      </w:r>
    </w:p>
    <w:p w:rsidR="008D4EE5" w:rsidRPr="009123CB" w:rsidRDefault="008D4EE5" w:rsidP="008D4EE5">
      <w:pPr>
        <w:pStyle w:val="AppendixBodyText"/>
        <w:spacing w:after="0"/>
        <w:rPr>
          <w:lang w:val="de-DE"/>
        </w:rPr>
      </w:pPr>
    </w:p>
    <w:p w:rsidR="008D4EE5" w:rsidRPr="0062435A" w:rsidRDefault="008D4EE5" w:rsidP="008D4EE5">
      <w:pPr>
        <w:pStyle w:val="Heading2"/>
        <w:ind w:left="0"/>
      </w:pPr>
      <w:bookmarkStart w:id="723" w:name="_Toc336338229"/>
      <w:bookmarkStart w:id="724" w:name="_Toc363998967"/>
      <w:r>
        <w:rPr>
          <w:rFonts w:ascii="Tahoma" w:hAnsi="Tahoma"/>
        </w:rPr>
        <w:t>Office Multi Language Pack</w:t>
      </w:r>
      <w:bookmarkEnd w:id="723"/>
      <w:bookmarkEnd w:id="724"/>
    </w:p>
    <w:p w:rsidR="008D4EE5" w:rsidRPr="0062435A" w:rsidRDefault="008D4EE5" w:rsidP="008D4EE5"/>
    <w:p w:rsidR="008D4EE5" w:rsidRPr="0062435A" w:rsidRDefault="008D4EE5" w:rsidP="008D4EE5">
      <w:pPr>
        <w:spacing w:after="60"/>
        <w:jc w:val="both"/>
      </w:pPr>
      <w:r>
        <w:rPr>
          <w:rFonts w:cs="Tahoma"/>
          <w:b/>
          <w:szCs w:val="18"/>
        </w:rPr>
        <w:t>Software Assurance-Kunden</w:t>
      </w:r>
    </w:p>
    <w:p w:rsidR="008D4EE5" w:rsidRPr="009123CB" w:rsidRDefault="008D4EE5" w:rsidP="002376BB">
      <w:pPr>
        <w:jc w:val="both"/>
        <w:rPr>
          <w:lang w:val="de-DE"/>
        </w:rPr>
      </w:pPr>
      <w:r w:rsidRPr="009123CB">
        <w:rPr>
          <w:rFonts w:cs="Tahoma"/>
          <w:szCs w:val="18"/>
          <w:lang w:val="de-DE"/>
        </w:rPr>
        <w:t>Kunden mit aktiver Software Assurance für Office System-Produkte und -Suites sind während der Software</w:t>
      </w:r>
      <w:r w:rsidR="002376BB">
        <w:rPr>
          <w:rFonts w:cs="Tahoma"/>
          <w:szCs w:val="18"/>
          <w:lang w:val="de-DE"/>
        </w:rPr>
        <w:t> </w:t>
      </w:r>
      <w:r w:rsidRPr="009123CB">
        <w:rPr>
          <w:rFonts w:cs="Tahoma"/>
          <w:szCs w:val="18"/>
          <w:lang w:val="de-DE"/>
        </w:rPr>
        <w:t>Assurance-Laufzeit zu dieser Vergünstigung berechtigt</w:t>
      </w:r>
      <w:r w:rsidR="006257A7">
        <w:rPr>
          <w:rFonts w:cs="Tahoma"/>
          <w:szCs w:val="18"/>
          <w:lang w:val="de-DE"/>
        </w:rPr>
        <w:t xml:space="preserve">. </w:t>
      </w:r>
      <w:r w:rsidRPr="009123CB">
        <w:rPr>
          <w:rFonts w:cs="Tahoma"/>
          <w:szCs w:val="18"/>
          <w:lang w:val="de-DE"/>
        </w:rPr>
        <w:t>Kunden haben die Möglichkeit, die neueste Version des Office Multi Language Pack mit Kopien von Office System-Software zu verwenden, die sie unter qualifizierenden Lizenzen verwenden dürfen</w:t>
      </w:r>
      <w:r w:rsidR="006257A7">
        <w:rPr>
          <w:rFonts w:cs="Tahoma"/>
          <w:szCs w:val="18"/>
          <w:lang w:val="de-DE"/>
        </w:rPr>
        <w:t xml:space="preserve">. </w:t>
      </w:r>
    </w:p>
    <w:p w:rsidR="008D4EE5" w:rsidRPr="009123CB" w:rsidRDefault="008D4EE5" w:rsidP="008D4EE5">
      <w:pPr>
        <w:jc w:val="both"/>
        <w:rPr>
          <w:lang w:val="de-DE"/>
        </w:rPr>
      </w:pPr>
    </w:p>
    <w:p w:rsidR="008D4EE5" w:rsidRPr="009123CB" w:rsidRDefault="008D4EE5" w:rsidP="008D4EE5">
      <w:pPr>
        <w:spacing w:after="60"/>
        <w:jc w:val="both"/>
        <w:rPr>
          <w:lang w:val="de-DE"/>
        </w:rPr>
      </w:pPr>
      <w:r w:rsidRPr="009123CB">
        <w:rPr>
          <w:rFonts w:cs="Tahoma"/>
          <w:b/>
          <w:szCs w:val="18"/>
          <w:lang w:val="de-DE"/>
        </w:rPr>
        <w:t>Für Onlinedienste-Vergünstigungen berechtigte Kunden</w:t>
      </w:r>
    </w:p>
    <w:p w:rsidR="008D4EE5" w:rsidRPr="009123CB" w:rsidRDefault="008D4EE5" w:rsidP="008D4EE5">
      <w:pPr>
        <w:jc w:val="both"/>
        <w:rPr>
          <w:lang w:val="de-DE"/>
        </w:rPr>
      </w:pPr>
      <w:r w:rsidRPr="009123CB">
        <w:rPr>
          <w:rFonts w:cs="Tahoma"/>
          <w:szCs w:val="18"/>
          <w:lang w:val="de-DE"/>
        </w:rPr>
        <w:t>Kunden mit Office 365 ProPlus und Office 365 Enterprise E3 und E4 sind während der Laufzeit ihres Beitritts zu dieser Vergünstigung berechtigt</w:t>
      </w:r>
      <w:r w:rsidR="006257A7">
        <w:rPr>
          <w:rFonts w:cs="Tahoma"/>
          <w:szCs w:val="18"/>
          <w:lang w:val="de-DE"/>
        </w:rPr>
        <w:t xml:space="preserve">. </w:t>
      </w:r>
    </w:p>
    <w:p w:rsidR="008D4EE5" w:rsidRPr="009123CB" w:rsidRDefault="008D4EE5" w:rsidP="008D4EE5">
      <w:pPr>
        <w:jc w:val="both"/>
        <w:rPr>
          <w:lang w:val="de-DE"/>
        </w:rPr>
      </w:pPr>
    </w:p>
    <w:p w:rsidR="008D4EE5" w:rsidRPr="009123CB" w:rsidRDefault="008D4EE5" w:rsidP="008D4EE5">
      <w:pPr>
        <w:jc w:val="both"/>
        <w:rPr>
          <w:lang w:val="de-DE"/>
        </w:rPr>
      </w:pPr>
      <w:r w:rsidRPr="009123CB">
        <w:rPr>
          <w:lang w:val="de-DE"/>
        </w:rPr>
        <w:t>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w:t>
      </w:r>
      <w:r w:rsidR="006257A7">
        <w:rPr>
          <w:lang w:val="de-DE"/>
        </w:rPr>
        <w:t xml:space="preserve">. </w:t>
      </w:r>
      <w:r w:rsidRPr="009123CB">
        <w:rPr>
          <w:lang w:val="de-DE"/>
        </w:rPr>
        <w:t>Andernfalls läuft das Recht zur Nutzung des Office Multi Language Pack mit Ablauf der Rechte unter der qualifizierenden Office System-Lizenz ab</w:t>
      </w:r>
      <w:r w:rsidR="006257A7">
        <w:rPr>
          <w:lang w:val="de-DE"/>
        </w:rPr>
        <w:t xml:space="preserve">. </w:t>
      </w:r>
    </w:p>
    <w:p w:rsidR="008D4EE5" w:rsidRDefault="008D4EE5" w:rsidP="008D4EE5">
      <w:pPr>
        <w:jc w:val="both"/>
        <w:rPr>
          <w:lang w:val="de-DE"/>
        </w:rPr>
      </w:pPr>
    </w:p>
    <w:p w:rsidR="002376BB" w:rsidRPr="009123CB" w:rsidRDefault="002376BB" w:rsidP="008D4EE5">
      <w:pPr>
        <w:jc w:val="both"/>
        <w:rPr>
          <w:lang w:val="de-DE"/>
        </w:rPr>
      </w:pPr>
    </w:p>
    <w:p w:rsidR="008D4EE5" w:rsidRPr="009123CB" w:rsidRDefault="008D4EE5" w:rsidP="008D4EE5">
      <w:pPr>
        <w:outlineLvl w:val="1"/>
        <w:rPr>
          <w:lang w:val="de-DE"/>
        </w:rPr>
      </w:pPr>
      <w:bookmarkStart w:id="725" w:name="_Toc291204555"/>
      <w:r w:rsidRPr="009123CB">
        <w:rPr>
          <w:b/>
          <w:sz w:val="24"/>
          <w:szCs w:val="24"/>
          <w:lang w:val="de-DE"/>
        </w:rPr>
        <w:t>Planning Services</w:t>
      </w:r>
      <w:bookmarkEnd w:id="725"/>
    </w:p>
    <w:p w:rsidR="008D4EE5" w:rsidRPr="009123CB" w:rsidRDefault="008D4EE5" w:rsidP="008D4EE5">
      <w:pPr>
        <w:rPr>
          <w:lang w:val="de-DE"/>
        </w:rPr>
      </w:pPr>
    </w:p>
    <w:p w:rsidR="008D4EE5" w:rsidRPr="00F83EE5" w:rsidRDefault="008D4EE5" w:rsidP="008D4EE5">
      <w:pPr>
        <w:spacing w:after="60"/>
        <w:rPr>
          <w:lang w:val="de-DE"/>
        </w:rPr>
      </w:pPr>
      <w:r w:rsidRPr="009123CB">
        <w:rPr>
          <w:rFonts w:cs="Tahoma"/>
          <w:color w:val="000000"/>
          <w:szCs w:val="18"/>
          <w:lang w:val="de-DE"/>
        </w:rPr>
        <w:t>Kunden (nicht Select-Lizenz für Forschung &amp; Lehre, Select Plus für Forschung &amp; Lehre, Campus- und School-Vertrag und Open Value Subscription – Bildungslösungen) mit Mitgliedschaft bei Software Assurance in den Anwendungs- und Server-Pools sind zu dieser Vergünstigung berechtigt</w:t>
      </w:r>
      <w:r w:rsidR="006257A7">
        <w:rPr>
          <w:rFonts w:cs="Tahoma"/>
          <w:color w:val="000000"/>
          <w:szCs w:val="18"/>
          <w:lang w:val="de-DE"/>
        </w:rPr>
        <w:t xml:space="preserve">. </w:t>
      </w:r>
      <w:r w:rsidRPr="009123CB">
        <w:rPr>
          <w:rFonts w:cs="Tahoma"/>
          <w:color w:val="000000"/>
          <w:szCs w:val="18"/>
          <w:lang w:val="de-DE"/>
        </w:rPr>
        <w:t>Die Planning Services-Vergünstigung bietet qualifizierenden Kunden vorab festgelegte, angepasste Serviceangebote</w:t>
      </w:r>
      <w:r w:rsidR="006257A7">
        <w:rPr>
          <w:rFonts w:cs="Tahoma"/>
          <w:color w:val="000000"/>
          <w:szCs w:val="18"/>
          <w:lang w:val="de-DE"/>
        </w:rPr>
        <w:t xml:space="preserve">. </w:t>
      </w:r>
      <w:r w:rsidRPr="00F83EE5">
        <w:rPr>
          <w:rFonts w:cs="Tahoma"/>
          <w:color w:val="000000"/>
          <w:szCs w:val="18"/>
          <w:lang w:val="de-DE"/>
        </w:rPr>
        <w:t>Zu den verfügbaren Angeboten gehören folgende:</w:t>
      </w:r>
    </w:p>
    <w:p w:rsidR="008D4EE5" w:rsidRPr="00F83EE5" w:rsidRDefault="008D4EE5" w:rsidP="008D4EE5">
      <w:pPr>
        <w:rPr>
          <w:lang w:val="de-DE"/>
        </w:rPr>
      </w:pPr>
    </w:p>
    <w:p w:rsidR="008D4EE5" w:rsidRPr="0062435A" w:rsidRDefault="008D4EE5" w:rsidP="008D4EE5">
      <w:pPr>
        <w:numPr>
          <w:ilvl w:val="0"/>
          <w:numId w:val="10"/>
        </w:numPr>
        <w:spacing w:after="60" w:line="276" w:lineRule="auto"/>
      </w:pPr>
      <w:r>
        <w:rPr>
          <w:rFonts w:cs="Tahoma"/>
          <w:color w:val="000000"/>
          <w:szCs w:val="18"/>
        </w:rPr>
        <w:t>Desktop Deployment Planning Services (DDPS)</w:t>
      </w:r>
    </w:p>
    <w:p w:rsidR="008D4EE5" w:rsidRPr="009123CB" w:rsidRDefault="008D4EE5" w:rsidP="008D4EE5">
      <w:pPr>
        <w:numPr>
          <w:ilvl w:val="1"/>
          <w:numId w:val="104"/>
        </w:numPr>
        <w:spacing w:after="60" w:line="276" w:lineRule="auto"/>
        <w:ind w:left="1980"/>
        <w:rPr>
          <w:lang w:val="de-DE"/>
        </w:rPr>
      </w:pPr>
      <w:r w:rsidRPr="009123CB">
        <w:rPr>
          <w:rFonts w:cs="Tahoma"/>
          <w:color w:val="000000"/>
          <w:szCs w:val="18"/>
          <w:lang w:val="de-DE"/>
        </w:rPr>
        <w:t>Beschreibung: DDPS bietet Kunden die grundlegenden Analyse-, Planungs- und technischen Verfahrensweisen, die für den Start der Desktop-Bereitstellung mit Office 2010 und Windows 8 erforderlich sind</w:t>
      </w:r>
      <w:r w:rsidR="006257A7">
        <w:rPr>
          <w:rFonts w:cs="Tahoma"/>
          <w:color w:val="000000"/>
          <w:szCs w:val="18"/>
          <w:lang w:val="de-DE"/>
        </w:rPr>
        <w:t xml:space="preserve">. </w:t>
      </w:r>
      <w:r w:rsidRPr="009123CB">
        <w:rPr>
          <w:rFonts w:cs="Tahoma"/>
          <w:color w:val="000000"/>
          <w:szCs w:val="18"/>
          <w:lang w:val="de-DE"/>
        </w:rPr>
        <w:t>Dieses Angebot basiert auf den bewährten Methoden von Microsoft zur Desktop-Bereitstellung und unterstützt Kunden dabei, die Kosten, Risiken und die Komplexität von Bereitstellungen durch einen hohen Prozess- und Automatisierungsgrad zu senken</w:t>
      </w:r>
      <w:r w:rsidR="006257A7">
        <w:rPr>
          <w:rFonts w:cs="Tahoma"/>
          <w:color w:val="000000"/>
          <w:szCs w:val="18"/>
          <w:lang w:val="de-DE"/>
        </w:rPr>
        <w:t xml:space="preserve">. </w:t>
      </w:r>
      <w:r w:rsidRPr="009123CB">
        <w:rPr>
          <w:rFonts w:cs="Tahoma"/>
          <w:color w:val="000000"/>
          <w:szCs w:val="18"/>
          <w:lang w:val="de-DE"/>
        </w:rPr>
        <w:t>DDPS kann Unternehmen außerdem bei der Bewertung von Office 365 unterstützen, indem die Überlegungen und Anforderungen für die Einführung einer cloudfähigen Desktop-Umgebung berücksichtigt werden</w:t>
      </w:r>
      <w:r w:rsidR="006257A7">
        <w:rPr>
          <w:rFonts w:cs="Tahoma"/>
          <w:color w:val="000000"/>
          <w:szCs w:val="18"/>
          <w:lang w:val="de-DE"/>
        </w:rPr>
        <w:t xml:space="preserve">. </w:t>
      </w:r>
    </w:p>
    <w:p w:rsidR="008D4EE5" w:rsidRPr="0062435A" w:rsidRDefault="008D4EE5" w:rsidP="008D4EE5">
      <w:pPr>
        <w:numPr>
          <w:ilvl w:val="1"/>
          <w:numId w:val="104"/>
        </w:numPr>
        <w:spacing w:after="60" w:line="276" w:lineRule="auto"/>
        <w:ind w:left="1980"/>
      </w:pPr>
      <w:r>
        <w:rPr>
          <w:rFonts w:cs="Tahoma"/>
          <w:color w:val="000000"/>
          <w:szCs w:val="18"/>
        </w:rPr>
        <w:t>Servicelevels: 1, 3, 5, 10 oder 15 Tage</w:t>
      </w:r>
    </w:p>
    <w:p w:rsidR="008D4EE5" w:rsidRPr="0062435A" w:rsidRDefault="008D4EE5" w:rsidP="008D4EE5">
      <w:pPr>
        <w:numPr>
          <w:ilvl w:val="0"/>
          <w:numId w:val="11"/>
        </w:numPr>
        <w:spacing w:after="60" w:line="276" w:lineRule="auto"/>
        <w:ind w:left="1440"/>
      </w:pPr>
      <w:r>
        <w:rPr>
          <w:rFonts w:cs="Tahoma"/>
          <w:color w:val="000000"/>
          <w:szCs w:val="18"/>
        </w:rPr>
        <w:t>SharePoint Deployment Planning Services (SDPS)</w:t>
      </w:r>
    </w:p>
    <w:p w:rsidR="008D4EE5" w:rsidRPr="009123CB" w:rsidRDefault="008D4EE5" w:rsidP="008D4EE5">
      <w:pPr>
        <w:numPr>
          <w:ilvl w:val="1"/>
          <w:numId w:val="105"/>
        </w:numPr>
        <w:spacing w:after="60" w:line="276" w:lineRule="auto"/>
        <w:ind w:left="1980"/>
        <w:rPr>
          <w:lang w:val="de-DE"/>
        </w:rPr>
      </w:pPr>
      <w:r w:rsidRPr="009123CB">
        <w:rPr>
          <w:rFonts w:cs="Tahoma"/>
          <w:color w:val="000000"/>
          <w:szCs w:val="18"/>
          <w:lang w:val="de-DE"/>
        </w:rPr>
        <w:t>Beschreibung: SDPS ermöglicht es qualifizierten Partner und Microsoft-Beratern, Kunden bei der Ausarbeitung eines angepassten SharePoint Portal Server-Bereitstellungsplans für ihre spezifische Umgebung und bei der Abschätzung der Gesamtkosten für die Technologiebereitstellung zu unterstützen</w:t>
      </w:r>
      <w:r w:rsidR="006257A7">
        <w:rPr>
          <w:rFonts w:cs="Tahoma"/>
          <w:color w:val="000000"/>
          <w:szCs w:val="18"/>
          <w:lang w:val="de-DE"/>
        </w:rPr>
        <w:t xml:space="preserve">. </w:t>
      </w:r>
      <w:r w:rsidRPr="009123CB">
        <w:rPr>
          <w:rFonts w:cs="Tahoma"/>
          <w:color w:val="000000"/>
          <w:szCs w:val="18"/>
          <w:lang w:val="de-DE"/>
        </w:rPr>
        <w:t>SDPS kann Kunden außerdem bei der Bereitstellungsplanung zur Umstellung auf Office 365 unterstützen, wobei SharePoint Online im Vordergrund steht</w:t>
      </w:r>
      <w:r w:rsidR="006257A7">
        <w:rPr>
          <w:rFonts w:cs="Tahoma"/>
          <w:color w:val="000000"/>
          <w:szCs w:val="18"/>
          <w:lang w:val="de-DE"/>
        </w:rPr>
        <w:t xml:space="preserve">. </w:t>
      </w:r>
    </w:p>
    <w:p w:rsidR="008D4EE5" w:rsidRPr="0062435A" w:rsidRDefault="008D4EE5" w:rsidP="008D4EE5">
      <w:pPr>
        <w:numPr>
          <w:ilvl w:val="1"/>
          <w:numId w:val="105"/>
        </w:numPr>
        <w:spacing w:after="60" w:line="276" w:lineRule="auto"/>
        <w:ind w:left="1980"/>
      </w:pPr>
      <w:r>
        <w:rPr>
          <w:rFonts w:cs="Tahoma"/>
          <w:color w:val="000000"/>
          <w:szCs w:val="18"/>
        </w:rPr>
        <w:t>Servicelevels: 1, 3, 5, 10 oder 15 Tage</w:t>
      </w:r>
    </w:p>
    <w:p w:rsidR="008D4EE5" w:rsidRPr="0062435A" w:rsidRDefault="008D4EE5" w:rsidP="008D4EE5">
      <w:pPr>
        <w:numPr>
          <w:ilvl w:val="0"/>
          <w:numId w:val="10"/>
        </w:numPr>
        <w:spacing w:after="60" w:line="276" w:lineRule="auto"/>
      </w:pPr>
      <w:r>
        <w:rPr>
          <w:rFonts w:cs="Tahoma"/>
          <w:color w:val="000000"/>
          <w:szCs w:val="18"/>
        </w:rPr>
        <w:t>Lync und Exchange Deployment Planning Services (L&amp;EDPS)</w:t>
      </w:r>
    </w:p>
    <w:p w:rsidR="008D4EE5" w:rsidRPr="009123CB" w:rsidRDefault="008D4EE5" w:rsidP="008D4EE5">
      <w:pPr>
        <w:numPr>
          <w:ilvl w:val="1"/>
          <w:numId w:val="106"/>
        </w:numPr>
        <w:spacing w:after="60" w:line="276" w:lineRule="auto"/>
        <w:ind w:left="1980"/>
        <w:rPr>
          <w:lang w:val="de-DE"/>
        </w:rPr>
      </w:pPr>
      <w:r w:rsidRPr="009123CB">
        <w:rPr>
          <w:rFonts w:cs="Tahoma"/>
          <w:color w:val="000000"/>
          <w:szCs w:val="18"/>
          <w:lang w:val="de-DE"/>
        </w:rPr>
        <w:t>Beschreibung: L&amp;EDPS ermöglicht es qualifizierten Partnern und Microsoft-Beratern, Kunden durch die Wert- und Bereitstellungsplanungsphasen bei Lync- und Exchange 2010-Implementierungen zu begleiten</w:t>
      </w:r>
      <w:r w:rsidR="006257A7">
        <w:rPr>
          <w:rFonts w:cs="Tahoma"/>
          <w:color w:val="000000"/>
          <w:szCs w:val="18"/>
          <w:lang w:val="de-DE"/>
        </w:rPr>
        <w:t xml:space="preserve">. </w:t>
      </w:r>
      <w:r w:rsidRPr="009123CB">
        <w:rPr>
          <w:rFonts w:cs="Tahoma"/>
          <w:color w:val="000000"/>
          <w:szCs w:val="18"/>
          <w:lang w:val="de-DE"/>
        </w:rPr>
        <w:t>Dazu gehören die Analyse der Umgebung im Kundenunternehmen und der Austausch von bewährten Methoden, sowohl für lokale als auch für Cloud-Lösungen</w:t>
      </w:r>
      <w:r w:rsidR="006257A7">
        <w:rPr>
          <w:rFonts w:cs="Tahoma"/>
          <w:color w:val="000000"/>
          <w:szCs w:val="18"/>
          <w:lang w:val="de-DE"/>
        </w:rPr>
        <w:t xml:space="preserve">. </w:t>
      </w:r>
      <w:r w:rsidRPr="009123CB">
        <w:rPr>
          <w:rFonts w:cs="Tahoma"/>
          <w:color w:val="000000"/>
          <w:szCs w:val="18"/>
          <w:lang w:val="de-DE"/>
        </w:rPr>
        <w:t>L&amp;EDPS kann Kunden außerdem bei der Bereitstellungsplanung zur Umstellung auf Office 365 unterstützen, wobei Lync und Exchange Online im Vordergrund stehen</w:t>
      </w:r>
      <w:r w:rsidR="006257A7">
        <w:rPr>
          <w:rFonts w:cs="Tahoma"/>
          <w:color w:val="000000"/>
          <w:szCs w:val="18"/>
          <w:lang w:val="de-DE"/>
        </w:rPr>
        <w:t xml:space="preserve">. </w:t>
      </w:r>
    </w:p>
    <w:p w:rsidR="008D4EE5" w:rsidRPr="0062435A" w:rsidRDefault="008D4EE5" w:rsidP="008D4EE5">
      <w:pPr>
        <w:numPr>
          <w:ilvl w:val="1"/>
          <w:numId w:val="106"/>
        </w:numPr>
        <w:spacing w:after="60" w:line="276" w:lineRule="auto"/>
        <w:ind w:left="1980"/>
      </w:pPr>
      <w:r>
        <w:rPr>
          <w:rFonts w:cs="Tahoma"/>
          <w:color w:val="000000"/>
          <w:szCs w:val="18"/>
        </w:rPr>
        <w:t>Servicelevels: 1, 3, 5, 10 oder 15 Tage</w:t>
      </w:r>
    </w:p>
    <w:p w:rsidR="008D4EE5" w:rsidRPr="0062435A" w:rsidRDefault="008D4EE5" w:rsidP="008D4EE5">
      <w:pPr>
        <w:numPr>
          <w:ilvl w:val="0"/>
          <w:numId w:val="10"/>
        </w:numPr>
        <w:spacing w:after="60" w:line="276" w:lineRule="auto"/>
      </w:pPr>
      <w:r>
        <w:rPr>
          <w:rFonts w:cs="Tahoma"/>
          <w:color w:val="000000"/>
          <w:szCs w:val="18"/>
        </w:rPr>
        <w:t>Private Cloud, Management und Virtualization Deployment Planning Services (PVDPS)</w:t>
      </w:r>
    </w:p>
    <w:p w:rsidR="008D4EE5" w:rsidRPr="009123CB" w:rsidRDefault="008D4EE5" w:rsidP="008D4EE5">
      <w:pPr>
        <w:numPr>
          <w:ilvl w:val="1"/>
          <w:numId w:val="107"/>
        </w:numPr>
        <w:spacing w:after="60" w:line="276" w:lineRule="auto"/>
        <w:ind w:left="1980"/>
        <w:rPr>
          <w:lang w:val="de-DE"/>
        </w:rPr>
      </w:pPr>
      <w:r w:rsidRPr="009123CB">
        <w:rPr>
          <w:rFonts w:cs="Tahoma"/>
          <w:color w:val="000000"/>
          <w:szCs w:val="18"/>
          <w:lang w:val="de-DE"/>
        </w:rPr>
        <w:t xml:space="preserve">Beschreibung: </w:t>
      </w:r>
      <w:r w:rsidRPr="009123CB">
        <w:rPr>
          <w:rFonts w:cs="Tahoma"/>
          <w:szCs w:val="18"/>
          <w:lang w:val="de-DE"/>
        </w:rPr>
        <w:t>PVDPS bietet strukturierte Consultingeinsätze, mit denen Kunden Infrastrukturlösungen auf der Grundlage von Windows Server, Systems Center und Hyper-V nutzen können</w:t>
      </w:r>
      <w:r w:rsidR="006257A7">
        <w:rPr>
          <w:rFonts w:cs="Tahoma"/>
          <w:szCs w:val="18"/>
          <w:lang w:val="de-DE"/>
        </w:rPr>
        <w:t xml:space="preserve">. </w:t>
      </w:r>
      <w:r w:rsidRPr="009123CB">
        <w:rPr>
          <w:rFonts w:cs="Tahoma"/>
          <w:szCs w:val="18"/>
          <w:lang w:val="de-DE"/>
        </w:rPr>
        <w:t>Mit diesem Service können Rechenzentrumskosten verringert, die geschäftliche Flexibilität sowie die Kontrolle über die physische, virtuelle und hybride Infrastruktur des Kunden verbessert werden</w:t>
      </w:r>
      <w:r w:rsidR="006257A7">
        <w:rPr>
          <w:rFonts w:cs="Tahoma"/>
          <w:color w:val="000000"/>
          <w:szCs w:val="18"/>
          <w:lang w:val="de-DE"/>
        </w:rPr>
        <w:t xml:space="preserve">. </w:t>
      </w:r>
    </w:p>
    <w:p w:rsidR="008D4EE5" w:rsidRPr="0062435A" w:rsidRDefault="008D4EE5" w:rsidP="008D4EE5">
      <w:pPr>
        <w:numPr>
          <w:ilvl w:val="1"/>
          <w:numId w:val="107"/>
        </w:numPr>
        <w:spacing w:after="60" w:line="276" w:lineRule="auto"/>
        <w:ind w:left="1980"/>
      </w:pPr>
      <w:r>
        <w:rPr>
          <w:rFonts w:cs="Tahoma"/>
          <w:color w:val="000000"/>
          <w:szCs w:val="18"/>
        </w:rPr>
        <w:t>Servicelevels: 3, 5, 10 oder 15 Tage</w:t>
      </w:r>
    </w:p>
    <w:p w:rsidR="008D4EE5" w:rsidRPr="0062435A" w:rsidRDefault="008D4EE5" w:rsidP="008D4EE5">
      <w:pPr>
        <w:numPr>
          <w:ilvl w:val="0"/>
          <w:numId w:val="10"/>
        </w:numPr>
        <w:spacing w:after="60" w:line="276" w:lineRule="auto"/>
      </w:pPr>
      <w:r>
        <w:rPr>
          <w:rFonts w:cs="Tahoma"/>
          <w:color w:val="000000"/>
          <w:szCs w:val="18"/>
        </w:rPr>
        <w:t>SQL Server Deployment Planning Services (SSDPS)</w:t>
      </w:r>
    </w:p>
    <w:p w:rsidR="008D4EE5" w:rsidRPr="009123CB" w:rsidRDefault="008D4EE5" w:rsidP="008D4EE5">
      <w:pPr>
        <w:numPr>
          <w:ilvl w:val="1"/>
          <w:numId w:val="108"/>
        </w:numPr>
        <w:spacing w:after="60" w:line="276" w:lineRule="auto"/>
        <w:ind w:left="1980"/>
        <w:rPr>
          <w:lang w:val="de-DE"/>
        </w:rPr>
      </w:pPr>
      <w:r w:rsidRPr="009123CB">
        <w:rPr>
          <w:rFonts w:cs="Tahoma"/>
          <w:color w:val="000000"/>
          <w:szCs w:val="18"/>
          <w:lang w:val="de-DE"/>
        </w:rPr>
        <w:t xml:space="preserve">Beschreibung: </w:t>
      </w:r>
      <w:r w:rsidRPr="009123CB">
        <w:rPr>
          <w:rFonts w:cs="Tahoma"/>
          <w:szCs w:val="18"/>
          <w:lang w:val="de-DE"/>
        </w:rPr>
        <w:t>SSDPS umfasst eine ausführliche Bewertung und Bereitstellungsplanung für die Migration auf SQL Server, ein Upgrade auf die neue Version der SQL Server-Lösung und die SQL Server Business Intelligence-Lösung</w:t>
      </w:r>
      <w:r w:rsidR="006257A7">
        <w:rPr>
          <w:rFonts w:cs="Tahoma"/>
          <w:szCs w:val="18"/>
          <w:lang w:val="de-DE"/>
        </w:rPr>
        <w:t xml:space="preserve">. </w:t>
      </w:r>
    </w:p>
    <w:p w:rsidR="008D4EE5" w:rsidRPr="002376BB" w:rsidRDefault="008D4EE5" w:rsidP="008D4EE5">
      <w:pPr>
        <w:numPr>
          <w:ilvl w:val="1"/>
          <w:numId w:val="108"/>
        </w:numPr>
        <w:spacing w:after="60" w:line="276" w:lineRule="auto"/>
        <w:ind w:left="1980"/>
      </w:pPr>
      <w:r>
        <w:rPr>
          <w:rFonts w:cs="Tahoma"/>
          <w:color w:val="000000"/>
          <w:szCs w:val="18"/>
        </w:rPr>
        <w:t>Servicelevels: 3, 5, 10 oder 15 Tage</w:t>
      </w:r>
    </w:p>
    <w:p w:rsidR="002376BB" w:rsidRDefault="002376BB" w:rsidP="002376BB">
      <w:pPr>
        <w:spacing w:after="60" w:line="276" w:lineRule="auto"/>
        <w:rPr>
          <w:rFonts w:cs="Tahoma"/>
          <w:color w:val="000000"/>
          <w:szCs w:val="18"/>
        </w:rPr>
      </w:pPr>
    </w:p>
    <w:p w:rsidR="008D4EE5" w:rsidRPr="0062435A" w:rsidRDefault="008D4EE5" w:rsidP="008D4EE5">
      <w:pPr>
        <w:numPr>
          <w:ilvl w:val="0"/>
          <w:numId w:val="10"/>
        </w:numPr>
        <w:spacing w:after="60" w:line="276" w:lineRule="auto"/>
      </w:pPr>
      <w:r>
        <w:rPr>
          <w:rFonts w:cs="Tahoma"/>
          <w:color w:val="000000"/>
          <w:szCs w:val="18"/>
        </w:rPr>
        <w:t>Developer Tools Deployment Planning Services (DTDPS)</w:t>
      </w:r>
    </w:p>
    <w:p w:rsidR="008D4EE5" w:rsidRPr="009123CB" w:rsidRDefault="008D4EE5" w:rsidP="008D4EE5">
      <w:pPr>
        <w:numPr>
          <w:ilvl w:val="1"/>
          <w:numId w:val="109"/>
        </w:numPr>
        <w:spacing w:after="60" w:line="276" w:lineRule="auto"/>
        <w:ind w:left="1980"/>
        <w:rPr>
          <w:lang w:val="de-DE"/>
        </w:rPr>
      </w:pPr>
      <w:r w:rsidRPr="009123CB">
        <w:rPr>
          <w:rFonts w:cs="Tahoma"/>
          <w:color w:val="000000"/>
          <w:szCs w:val="18"/>
          <w:lang w:val="de-DE"/>
        </w:rPr>
        <w:t xml:space="preserve">Beschreibung: </w:t>
      </w:r>
      <w:r w:rsidRPr="009123CB">
        <w:rPr>
          <w:rFonts w:cs="Tahoma"/>
          <w:szCs w:val="18"/>
          <w:lang w:val="de-DE"/>
        </w:rPr>
        <w:t>DTDPS umfasst eine genaue Analyse sowie einen prozessorientierten Ansatz zur Entwicklung eines Bereitstellungsplans für Visual Studio Team Foundation Server oder Visual Studio Test Tools</w:t>
      </w:r>
      <w:r w:rsidR="006257A7">
        <w:rPr>
          <w:rFonts w:cs="Tahoma"/>
          <w:szCs w:val="18"/>
          <w:lang w:val="de-DE"/>
        </w:rPr>
        <w:t xml:space="preserve">. </w:t>
      </w:r>
      <w:r w:rsidRPr="009123CB">
        <w:rPr>
          <w:rFonts w:cs="Tahoma"/>
          <w:szCs w:val="18"/>
          <w:lang w:val="de-DE"/>
        </w:rPr>
        <w:t>Anhand bewährter Methoden von Microsoft arbeitet ein zertifizierter Partner einen individuellen Bereitstellungsplan aus, der auf die geschäftlichen Anforderungen abgestimmt ist</w:t>
      </w:r>
      <w:r w:rsidR="006257A7">
        <w:rPr>
          <w:rFonts w:cs="Tahoma"/>
          <w:color w:val="000000"/>
          <w:szCs w:val="18"/>
          <w:lang w:val="de-DE"/>
        </w:rPr>
        <w:t xml:space="preserve">. </w:t>
      </w:r>
    </w:p>
    <w:p w:rsidR="008D4EE5" w:rsidRPr="0062435A" w:rsidRDefault="008D4EE5" w:rsidP="008D4EE5">
      <w:pPr>
        <w:numPr>
          <w:ilvl w:val="1"/>
          <w:numId w:val="109"/>
        </w:numPr>
        <w:spacing w:after="60" w:line="276" w:lineRule="auto"/>
        <w:ind w:left="1980"/>
      </w:pPr>
      <w:r>
        <w:rPr>
          <w:rFonts w:cs="Tahoma"/>
          <w:color w:val="000000"/>
          <w:szCs w:val="18"/>
        </w:rPr>
        <w:t>Servicelevels: 3 oder 5 Tage</w:t>
      </w:r>
    </w:p>
    <w:p w:rsidR="008D4EE5" w:rsidRPr="0062435A" w:rsidRDefault="008D4EE5" w:rsidP="008D4EE5">
      <w:pPr>
        <w:numPr>
          <w:ilvl w:val="0"/>
          <w:numId w:val="10"/>
        </w:numPr>
        <w:spacing w:after="60" w:line="276" w:lineRule="auto"/>
      </w:pPr>
      <w:r>
        <w:rPr>
          <w:rFonts w:cs="Tahoma"/>
          <w:color w:val="000000"/>
          <w:szCs w:val="18"/>
        </w:rPr>
        <w:t>Public Cloud, Azure Deployment Planning Services (AZDPS)</w:t>
      </w:r>
    </w:p>
    <w:p w:rsidR="008D4EE5" w:rsidRPr="009123CB" w:rsidRDefault="008D4EE5" w:rsidP="008D4EE5">
      <w:pPr>
        <w:numPr>
          <w:ilvl w:val="1"/>
          <w:numId w:val="110"/>
        </w:numPr>
        <w:spacing w:after="60" w:line="276" w:lineRule="auto"/>
        <w:ind w:left="1980"/>
        <w:rPr>
          <w:lang w:val="de-DE"/>
        </w:rPr>
      </w:pPr>
      <w:r w:rsidRPr="009123CB">
        <w:rPr>
          <w:rFonts w:cs="Tahoma"/>
          <w:color w:val="000000"/>
          <w:szCs w:val="18"/>
          <w:lang w:val="de-DE"/>
        </w:rPr>
        <w:t xml:space="preserve">Beschreibung: </w:t>
      </w:r>
      <w:r w:rsidRPr="009123CB">
        <w:rPr>
          <w:rFonts w:cs="Tahoma"/>
          <w:color w:val="1D1B11"/>
          <w:szCs w:val="18"/>
          <w:lang w:val="de-DE"/>
        </w:rPr>
        <w:t>Public</w:t>
      </w:r>
      <w:r w:rsidRPr="009123CB">
        <w:rPr>
          <w:rFonts w:cs="Tahoma"/>
          <w:szCs w:val="18"/>
          <w:lang w:val="de-DE"/>
        </w:rPr>
        <w:t xml:space="preserve"> Cloud, AZDPS beinhaltet den Schulungs- und Migrationsservice der Windows Azure-Plattform</w:t>
      </w:r>
      <w:r w:rsidR="006257A7">
        <w:rPr>
          <w:rFonts w:cs="Tahoma"/>
          <w:szCs w:val="18"/>
          <w:lang w:val="de-DE"/>
        </w:rPr>
        <w:t xml:space="preserve">. </w:t>
      </w:r>
      <w:r w:rsidRPr="009123CB">
        <w:rPr>
          <w:rFonts w:cs="Tahoma"/>
          <w:szCs w:val="18"/>
          <w:lang w:val="de-DE"/>
        </w:rPr>
        <w:t>Dieser Service umfasst ein Lernprogramm für die Windows Azure-Plattform mit praxisorientierten Schulungsinhalten, die Anweisungen zum Migrieren von Anwendungen und Daten sowie zur Entwicklung von Anwendungen für die Cloud vermitteln und Kunden bei der Migration oder dem Schreiben ihrer ersten Anwendungen auf der Windows Azure-Plattform unterstützen</w:t>
      </w:r>
      <w:r w:rsidR="006257A7">
        <w:rPr>
          <w:rFonts w:cs="Tahoma"/>
          <w:szCs w:val="18"/>
          <w:lang w:val="de-DE"/>
        </w:rPr>
        <w:t xml:space="preserve">. </w:t>
      </w:r>
    </w:p>
    <w:p w:rsidR="008D4EE5" w:rsidRPr="0062435A" w:rsidRDefault="008D4EE5" w:rsidP="008D4EE5">
      <w:pPr>
        <w:numPr>
          <w:ilvl w:val="1"/>
          <w:numId w:val="110"/>
        </w:numPr>
        <w:spacing w:line="276" w:lineRule="auto"/>
        <w:ind w:left="1987"/>
      </w:pPr>
      <w:r>
        <w:rPr>
          <w:rFonts w:cs="Tahoma"/>
          <w:color w:val="000000"/>
          <w:szCs w:val="18"/>
        </w:rPr>
        <w:t>Servicelevels: 3, 5 oder 10 Tage</w:t>
      </w:r>
    </w:p>
    <w:p w:rsidR="008D4EE5" w:rsidRPr="0062435A" w:rsidRDefault="008D4EE5" w:rsidP="008D4EE5">
      <w:pPr>
        <w:tabs>
          <w:tab w:val="left" w:pos="8040"/>
        </w:tabs>
      </w:pPr>
    </w:p>
    <w:p w:rsidR="008D4EE5" w:rsidRPr="009123CB" w:rsidRDefault="008D4EE5" w:rsidP="008D4EE5">
      <w:pPr>
        <w:spacing w:after="60"/>
        <w:rPr>
          <w:lang w:val="de-DE"/>
        </w:rPr>
      </w:pPr>
      <w:r w:rsidRPr="009123CB">
        <w:rPr>
          <w:rFonts w:cs="Tahoma"/>
          <w:color w:val="000000"/>
          <w:szCs w:val="18"/>
          <w:lang w:val="de-DE"/>
        </w:rPr>
        <w:t>Die Liste der verfügbaren Services und zugehörigen Servicelevels kann jederzeit geändert werden</w:t>
      </w:r>
      <w:r w:rsidR="006257A7">
        <w:rPr>
          <w:rFonts w:cs="Tahoma"/>
          <w:color w:val="000000"/>
          <w:szCs w:val="18"/>
          <w:lang w:val="de-DE"/>
        </w:rPr>
        <w:t xml:space="preserve">. </w:t>
      </w:r>
      <w:r w:rsidRPr="009123CB">
        <w:rPr>
          <w:rFonts w:cs="Tahoma"/>
          <w:color w:val="000000"/>
          <w:szCs w:val="18"/>
          <w:lang w:val="de-DE"/>
        </w:rPr>
        <w:t>Von Qualifizierten Anbietern erhalten Kunden auf Anfrage eine Übersicht über den verfügbaren Leistungsumfang für jedes der oben genannten Serviceangebote</w:t>
      </w:r>
      <w:r w:rsidR="006257A7">
        <w:rPr>
          <w:rFonts w:cs="Tahoma"/>
          <w:color w:val="000000"/>
          <w:szCs w:val="18"/>
          <w:lang w:val="de-DE"/>
        </w:rPr>
        <w:t xml:space="preserve">. </w:t>
      </w:r>
    </w:p>
    <w:p w:rsidR="008D4EE5" w:rsidRPr="009123CB" w:rsidRDefault="008D4EE5" w:rsidP="008D4EE5">
      <w:pPr>
        <w:rPr>
          <w:lang w:val="de-DE"/>
        </w:rPr>
      </w:pPr>
    </w:p>
    <w:p w:rsidR="008D4EE5" w:rsidRPr="009123CB" w:rsidRDefault="008D4EE5" w:rsidP="002376BB">
      <w:pPr>
        <w:spacing w:after="60"/>
        <w:rPr>
          <w:lang w:val="de-DE"/>
        </w:rPr>
      </w:pPr>
      <w:r w:rsidRPr="009123CB">
        <w:rPr>
          <w:rFonts w:cs="Tahoma"/>
          <w:color w:val="000000"/>
          <w:szCs w:val="18"/>
          <w:lang w:val="de-DE"/>
        </w:rPr>
        <w:t>Je nach der Anzahl der qualifizierenden Office-Anwendungslizenzen, qualifizierenden Serverlizenzen und der Anzahl</w:t>
      </w:r>
      <w:r w:rsidR="002376BB">
        <w:rPr>
          <w:rFonts w:cs="Tahoma"/>
          <w:color w:val="000000"/>
          <w:szCs w:val="18"/>
          <w:lang w:val="de-DE"/>
        </w:rPr>
        <w:t> </w:t>
      </w:r>
      <w:r w:rsidRPr="009123CB">
        <w:rPr>
          <w:rFonts w:cs="Tahoma"/>
          <w:color w:val="000000"/>
          <w:szCs w:val="18"/>
          <w:lang w:val="de-DE"/>
        </w:rPr>
        <w:t>von Core CAL Suites, SQL CAL und Enterprise CAL Suites, für die Software Assurance erworben wird (siehe</w:t>
      </w:r>
      <w:r w:rsidR="002376BB">
        <w:rPr>
          <w:rFonts w:cs="Tahoma"/>
          <w:color w:val="000000"/>
          <w:szCs w:val="18"/>
          <w:lang w:val="de-DE"/>
        </w:rPr>
        <w:t> </w:t>
      </w:r>
      <w:r w:rsidRPr="009123CB">
        <w:rPr>
          <w:rFonts w:cs="Tahoma"/>
          <w:color w:val="000000"/>
          <w:szCs w:val="18"/>
          <w:lang w:val="de-DE"/>
        </w:rPr>
        <w:t>Diagramm unten), erhalten qualifizierte Kunden eine bestimmte Anzahl von Planning Services-Tagen</w:t>
      </w:r>
      <w:r w:rsidR="006257A7">
        <w:rPr>
          <w:rFonts w:cs="Tahoma"/>
          <w:color w:val="000000"/>
          <w:szCs w:val="18"/>
          <w:lang w:val="de-DE"/>
        </w:rPr>
        <w:t xml:space="preserve">. </w:t>
      </w:r>
      <w:r w:rsidRPr="009123CB">
        <w:rPr>
          <w:rFonts w:cs="Tahoma"/>
          <w:bCs/>
          <w:color w:val="000000"/>
          <w:szCs w:val="18"/>
          <w:lang w:val="de-DE"/>
        </w:rPr>
        <w:t>Die</w:t>
      </w:r>
      <w:r w:rsidR="002376BB">
        <w:rPr>
          <w:rFonts w:cs="Tahoma"/>
          <w:bCs/>
          <w:color w:val="000000"/>
          <w:szCs w:val="18"/>
          <w:lang w:val="de-DE"/>
        </w:rPr>
        <w:t> </w:t>
      </w:r>
      <w:r w:rsidRPr="009123CB">
        <w:rPr>
          <w:rFonts w:cs="Tahoma"/>
          <w:bCs/>
          <w:color w:val="000000"/>
          <w:szCs w:val="18"/>
          <w:lang w:val="de-DE"/>
        </w:rPr>
        <w:t>Anzahl der Tage, die ein Kunde erhält, fließt in einen Pool mit Planning Services-Tagen, aus dem der Kunde Gutscheine für die obigen Serviceangebote erstellen kann</w:t>
      </w:r>
      <w:r w:rsidR="006257A7">
        <w:rPr>
          <w:rFonts w:cs="Tahoma"/>
          <w:bCs/>
          <w:color w:val="000000"/>
          <w:szCs w:val="18"/>
          <w:lang w:val="de-DE"/>
        </w:rPr>
        <w:t xml:space="preserve">. </w:t>
      </w:r>
      <w:r w:rsidRPr="009123CB">
        <w:rPr>
          <w:rFonts w:cs="Tahoma"/>
          <w:bCs/>
          <w:color w:val="000000"/>
          <w:szCs w:val="18"/>
          <w:lang w:val="de-DE"/>
        </w:rPr>
        <w:t>Kunden können einen oder mehrere der obigen Services auswählen und aus den verfügbaren Servicelevels maximal den auswählen, der der Anzahl von Planning Services-Tagen entspricht, die für sie verfügbar sind</w:t>
      </w:r>
      <w:r w:rsidR="006257A7">
        <w:rPr>
          <w:rFonts w:cs="Tahoma"/>
          <w:bCs/>
          <w:color w:val="000000"/>
          <w:szCs w:val="18"/>
          <w:lang w:val="de-DE"/>
        </w:rPr>
        <w:t xml:space="preserve">. </w:t>
      </w:r>
    </w:p>
    <w:p w:rsidR="008D4EE5" w:rsidRPr="009123CB" w:rsidRDefault="008D4EE5" w:rsidP="008D4EE5">
      <w:pPr>
        <w:rPr>
          <w:lang w:val="de-DE"/>
        </w:rPr>
      </w:pPr>
    </w:p>
    <w:p w:rsidR="008D4EE5" w:rsidRPr="009123CB" w:rsidRDefault="008D4EE5" w:rsidP="008D4EE5">
      <w:pPr>
        <w:spacing w:after="60"/>
        <w:rPr>
          <w:lang w:val="de-DE"/>
        </w:rPr>
      </w:pPr>
      <w:r w:rsidRPr="009123CB">
        <w:rPr>
          <w:rFonts w:cs="Tahoma"/>
          <w:bCs/>
          <w:color w:val="000000"/>
          <w:szCs w:val="18"/>
          <w:lang w:val="de-DE"/>
        </w:rPr>
        <w:t>In der folgenden Tabelle sind die qualifizierenden Anwendungs- und Serverlizenzen sowie die jeweils damit verbundenen Punkte aufgeführt:</w:t>
      </w:r>
    </w:p>
    <w:p w:rsidR="008D4EE5" w:rsidRPr="009123CB" w:rsidRDefault="008D4EE5" w:rsidP="008D4EE5">
      <w:pPr>
        <w:spacing w:after="60"/>
        <w:rPr>
          <w:lang w:val="de-DE"/>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8D4EE5" w:rsidRPr="000D4ECA" w:rsidTr="00A67771">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b/>
                <w:bCs/>
                <w:szCs w:val="18"/>
              </w:rPr>
              <w:t xml:space="preserve">Office-Anwendungs- und Serverlizenzen*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b/>
                <w:bCs/>
                <w:szCs w:val="18"/>
              </w:rPr>
              <w:t>Punkte</w:t>
            </w:r>
          </w:p>
        </w:tc>
      </w:tr>
      <w:tr w:rsidR="008D4EE5" w:rsidRPr="000D4ECA" w:rsidTr="00A67771">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9123CB" w:rsidRDefault="008D4EE5" w:rsidP="00A67771">
            <w:pPr>
              <w:spacing w:after="60"/>
              <w:jc w:val="center"/>
              <w:rPr>
                <w:rFonts w:cs="Tahoma"/>
                <w:szCs w:val="18"/>
                <w:lang w:val="de-DE"/>
              </w:rPr>
            </w:pPr>
            <w:r w:rsidRPr="009123CB">
              <w:rPr>
                <w:rFonts w:cs="Tahoma"/>
                <w:szCs w:val="18"/>
                <w:lang w:val="de-DE"/>
              </w:rPr>
              <w:t>Produkte aus dem Office-Anwendungs-Pool (einschließlich Office-Suites, Project Standard und Professional, Visio Standard und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1</w:t>
            </w:r>
          </w:p>
        </w:tc>
      </w:tr>
      <w:tr w:rsidR="008D4EE5" w:rsidRPr="000D4ECA" w:rsidTr="00A67771">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eastAsia="Calibri" w:cs="Tahoma"/>
                <w:szCs w:val="18"/>
              </w:rPr>
              <w:t>SQL Server Standard Edition, Windows Server Standard Edition, Standard-Server-Management-Lizenz für System Center 2012 (2 Prozessoren), Visual Studio Professional mit MSDN und Visual Studio Test Professional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25</w:t>
            </w:r>
          </w:p>
        </w:tc>
      </w:tr>
      <w:tr w:rsidR="008D4EE5" w:rsidRPr="000D4ECA" w:rsidTr="00A67771">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eastAsia="Calibri" w:cs="Tahoma"/>
                <w:szCs w:val="18"/>
              </w:rPr>
              <w:t xml:space="preserve">SQL Server Enterprise Edition, </w:t>
            </w:r>
            <w:r>
              <w:rPr>
                <w:rFonts w:cs="Tahoma"/>
                <w:szCs w:val="18"/>
              </w:rPr>
              <w:t xml:space="preserve">SQL Server Business Intelligence, </w:t>
            </w:r>
            <w:r>
              <w:rPr>
                <w:rFonts w:eastAsia="Calibri" w:cs="Tahoma"/>
                <w:szCs w:val="18"/>
              </w:rPr>
              <w:t>Windows Server Enterprise Edition und Visual Studio Premium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50</w:t>
            </w:r>
          </w:p>
        </w:tc>
      </w:tr>
      <w:tr w:rsidR="008D4EE5" w:rsidRPr="000D4ECA" w:rsidTr="00A67771">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eastAsia="Calibri" w:cs="Tahoma"/>
                <w:szCs w:val="18"/>
              </w:rPr>
              <w:t>SQL Server Data Center Edition, Windows Server Data Center Edition, Server-Management-Lizenz für System Center 2012 Datacenter (2 Prozessoren) und Visual Studio Ultimate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75</w:t>
            </w:r>
          </w:p>
        </w:tc>
      </w:tr>
    </w:tbl>
    <w:p w:rsidR="008D4EE5" w:rsidRPr="009123CB" w:rsidRDefault="008D4EE5" w:rsidP="008D4EE5">
      <w:pPr>
        <w:ind w:firstLine="720"/>
        <w:rPr>
          <w:lang w:val="de-DE"/>
        </w:rPr>
      </w:pPr>
      <w:r w:rsidRPr="009123CB">
        <w:rPr>
          <w:rFonts w:cs="Tahoma"/>
          <w:b/>
          <w:i/>
          <w:sz w:val="16"/>
          <w:szCs w:val="18"/>
          <w:lang w:val="de-DE"/>
        </w:rPr>
        <w:t>Anmerkung:</w:t>
      </w:r>
      <w:r w:rsidRPr="009123CB">
        <w:rPr>
          <w:rFonts w:cs="Tahoma"/>
          <w:i/>
          <w:sz w:val="16"/>
          <w:szCs w:val="18"/>
          <w:lang w:val="de-DE"/>
        </w:rPr>
        <w:t xml:space="preserve"> Weitere Informationen zu CALs finden Sie in der Tabelle zu CAL-Suites in diesem Abschnitt</w:t>
      </w:r>
      <w:r w:rsidR="006257A7">
        <w:rPr>
          <w:rFonts w:cs="Tahoma"/>
          <w:i/>
          <w:sz w:val="16"/>
          <w:szCs w:val="18"/>
          <w:lang w:val="de-DE"/>
        </w:rPr>
        <w:t xml:space="preserve">. </w:t>
      </w:r>
    </w:p>
    <w:p w:rsidR="008D4EE5" w:rsidRPr="009123CB" w:rsidRDefault="008D4EE5" w:rsidP="008D4EE5">
      <w:pPr>
        <w:rPr>
          <w:lang w:val="de-DE"/>
        </w:rPr>
      </w:pPr>
    </w:p>
    <w:p w:rsidR="008D4EE5" w:rsidRPr="009123CB" w:rsidRDefault="008D4EE5" w:rsidP="008D4EE5">
      <w:pPr>
        <w:rPr>
          <w:lang w:val="de-DE"/>
        </w:rPr>
      </w:pPr>
      <w:r w:rsidRPr="009123CB">
        <w:rPr>
          <w:rFonts w:cs="Tahoma"/>
          <w:szCs w:val="18"/>
          <w:lang w:val="de-DE"/>
        </w:rPr>
        <w:t>Wenn diese berechtigten Produkte über den Beitritt zur Anwendungsplattform (EAP) oder den Beitritt für Core Infrastructure (ECI) erworben werden, werden alle unter dem EAP und ECI zugeteilten Punkte mit dem Faktor zwei (2) multipliziert</w:t>
      </w:r>
      <w:r w:rsidR="006257A7">
        <w:rPr>
          <w:rFonts w:cs="Tahoma"/>
          <w:szCs w:val="18"/>
          <w:lang w:val="de-DE"/>
        </w:rPr>
        <w:t xml:space="preserve">. </w:t>
      </w:r>
    </w:p>
    <w:p w:rsidR="008D4EE5" w:rsidRDefault="008D4EE5" w:rsidP="008D4EE5">
      <w:pPr>
        <w:rPr>
          <w:lang w:val="de-DE"/>
        </w:rPr>
      </w:pPr>
    </w:p>
    <w:p w:rsidR="002376BB" w:rsidRDefault="002376BB" w:rsidP="008D4EE5">
      <w:pPr>
        <w:rPr>
          <w:lang w:val="de-DE"/>
        </w:rPr>
      </w:pPr>
    </w:p>
    <w:p w:rsidR="002376BB" w:rsidRPr="009123CB" w:rsidRDefault="002376BB" w:rsidP="008D4EE5">
      <w:pPr>
        <w:rPr>
          <w:lang w:val="de-DE"/>
        </w:rPr>
      </w:pPr>
    </w:p>
    <w:p w:rsidR="008D4EE5" w:rsidRPr="009123CB" w:rsidRDefault="008D4EE5" w:rsidP="008D4EE5">
      <w:pPr>
        <w:rPr>
          <w:lang w:val="de-DE"/>
        </w:rPr>
      </w:pPr>
      <w:r w:rsidRPr="009123CB">
        <w:rPr>
          <w:rFonts w:cs="Tahoma"/>
          <w:szCs w:val="18"/>
          <w:lang w:val="de-DE"/>
        </w:rPr>
        <w:t>Die Gesamtzahl der Punkte, zu denen der Kunde berechtigt ist, definiert die Ansprüche auf Planning Services-Tage wie unten dargestellt:</w:t>
      </w:r>
    </w:p>
    <w:p w:rsidR="008D4EE5" w:rsidRPr="009123CB" w:rsidRDefault="008D4EE5" w:rsidP="008D4EE5">
      <w:pPr>
        <w:rPr>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8D4EE5" w:rsidRPr="000D4ECA" w:rsidTr="00A67771">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D4EE5" w:rsidRPr="009123CB" w:rsidRDefault="008D4EE5" w:rsidP="00A67771">
            <w:pPr>
              <w:spacing w:after="60"/>
              <w:jc w:val="center"/>
              <w:rPr>
                <w:rFonts w:cs="Tahoma"/>
                <w:szCs w:val="18"/>
                <w:lang w:val="de-DE"/>
              </w:rPr>
            </w:pPr>
            <w:r w:rsidRPr="009123CB">
              <w:rPr>
                <w:rFonts w:cs="Tahoma"/>
                <w:b/>
                <w:bCs/>
                <w:szCs w:val="18"/>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b/>
                <w:bCs/>
                <w:szCs w:val="18"/>
              </w:rPr>
              <w:t>Planning Services-Tage</w:t>
            </w:r>
          </w:p>
        </w:tc>
      </w:tr>
      <w:tr w:rsidR="008D4EE5" w:rsidRPr="000D4ECA" w:rsidTr="00A67771">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200</w:t>
            </w:r>
            <w:r w:rsidR="002376BB">
              <w:rPr>
                <w:rFonts w:cs="Tahoma"/>
                <w:szCs w:val="18"/>
              </w:rPr>
              <w:t xml:space="preserve"> – </w:t>
            </w:r>
            <w:r>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1</w:t>
            </w:r>
          </w:p>
        </w:tc>
      </w:tr>
      <w:tr w:rsidR="008D4EE5" w:rsidRPr="000D4ECA" w:rsidTr="00A6777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500</w:t>
            </w:r>
            <w:r w:rsidR="002376BB">
              <w:rPr>
                <w:rFonts w:cs="Tahoma"/>
                <w:szCs w:val="18"/>
              </w:rPr>
              <w:t xml:space="preserve"> – </w:t>
            </w:r>
            <w:r>
              <w:rPr>
                <w:rFonts w:cs="Tahoma"/>
                <w:szCs w:val="18"/>
              </w:rPr>
              <w:t>1</w:t>
            </w:r>
            <w:r w:rsidR="00072E3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3</w:t>
            </w:r>
          </w:p>
        </w:tc>
      </w:tr>
      <w:tr w:rsidR="008D4EE5" w:rsidRPr="000D4ECA" w:rsidTr="00A6777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2</w:t>
            </w:r>
            <w:r w:rsidR="00072E38">
              <w:rPr>
                <w:rFonts w:cs="Tahoma"/>
                <w:szCs w:val="18"/>
              </w:rPr>
              <w:t>.</w:t>
            </w:r>
            <w:r>
              <w:rPr>
                <w:rFonts w:cs="Tahoma"/>
                <w:szCs w:val="18"/>
              </w:rPr>
              <w:t>000</w:t>
            </w:r>
            <w:r w:rsidR="002376BB">
              <w:rPr>
                <w:rFonts w:cs="Tahoma"/>
                <w:szCs w:val="18"/>
              </w:rPr>
              <w:t xml:space="preserve"> – </w:t>
            </w:r>
            <w:r>
              <w:rPr>
                <w:rFonts w:cs="Tahoma"/>
                <w:szCs w:val="18"/>
              </w:rPr>
              <w:t>3</w:t>
            </w:r>
            <w:r w:rsidR="00072E3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5</w:t>
            </w:r>
          </w:p>
        </w:tc>
      </w:tr>
      <w:tr w:rsidR="008D4EE5" w:rsidRPr="000D4ECA" w:rsidTr="00A6777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4</w:t>
            </w:r>
            <w:r w:rsidR="00072E38">
              <w:rPr>
                <w:rFonts w:cs="Tahoma"/>
                <w:szCs w:val="18"/>
              </w:rPr>
              <w:t>.</w:t>
            </w:r>
            <w:r>
              <w:rPr>
                <w:rFonts w:cs="Tahoma"/>
                <w:szCs w:val="18"/>
              </w:rPr>
              <w:t>000 – 29</w:t>
            </w:r>
            <w:r w:rsidR="00072E3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10</w:t>
            </w:r>
          </w:p>
        </w:tc>
      </w:tr>
      <w:tr w:rsidR="008D4EE5" w:rsidRPr="000D4ECA" w:rsidTr="00A6777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30</w:t>
            </w:r>
            <w:r w:rsidR="00072E38">
              <w:rPr>
                <w:rFonts w:cs="Tahoma"/>
                <w:szCs w:val="18"/>
              </w:rPr>
              <w:t>.</w:t>
            </w:r>
            <w:r>
              <w:rPr>
                <w:rFonts w:cs="Tahoma"/>
                <w:szCs w:val="18"/>
              </w:rPr>
              <w:t>000 – 49</w:t>
            </w:r>
            <w:r w:rsidR="00072E3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15</w:t>
            </w:r>
          </w:p>
        </w:tc>
      </w:tr>
      <w:tr w:rsidR="008D4EE5" w:rsidRPr="000D4ECA" w:rsidTr="00A6777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50</w:t>
            </w:r>
            <w:r w:rsidR="00072E38">
              <w:rPr>
                <w:rFonts w:cs="Tahoma"/>
                <w:szCs w:val="18"/>
              </w:rPr>
              <w:t>.</w:t>
            </w:r>
            <w:r>
              <w:rPr>
                <w:rFonts w:cs="Tahoma"/>
                <w:szCs w:val="18"/>
              </w:rPr>
              <w:t>000 – 99</w:t>
            </w:r>
            <w:r w:rsidR="00072E3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20</w:t>
            </w:r>
          </w:p>
        </w:tc>
      </w:tr>
      <w:tr w:rsidR="008D4EE5" w:rsidRPr="000D4ECA" w:rsidTr="00A6777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100</w:t>
            </w:r>
            <w:r w:rsidR="00072E38">
              <w:rPr>
                <w:rFonts w:cs="Tahoma"/>
                <w:szCs w:val="18"/>
              </w:rPr>
              <w:t>.</w:t>
            </w:r>
            <w:r>
              <w:rPr>
                <w:rFonts w:cs="Tahoma"/>
                <w:szCs w:val="18"/>
              </w:rPr>
              <w:t>000 – 199</w:t>
            </w:r>
            <w:r w:rsidR="00072E3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30</w:t>
            </w:r>
          </w:p>
        </w:tc>
      </w:tr>
      <w:tr w:rsidR="008D4EE5" w:rsidRPr="000D4ECA" w:rsidTr="00A6777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200</w:t>
            </w:r>
            <w:r w:rsidR="00072E38">
              <w:rPr>
                <w:rFonts w:cs="Tahoma"/>
                <w:szCs w:val="18"/>
              </w:rPr>
              <w:t>.</w:t>
            </w:r>
            <w:r>
              <w:rPr>
                <w:rFonts w:cs="Tahoma"/>
                <w:szCs w:val="18"/>
              </w:rPr>
              <w:t>000 – 399</w:t>
            </w:r>
            <w:r w:rsidR="00072E3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40</w:t>
            </w:r>
          </w:p>
        </w:tc>
      </w:tr>
      <w:tr w:rsidR="008D4EE5" w:rsidRPr="000D4ECA" w:rsidTr="00A6777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400</w:t>
            </w:r>
            <w:r w:rsidR="00072E38">
              <w:rPr>
                <w:rFonts w:cs="Tahoma"/>
                <w:szCs w:val="18"/>
              </w:rPr>
              <w:t>.</w:t>
            </w:r>
            <w:r>
              <w:rPr>
                <w:rFonts w:cs="Tahoma"/>
                <w:szCs w:val="18"/>
              </w:rPr>
              <w:t>000 – 599</w:t>
            </w:r>
            <w:r w:rsidR="00072E3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50</w:t>
            </w:r>
          </w:p>
        </w:tc>
      </w:tr>
      <w:tr w:rsidR="008D4EE5" w:rsidRPr="000D4ECA" w:rsidTr="00A6777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600</w:t>
            </w:r>
            <w:r w:rsidR="00072E38">
              <w:rPr>
                <w:rFonts w:cs="Tahoma"/>
                <w:szCs w:val="18"/>
              </w:rPr>
              <w:t>.</w:t>
            </w:r>
            <w:r>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75</w:t>
            </w:r>
          </w:p>
        </w:tc>
      </w:tr>
    </w:tbl>
    <w:p w:rsidR="008D4EE5" w:rsidRPr="0062435A" w:rsidRDefault="008D4EE5" w:rsidP="008D4EE5"/>
    <w:p w:rsidR="008D4EE5" w:rsidRPr="009123CB" w:rsidRDefault="008D4EE5" w:rsidP="008D4EE5">
      <w:pPr>
        <w:rPr>
          <w:lang w:val="de-DE"/>
        </w:rPr>
      </w:pPr>
      <w:r w:rsidRPr="009123CB">
        <w:rPr>
          <w:rFonts w:cs="Tahoma"/>
          <w:szCs w:val="18"/>
          <w:lang w:val="de-DE"/>
        </w:rPr>
        <w:t xml:space="preserve">Software Assurance für Core CAL Suites und SQL CAL zählt bei den Schwellenwerten in der ersten Spalte unten jeweils als </w:t>
      </w:r>
      <w:r w:rsidRPr="009123CB">
        <w:rPr>
          <w:rFonts w:cs="Tahoma"/>
          <w:szCs w:val="18"/>
          <w:u w:val="single"/>
          <w:lang w:val="de-DE"/>
        </w:rPr>
        <w:t xml:space="preserve">ein (1) Punkt, </w:t>
      </w:r>
      <w:r w:rsidRPr="009123CB">
        <w:rPr>
          <w:rFonts w:cs="Tahoma"/>
          <w:szCs w:val="18"/>
          <w:lang w:val="de-DE"/>
        </w:rPr>
        <w:t xml:space="preserve">Software Assurance für Enterprise CAL Suites zählt bei den Schwellenwerten in der ersten Spalte unten jeweils als </w:t>
      </w:r>
      <w:r w:rsidRPr="009123CB">
        <w:rPr>
          <w:rFonts w:cs="Tahoma"/>
          <w:szCs w:val="18"/>
          <w:u w:val="single"/>
          <w:lang w:val="de-DE"/>
        </w:rPr>
        <w:t>zwei (2) Punkte</w:t>
      </w:r>
      <w:r w:rsidRPr="009123CB">
        <w:rPr>
          <w:rFonts w:cs="Tahoma"/>
          <w:szCs w:val="18"/>
          <w:lang w:val="de-DE"/>
        </w:rPr>
        <w:t>:</w:t>
      </w:r>
    </w:p>
    <w:p w:rsidR="008D4EE5" w:rsidRPr="009123CB" w:rsidRDefault="008D4EE5" w:rsidP="008D4EE5">
      <w:pPr>
        <w:rPr>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8D4EE5" w:rsidRPr="000D4ECA" w:rsidTr="00A67771">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b/>
                <w:bCs/>
                <w:szCs w:val="18"/>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D4EE5" w:rsidRPr="000D4ECA" w:rsidRDefault="008D4EE5" w:rsidP="00A67771">
            <w:pPr>
              <w:spacing w:after="60"/>
              <w:rPr>
                <w:rFonts w:cs="Tahoma"/>
                <w:szCs w:val="18"/>
              </w:rPr>
            </w:pPr>
            <w:r>
              <w:rPr>
                <w:rFonts w:cs="Tahoma"/>
                <w:b/>
                <w:bCs/>
                <w:szCs w:val="18"/>
              </w:rPr>
              <w:t xml:space="preserve">Planning Services-Tage </w:t>
            </w:r>
          </w:p>
        </w:tc>
      </w:tr>
      <w:tr w:rsidR="008D4EE5" w:rsidRPr="000D4ECA" w:rsidTr="00A67771">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200</w:t>
            </w:r>
            <w:r w:rsidR="001748D9">
              <w:rPr>
                <w:rFonts w:cs="Tahoma"/>
                <w:szCs w:val="18"/>
              </w:rPr>
              <w:t xml:space="preserve"> </w:t>
            </w:r>
            <w:r w:rsidR="002376BB">
              <w:rPr>
                <w:rFonts w:cs="Tahoma"/>
                <w:szCs w:val="18"/>
              </w:rPr>
              <w:t>–</w:t>
            </w:r>
            <w:r w:rsidR="001748D9">
              <w:rPr>
                <w:rFonts w:cs="Tahoma"/>
                <w:szCs w:val="18"/>
              </w:rPr>
              <w:t xml:space="preserve"> </w:t>
            </w:r>
            <w:r>
              <w:rPr>
                <w:rFonts w:cs="Tahoma"/>
                <w:szCs w:val="18"/>
              </w:rPr>
              <w:t>3</w:t>
            </w:r>
            <w:r w:rsidR="00072E3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1</w:t>
            </w:r>
          </w:p>
        </w:tc>
      </w:tr>
      <w:tr w:rsidR="008D4EE5" w:rsidRPr="000D4ECA" w:rsidTr="00A67771">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4</w:t>
            </w:r>
            <w:r w:rsidR="00072E38">
              <w:rPr>
                <w:rFonts w:cs="Tahoma"/>
                <w:szCs w:val="18"/>
              </w:rPr>
              <w:t>.</w:t>
            </w:r>
            <w:r>
              <w:rPr>
                <w:rFonts w:cs="Tahoma"/>
                <w:szCs w:val="18"/>
              </w:rPr>
              <w:t>000 – 9</w:t>
            </w:r>
            <w:r w:rsidR="00072E3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3</w:t>
            </w:r>
          </w:p>
        </w:tc>
      </w:tr>
      <w:tr w:rsidR="008D4EE5" w:rsidRPr="000D4ECA" w:rsidTr="00A6777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10</w:t>
            </w:r>
            <w:r w:rsidR="00072E38">
              <w:rPr>
                <w:rFonts w:cs="Tahoma"/>
                <w:szCs w:val="18"/>
              </w:rPr>
              <w:t>.</w:t>
            </w:r>
            <w:r>
              <w:rPr>
                <w:rFonts w:cs="Tahoma"/>
                <w:szCs w:val="18"/>
              </w:rPr>
              <w:t>000 – 99</w:t>
            </w:r>
            <w:r w:rsidR="00072E3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5</w:t>
            </w:r>
          </w:p>
        </w:tc>
      </w:tr>
      <w:tr w:rsidR="008D4EE5" w:rsidRPr="000D4ECA" w:rsidTr="00A6777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100</w:t>
            </w:r>
            <w:r w:rsidR="00072E38">
              <w:rPr>
                <w:rFonts w:cs="Tahoma"/>
                <w:szCs w:val="18"/>
              </w:rPr>
              <w:t>.</w:t>
            </w:r>
            <w:r>
              <w:rPr>
                <w:rFonts w:cs="Tahoma"/>
                <w:szCs w:val="18"/>
              </w:rPr>
              <w:t>000 – 299</w:t>
            </w:r>
            <w:r w:rsidR="00072E3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7</w:t>
            </w:r>
          </w:p>
        </w:tc>
      </w:tr>
      <w:tr w:rsidR="008D4EE5" w:rsidRPr="000D4ECA" w:rsidTr="00A67771">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300</w:t>
            </w:r>
            <w:r w:rsidR="00072E38">
              <w:rPr>
                <w:rFonts w:cs="Tahoma"/>
                <w:szCs w:val="18"/>
              </w:rPr>
              <w:t>.</w:t>
            </w:r>
            <w:r>
              <w:rPr>
                <w:rFonts w:cs="Tahoma"/>
                <w:szCs w:val="18"/>
              </w:rPr>
              <w:t>000 – 599</w:t>
            </w:r>
            <w:r w:rsidR="00072E38">
              <w:rPr>
                <w:rFonts w:cs="Tahoma"/>
                <w:szCs w:val="18"/>
              </w:rPr>
              <w:t>.</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10</w:t>
            </w:r>
          </w:p>
        </w:tc>
      </w:tr>
      <w:tr w:rsidR="008D4EE5" w:rsidRPr="000D4ECA" w:rsidTr="00A6777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2376BB">
            <w:pPr>
              <w:spacing w:after="60"/>
              <w:jc w:val="center"/>
              <w:rPr>
                <w:rFonts w:cs="Tahoma"/>
                <w:szCs w:val="18"/>
              </w:rPr>
            </w:pPr>
            <w:r>
              <w:rPr>
                <w:rFonts w:cs="Tahoma"/>
                <w:szCs w:val="18"/>
              </w:rPr>
              <w:t>600</w:t>
            </w:r>
            <w:r w:rsidR="00072E38">
              <w:rPr>
                <w:rFonts w:cs="Tahoma"/>
                <w:szCs w:val="18"/>
              </w:rPr>
              <w:t>.</w:t>
            </w:r>
            <w:r>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D4EE5" w:rsidRPr="000D4ECA" w:rsidRDefault="008D4EE5" w:rsidP="00A67771">
            <w:pPr>
              <w:spacing w:after="60"/>
              <w:jc w:val="center"/>
              <w:rPr>
                <w:rFonts w:cs="Tahoma"/>
                <w:szCs w:val="18"/>
              </w:rPr>
            </w:pPr>
            <w:r>
              <w:rPr>
                <w:rFonts w:cs="Tahoma"/>
                <w:szCs w:val="18"/>
              </w:rPr>
              <w:t>12</w:t>
            </w:r>
          </w:p>
        </w:tc>
      </w:tr>
    </w:tbl>
    <w:p w:rsidR="008D4EE5" w:rsidRPr="0062435A" w:rsidRDefault="008D4EE5" w:rsidP="008D4EE5"/>
    <w:p w:rsidR="008D4EE5" w:rsidRPr="0062435A" w:rsidRDefault="008D4EE5" w:rsidP="008D4EE5">
      <w:pPr>
        <w:spacing w:after="60"/>
      </w:pPr>
      <w:r>
        <w:rPr>
          <w:rFonts w:cs="Tahoma"/>
          <w:szCs w:val="20"/>
        </w:rPr>
        <w:t>Beispiele</w:t>
      </w:r>
    </w:p>
    <w:p w:rsidR="008D4EE5" w:rsidRPr="0062435A" w:rsidRDefault="008D4EE5" w:rsidP="008D4EE5">
      <w:pPr>
        <w:spacing w:after="60"/>
      </w:pPr>
      <w:r>
        <w:rPr>
          <w:rFonts w:cs="Tahoma"/>
          <w:szCs w:val="20"/>
        </w:rPr>
        <w:t>Open Value-Vertrag mit:</w:t>
      </w:r>
    </w:p>
    <w:p w:rsidR="008D4EE5" w:rsidRPr="0062435A" w:rsidRDefault="008D4EE5" w:rsidP="008D4EE5">
      <w:pPr>
        <w:spacing w:after="60"/>
      </w:pPr>
      <w:r>
        <w:rPr>
          <w:rFonts w:cs="Tahoma"/>
          <w:szCs w:val="20"/>
        </w:rPr>
        <w:t>150 Office Professional Plus L&amp;SA</w:t>
      </w:r>
    </w:p>
    <w:p w:rsidR="008D4EE5" w:rsidRPr="0062435A" w:rsidRDefault="008D4EE5" w:rsidP="008D4EE5">
      <w:pPr>
        <w:spacing w:after="60"/>
      </w:pPr>
      <w:r>
        <w:rPr>
          <w:rFonts w:cs="Tahoma"/>
          <w:szCs w:val="20"/>
          <w:u w:val="single"/>
        </w:rPr>
        <w:t>+50 Visio Standard SA</w:t>
      </w:r>
      <w:r>
        <w:rPr>
          <w:rFonts w:cs="Tahoma"/>
          <w:szCs w:val="20"/>
          <w:u w:val="single"/>
        </w:rPr>
        <w:tab/>
      </w:r>
    </w:p>
    <w:p w:rsidR="008D4EE5" w:rsidRPr="009123CB" w:rsidRDefault="008D4EE5" w:rsidP="008D4EE5">
      <w:pPr>
        <w:spacing w:after="60"/>
        <w:rPr>
          <w:lang w:val="de-DE"/>
        </w:rPr>
      </w:pPr>
      <w:r w:rsidRPr="001748D9">
        <w:rPr>
          <w:rFonts w:cs="Tahoma"/>
          <w:szCs w:val="20"/>
          <w:lang w:val="de-DE"/>
        </w:rPr>
        <w:t>200 abgedeckte Of</w:t>
      </w:r>
      <w:r w:rsidRPr="009123CB">
        <w:rPr>
          <w:rFonts w:cs="Tahoma"/>
          <w:szCs w:val="20"/>
          <w:lang w:val="de-DE"/>
        </w:rPr>
        <w:t>fice-Anwendungs- und/oder Serverlizenzpunkte = 1 Tag</w:t>
      </w:r>
    </w:p>
    <w:p w:rsidR="008D4EE5" w:rsidRPr="009123CB" w:rsidRDefault="008D4EE5" w:rsidP="008D4EE5">
      <w:pPr>
        <w:rPr>
          <w:lang w:val="de-DE"/>
        </w:rPr>
      </w:pPr>
    </w:p>
    <w:p w:rsidR="008D4EE5" w:rsidRPr="009123CB" w:rsidRDefault="008D4EE5" w:rsidP="008D4EE5">
      <w:pPr>
        <w:spacing w:after="60"/>
        <w:rPr>
          <w:lang w:val="de-DE"/>
        </w:rPr>
      </w:pPr>
      <w:r w:rsidRPr="009123CB">
        <w:rPr>
          <w:rFonts w:cs="Tahoma"/>
          <w:szCs w:val="20"/>
          <w:lang w:val="de-DE"/>
        </w:rPr>
        <w:t>Select- oder Select Plus-SAM-Beitritt mit:</w:t>
      </w:r>
    </w:p>
    <w:p w:rsidR="008D4EE5" w:rsidRPr="009123CB" w:rsidRDefault="008D4EE5" w:rsidP="008D4EE5">
      <w:pPr>
        <w:spacing w:after="60"/>
        <w:rPr>
          <w:lang w:val="fr-FR"/>
        </w:rPr>
      </w:pPr>
      <w:r w:rsidRPr="009123CB">
        <w:rPr>
          <w:rFonts w:cs="Tahoma"/>
          <w:szCs w:val="20"/>
          <w:lang w:val="fr-FR"/>
        </w:rPr>
        <w:t>3</w:t>
      </w:r>
      <w:r w:rsidR="00844B7C">
        <w:rPr>
          <w:rFonts w:cs="Tahoma"/>
          <w:szCs w:val="20"/>
          <w:lang w:val="fr-FR"/>
        </w:rPr>
        <w:t>.</w:t>
      </w:r>
      <w:r w:rsidRPr="009123CB">
        <w:rPr>
          <w:rFonts w:cs="Tahoma"/>
          <w:szCs w:val="20"/>
          <w:lang w:val="fr-FR"/>
        </w:rPr>
        <w:t>500 Enterprise CAL Suite SA</w:t>
      </w:r>
    </w:p>
    <w:p w:rsidR="008D4EE5" w:rsidRPr="009123CB" w:rsidRDefault="008D4EE5" w:rsidP="008D4EE5">
      <w:pPr>
        <w:spacing w:after="60"/>
        <w:rPr>
          <w:lang w:val="fr-FR"/>
        </w:rPr>
      </w:pPr>
      <w:r w:rsidRPr="009123CB">
        <w:rPr>
          <w:rFonts w:cs="Tahoma"/>
          <w:szCs w:val="20"/>
          <w:u w:val="single"/>
          <w:lang w:val="fr-FR"/>
        </w:rPr>
        <w:t>x jeweils 2 Punkte</w:t>
      </w:r>
      <w:r w:rsidRPr="009123CB">
        <w:rPr>
          <w:rFonts w:cs="Tahoma"/>
          <w:szCs w:val="20"/>
          <w:u w:val="single"/>
          <w:lang w:val="fr-FR"/>
        </w:rPr>
        <w:tab/>
      </w:r>
      <w:r w:rsidRPr="009123CB">
        <w:rPr>
          <w:rFonts w:cs="Tahoma"/>
          <w:szCs w:val="20"/>
          <w:u w:val="single"/>
          <w:lang w:val="fr-FR"/>
        </w:rPr>
        <w:tab/>
      </w:r>
      <w:r w:rsidRPr="009123CB">
        <w:rPr>
          <w:rFonts w:cs="Tahoma"/>
          <w:szCs w:val="20"/>
          <w:lang w:val="fr-FR"/>
        </w:rPr>
        <w:t xml:space="preserve"> </w:t>
      </w:r>
    </w:p>
    <w:p w:rsidR="008D4EE5" w:rsidRPr="009123CB" w:rsidRDefault="008D4EE5" w:rsidP="008D4EE5">
      <w:pPr>
        <w:spacing w:after="60"/>
        <w:rPr>
          <w:lang w:val="de-DE"/>
        </w:rPr>
      </w:pPr>
      <w:r w:rsidRPr="009123CB">
        <w:rPr>
          <w:rFonts w:cs="Tahoma"/>
          <w:szCs w:val="20"/>
          <w:lang w:val="de-DE"/>
        </w:rPr>
        <w:t>7</w:t>
      </w:r>
      <w:r w:rsidR="00844B7C">
        <w:rPr>
          <w:rFonts w:cs="Tahoma"/>
          <w:szCs w:val="20"/>
          <w:lang w:val="de-DE"/>
        </w:rPr>
        <w:t>.</w:t>
      </w:r>
      <w:r w:rsidRPr="009123CB">
        <w:rPr>
          <w:rFonts w:cs="Tahoma"/>
          <w:szCs w:val="20"/>
          <w:lang w:val="de-DE"/>
        </w:rPr>
        <w:t xml:space="preserve">000 CAL-Punkte = 3 Tage </w:t>
      </w:r>
    </w:p>
    <w:p w:rsidR="008D4EE5" w:rsidRPr="009123CB" w:rsidRDefault="008D4EE5" w:rsidP="008D4EE5">
      <w:pPr>
        <w:rPr>
          <w:lang w:val="de-DE"/>
        </w:rPr>
      </w:pPr>
    </w:p>
    <w:p w:rsidR="008D4EE5" w:rsidRPr="009123CB" w:rsidRDefault="008D4EE5" w:rsidP="008D4EE5">
      <w:pPr>
        <w:spacing w:after="60"/>
        <w:rPr>
          <w:lang w:val="de-DE"/>
        </w:rPr>
      </w:pPr>
      <w:r w:rsidRPr="009123CB">
        <w:rPr>
          <w:rFonts w:cs="Tahoma"/>
          <w:szCs w:val="20"/>
          <w:lang w:val="de-DE"/>
        </w:rPr>
        <w:t>EA-Beitritt mit:</w:t>
      </w:r>
    </w:p>
    <w:p w:rsidR="008D4EE5" w:rsidRPr="0062435A" w:rsidRDefault="008D4EE5" w:rsidP="008D4EE5">
      <w:pPr>
        <w:spacing w:after="60"/>
      </w:pPr>
      <w:r>
        <w:rPr>
          <w:rFonts w:cs="Tahoma"/>
          <w:szCs w:val="20"/>
        </w:rPr>
        <w:t>3</w:t>
      </w:r>
      <w:r w:rsidR="00844B7C">
        <w:rPr>
          <w:rFonts w:cs="Tahoma"/>
          <w:szCs w:val="20"/>
        </w:rPr>
        <w:t>.</w:t>
      </w:r>
      <w:r>
        <w:rPr>
          <w:rFonts w:cs="Tahoma"/>
          <w:szCs w:val="20"/>
        </w:rPr>
        <w:t>500 Enterprise Desktop</w:t>
      </w:r>
    </w:p>
    <w:p w:rsidR="008D4EE5" w:rsidRPr="0062435A" w:rsidRDefault="008D4EE5" w:rsidP="008D4EE5">
      <w:pPr>
        <w:numPr>
          <w:ilvl w:val="0"/>
          <w:numId w:val="70"/>
        </w:numPr>
        <w:tabs>
          <w:tab w:val="left" w:pos="720"/>
        </w:tabs>
        <w:spacing w:after="60" w:line="276" w:lineRule="auto"/>
      </w:pPr>
      <w:r>
        <w:rPr>
          <w:rFonts w:cs="Tahoma"/>
          <w:szCs w:val="20"/>
        </w:rPr>
        <w:t>3</w:t>
      </w:r>
      <w:r w:rsidR="00844B7C">
        <w:rPr>
          <w:rFonts w:cs="Tahoma"/>
          <w:szCs w:val="20"/>
        </w:rPr>
        <w:t>.</w:t>
      </w:r>
      <w:r>
        <w:rPr>
          <w:rFonts w:cs="Tahoma"/>
          <w:szCs w:val="20"/>
        </w:rPr>
        <w:t xml:space="preserve">500 Office Professional </w:t>
      </w:r>
      <w:r>
        <w:rPr>
          <w:rFonts w:cs="Tahoma"/>
          <w:color w:val="000000"/>
          <w:szCs w:val="20"/>
        </w:rPr>
        <w:t>Plus</w:t>
      </w:r>
    </w:p>
    <w:p w:rsidR="008D4EE5" w:rsidRPr="0062435A" w:rsidRDefault="008D4EE5" w:rsidP="008D4EE5">
      <w:pPr>
        <w:numPr>
          <w:ilvl w:val="0"/>
          <w:numId w:val="70"/>
        </w:numPr>
        <w:spacing w:after="60" w:line="276" w:lineRule="auto"/>
      </w:pPr>
      <w:r>
        <w:rPr>
          <w:rFonts w:cs="Tahoma"/>
          <w:color w:val="000000"/>
          <w:szCs w:val="20"/>
        </w:rPr>
        <w:t>3</w:t>
      </w:r>
      <w:r w:rsidR="00844B7C">
        <w:rPr>
          <w:rFonts w:cs="Tahoma"/>
          <w:color w:val="000000"/>
          <w:szCs w:val="20"/>
        </w:rPr>
        <w:t>.</w:t>
      </w:r>
      <w:r>
        <w:rPr>
          <w:rFonts w:cs="Tahoma"/>
          <w:color w:val="000000"/>
          <w:szCs w:val="20"/>
        </w:rPr>
        <w:t>500 Enterprise CAL Suite</w:t>
      </w:r>
    </w:p>
    <w:p w:rsidR="008D4EE5" w:rsidRPr="009123CB" w:rsidRDefault="008D4EE5" w:rsidP="008D4EE5">
      <w:pPr>
        <w:spacing w:after="60"/>
        <w:rPr>
          <w:lang w:val="de-DE"/>
        </w:rPr>
      </w:pPr>
      <w:r w:rsidRPr="009123CB">
        <w:rPr>
          <w:rFonts w:cs="Tahoma"/>
          <w:szCs w:val="20"/>
          <w:lang w:val="de-DE"/>
        </w:rPr>
        <w:t>+50 Windows ServerEnterprise Edition (x je 50 Punkte = 2</w:t>
      </w:r>
      <w:r w:rsidR="00844B7C">
        <w:rPr>
          <w:rFonts w:cs="Tahoma"/>
          <w:szCs w:val="20"/>
          <w:lang w:val="de-DE"/>
        </w:rPr>
        <w:t>.</w:t>
      </w:r>
      <w:r w:rsidRPr="009123CB">
        <w:rPr>
          <w:rFonts w:cs="Tahoma"/>
          <w:szCs w:val="20"/>
          <w:lang w:val="de-DE"/>
        </w:rPr>
        <w:t>500 Punkte)</w:t>
      </w:r>
    </w:p>
    <w:p w:rsidR="008D4EE5" w:rsidRPr="009123CB" w:rsidRDefault="008D4EE5" w:rsidP="008D4EE5">
      <w:pPr>
        <w:spacing w:after="60"/>
        <w:rPr>
          <w:lang w:val="de-DE"/>
        </w:rPr>
      </w:pPr>
      <w:r w:rsidRPr="009123CB">
        <w:rPr>
          <w:rFonts w:cs="Tahoma"/>
          <w:szCs w:val="20"/>
          <w:u w:val="single"/>
          <w:lang w:val="de-DE"/>
        </w:rPr>
        <w:t>+600 Visio Standard SA</w:t>
      </w:r>
      <w:r w:rsidRPr="009123CB">
        <w:rPr>
          <w:rFonts w:cs="Tahoma"/>
          <w:szCs w:val="20"/>
          <w:u w:val="single"/>
          <w:lang w:val="de-DE"/>
        </w:rPr>
        <w:tab/>
      </w:r>
    </w:p>
    <w:p w:rsidR="008D4EE5" w:rsidRPr="009123CB" w:rsidRDefault="008D4EE5" w:rsidP="008D4EE5">
      <w:pPr>
        <w:spacing w:after="60"/>
        <w:rPr>
          <w:lang w:val="de-DE"/>
        </w:rPr>
      </w:pPr>
      <w:r w:rsidRPr="009123CB">
        <w:rPr>
          <w:rFonts w:cs="Tahoma"/>
          <w:szCs w:val="20"/>
          <w:lang w:val="de-DE"/>
        </w:rPr>
        <w:t>6</w:t>
      </w:r>
      <w:r w:rsidR="00844B7C">
        <w:rPr>
          <w:rFonts w:cs="Tahoma"/>
          <w:szCs w:val="20"/>
          <w:lang w:val="de-DE"/>
        </w:rPr>
        <w:t>.</w:t>
      </w:r>
      <w:r w:rsidRPr="009123CB">
        <w:rPr>
          <w:rFonts w:cs="Tahoma"/>
          <w:szCs w:val="20"/>
          <w:lang w:val="de-DE"/>
        </w:rPr>
        <w:t xml:space="preserve">600 Office-Anwendungs- und/oder Serverlizenzpunkte mit SA = 10 Tage </w:t>
      </w:r>
    </w:p>
    <w:p w:rsidR="008D4EE5" w:rsidRPr="0062435A" w:rsidRDefault="008D4EE5" w:rsidP="008D4EE5">
      <w:pPr>
        <w:spacing w:after="60"/>
      </w:pPr>
      <w:r>
        <w:rPr>
          <w:rFonts w:cs="Tahoma"/>
          <w:szCs w:val="20"/>
        </w:rPr>
        <w:t>7</w:t>
      </w:r>
      <w:r w:rsidR="00844B7C">
        <w:rPr>
          <w:rFonts w:cs="Tahoma"/>
          <w:szCs w:val="20"/>
        </w:rPr>
        <w:t>.</w:t>
      </w:r>
      <w:r>
        <w:rPr>
          <w:rFonts w:cs="Tahoma"/>
          <w:szCs w:val="20"/>
        </w:rPr>
        <w:t>000 CAL-Suite-Punkte mit SA = 3 Tage</w:t>
      </w:r>
    </w:p>
    <w:p w:rsidR="008D4EE5" w:rsidRPr="0062435A" w:rsidRDefault="008D4EE5" w:rsidP="008D4EE5">
      <w:pPr>
        <w:numPr>
          <w:ilvl w:val="0"/>
          <w:numId w:val="71"/>
        </w:numPr>
        <w:spacing w:after="60"/>
        <w:ind w:left="720"/>
      </w:pPr>
      <w:r>
        <w:rPr>
          <w:rFonts w:cs="Tahoma"/>
          <w:szCs w:val="20"/>
        </w:rPr>
        <w:t>Insgesamt 13 Planning Services-Tage</w:t>
      </w:r>
    </w:p>
    <w:p w:rsidR="008D4EE5" w:rsidRPr="0062435A" w:rsidRDefault="008D4EE5" w:rsidP="008D4EE5">
      <w:pPr>
        <w:spacing w:after="60"/>
      </w:pPr>
      <w:r>
        <w:rPr>
          <w:rFonts w:cs="Tahoma"/>
          <w:szCs w:val="20"/>
        </w:rPr>
        <w:t>ECI-Beitritt mit:</w:t>
      </w:r>
    </w:p>
    <w:p w:rsidR="008D4EE5" w:rsidRPr="0062435A" w:rsidRDefault="008D4EE5" w:rsidP="008D4EE5">
      <w:pPr>
        <w:spacing w:after="60"/>
      </w:pPr>
      <w:r>
        <w:rPr>
          <w:rFonts w:cs="Tahoma"/>
          <w:szCs w:val="20"/>
        </w:rPr>
        <w:t xml:space="preserve">100 ECI Datacenter </w:t>
      </w:r>
    </w:p>
    <w:p w:rsidR="008D4EE5" w:rsidRPr="0062435A" w:rsidRDefault="008D4EE5" w:rsidP="008D4EE5">
      <w:pPr>
        <w:numPr>
          <w:ilvl w:val="0"/>
          <w:numId w:val="71"/>
        </w:numPr>
        <w:spacing w:after="60"/>
        <w:ind w:left="720"/>
      </w:pPr>
      <w:r>
        <w:rPr>
          <w:rFonts w:cs="Tahoma"/>
          <w:szCs w:val="20"/>
        </w:rPr>
        <w:t>100 Windows Server Datacenter Edition (x je 75 Punkte x 2-Punkte-Multiplikator = 15</w:t>
      </w:r>
      <w:r w:rsidR="00844B7C">
        <w:rPr>
          <w:rFonts w:cs="Tahoma"/>
          <w:szCs w:val="20"/>
        </w:rPr>
        <w:t>.</w:t>
      </w:r>
      <w:r>
        <w:rPr>
          <w:rFonts w:cs="Tahoma"/>
          <w:szCs w:val="20"/>
        </w:rPr>
        <w:t>000 Punkte)</w:t>
      </w:r>
    </w:p>
    <w:p w:rsidR="008D4EE5" w:rsidRPr="0062435A" w:rsidRDefault="008D4EE5" w:rsidP="008D4EE5">
      <w:pPr>
        <w:numPr>
          <w:ilvl w:val="0"/>
          <w:numId w:val="71"/>
        </w:numPr>
        <w:spacing w:after="60"/>
        <w:ind w:left="720"/>
      </w:pPr>
      <w:r>
        <w:rPr>
          <w:rFonts w:cs="Tahoma"/>
          <w:szCs w:val="20"/>
          <w:u w:val="single"/>
        </w:rPr>
        <w:t>100 System Center 2012 Datacenter Edition (x je 75 Punkte x 2-Punkte-Multiplikator = 15</w:t>
      </w:r>
      <w:r w:rsidR="00844B7C">
        <w:rPr>
          <w:rFonts w:cs="Tahoma"/>
          <w:szCs w:val="20"/>
          <w:u w:val="single"/>
        </w:rPr>
        <w:t>.</w:t>
      </w:r>
      <w:r>
        <w:rPr>
          <w:rFonts w:cs="Tahoma"/>
          <w:szCs w:val="20"/>
          <w:u w:val="single"/>
        </w:rPr>
        <w:t>000 Punkte)</w:t>
      </w:r>
    </w:p>
    <w:p w:rsidR="008D4EE5" w:rsidRPr="009123CB" w:rsidRDefault="008D4EE5" w:rsidP="002376BB">
      <w:pPr>
        <w:spacing w:after="60"/>
        <w:ind w:firstLine="720"/>
        <w:rPr>
          <w:lang w:val="de-DE"/>
        </w:rPr>
      </w:pPr>
      <w:r w:rsidRPr="009123CB">
        <w:rPr>
          <w:rFonts w:cs="Tahoma"/>
          <w:szCs w:val="20"/>
          <w:lang w:val="de-DE"/>
        </w:rPr>
        <w:t>30</w:t>
      </w:r>
      <w:r w:rsidR="00844B7C">
        <w:rPr>
          <w:rFonts w:cs="Tahoma"/>
          <w:szCs w:val="20"/>
          <w:lang w:val="de-DE"/>
        </w:rPr>
        <w:t>.</w:t>
      </w:r>
      <w:r w:rsidRPr="009123CB">
        <w:rPr>
          <w:rFonts w:cs="Tahoma"/>
          <w:szCs w:val="20"/>
          <w:lang w:val="de-DE"/>
        </w:rPr>
        <w:t>000 Office-Anwendungs- und/oder Serverlizenzpunkte mit SA = 15 Tage</w:t>
      </w:r>
    </w:p>
    <w:p w:rsidR="008D4EE5" w:rsidRPr="009123CB" w:rsidRDefault="008D4EE5" w:rsidP="008D4EE5">
      <w:pPr>
        <w:ind w:firstLine="360"/>
        <w:rPr>
          <w:lang w:val="de-DE"/>
        </w:rPr>
      </w:pPr>
    </w:p>
    <w:p w:rsidR="008D4EE5" w:rsidRPr="009123CB" w:rsidRDefault="008D4EE5" w:rsidP="002376BB">
      <w:pPr>
        <w:pStyle w:val="AppendixBodyText"/>
        <w:spacing w:after="0"/>
        <w:rPr>
          <w:lang w:val="de-DE"/>
        </w:rPr>
      </w:pPr>
      <w:r w:rsidRPr="009123CB">
        <w:rPr>
          <w:rFonts w:ascii="Tahoma" w:hAnsi="Tahoma" w:cs="Tahoma"/>
          <w:sz w:val="18"/>
          <w:lang w:val="de-DE"/>
        </w:rP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w:t>
      </w:r>
      <w:r w:rsidR="002376BB">
        <w:rPr>
          <w:rFonts w:ascii="Tahoma" w:hAnsi="Tahoma" w:cs="Tahoma"/>
          <w:sz w:val="18"/>
          <w:lang w:val="de-DE"/>
        </w:rPr>
        <w:t> </w:t>
      </w:r>
      <w:r w:rsidRPr="009123CB">
        <w:rPr>
          <w:rFonts w:ascii="Tahoma" w:hAnsi="Tahoma" w:cs="Tahoma"/>
          <w:sz w:val="18"/>
          <w:lang w:val="de-DE"/>
        </w:rPr>
        <w:t>Trainingsgutschein-Vergünstigung, die umgewandelt werden können</w:t>
      </w:r>
      <w:r w:rsidR="006257A7">
        <w:rPr>
          <w:rFonts w:ascii="Tahoma" w:hAnsi="Tahoma" w:cs="Tahoma"/>
          <w:sz w:val="18"/>
          <w:lang w:val="de-DE"/>
        </w:rPr>
        <w:t xml:space="preserve">. </w:t>
      </w:r>
      <w:r w:rsidRPr="009123CB">
        <w:rPr>
          <w:rFonts w:ascii="Tahoma" w:hAnsi="Tahoma" w:cs="Tahoma"/>
          <w:sz w:val="18"/>
          <w:lang w:val="de-DE"/>
        </w:rPr>
        <w:t>Berechtigte Kunden können nicht in Anspruch genommene Trainingsgutschein-Tage im Verhältnis 3:1 in Planning Service-Tage umwandeln (drei</w:t>
      </w:r>
      <w:r w:rsidR="002376BB">
        <w:rPr>
          <w:rFonts w:ascii="Tahoma" w:hAnsi="Tahoma" w:cs="Tahoma"/>
          <w:sz w:val="18"/>
          <w:lang w:val="de-DE"/>
        </w:rPr>
        <w:t> </w:t>
      </w:r>
      <w:r w:rsidRPr="009123CB">
        <w:rPr>
          <w:rFonts w:ascii="Tahoma" w:hAnsi="Tahoma" w:cs="Tahoma"/>
          <w:sz w:val="18"/>
          <w:lang w:val="de-DE"/>
        </w:rPr>
        <w:t>Trainingsgutschein-Tage = ein Planning Services-Tag)</w:t>
      </w:r>
      <w:r w:rsidR="006257A7">
        <w:rPr>
          <w:rFonts w:ascii="Tahoma" w:hAnsi="Tahoma" w:cs="Tahoma"/>
          <w:sz w:val="18"/>
          <w:lang w:val="de-DE"/>
        </w:rPr>
        <w:t xml:space="preserve">. </w:t>
      </w:r>
      <w:r w:rsidRPr="009123CB">
        <w:rPr>
          <w:rFonts w:ascii="Tahoma" w:hAnsi="Tahoma" w:cs="Tahoma"/>
          <w:bCs/>
          <w:sz w:val="18"/>
          <w:lang w:val="de-DE"/>
        </w:rPr>
        <w:t>(HINWEIS: Kunden, die ihre Trainingsgutschein-Tage für</w:t>
      </w:r>
      <w:r w:rsidR="002376BB">
        <w:rPr>
          <w:rFonts w:ascii="Tahoma" w:hAnsi="Tahoma" w:cs="Tahoma"/>
          <w:bCs/>
          <w:sz w:val="18"/>
          <w:lang w:val="de-DE"/>
        </w:rPr>
        <w:t> </w:t>
      </w:r>
      <w:r w:rsidRPr="009123CB">
        <w:rPr>
          <w:rFonts w:ascii="Tahoma" w:hAnsi="Tahoma" w:cs="Tahoma"/>
          <w:bCs/>
          <w:sz w:val="18"/>
          <w:lang w:val="de-DE"/>
        </w:rPr>
        <w:t>Planning Services verwenden möchten, sollten mit diesen Tagen keine Trainingsgutscheine erstellen</w:t>
      </w:r>
      <w:r w:rsidR="006257A7">
        <w:rPr>
          <w:rFonts w:ascii="Tahoma" w:hAnsi="Tahoma" w:cs="Tahoma"/>
          <w:bCs/>
          <w:sz w:val="18"/>
          <w:lang w:val="de-DE"/>
        </w:rPr>
        <w:t xml:space="preserve">. </w:t>
      </w:r>
      <w:r w:rsidRPr="009123CB">
        <w:rPr>
          <w:rFonts w:ascii="Tahoma" w:hAnsi="Tahoma" w:cs="Tahoma"/>
          <w:bCs/>
          <w:sz w:val="18"/>
          <w:lang w:val="de-DE"/>
        </w:rPr>
        <w:t>) [</w:t>
      </w:r>
      <w:r w:rsidRPr="009123CB">
        <w:rPr>
          <w:rFonts w:ascii="Tahoma" w:hAnsi="Tahoma" w:cs="Tahoma"/>
          <w:sz w:val="18"/>
          <w:lang w:val="de-DE"/>
        </w:rPr>
        <w:t>Planning</w:t>
      </w:r>
      <w:r w:rsidRPr="009123CB">
        <w:rPr>
          <w:rFonts w:ascii="Tahoma" w:hAnsi="Tahoma" w:cs="Tahoma"/>
          <w:bCs/>
          <w:sz w:val="18"/>
          <w:lang w:val="de-DE"/>
        </w:rPr>
        <w:t xml:space="preserve"> Services-Tage können nicht in Trainingsgutschein-Tage umgewandelt werden</w:t>
      </w:r>
      <w:r w:rsidR="006257A7">
        <w:rPr>
          <w:rFonts w:ascii="Tahoma" w:hAnsi="Tahoma" w:cs="Tahoma"/>
          <w:bCs/>
          <w:sz w:val="18"/>
          <w:lang w:val="de-DE"/>
        </w:rPr>
        <w:t xml:space="preserve">. </w:t>
      </w:r>
      <w:r w:rsidRPr="009123CB">
        <w:rPr>
          <w:rFonts w:ascii="Tahoma" w:hAnsi="Tahoma" w:cs="Tahoma"/>
          <w:bCs/>
          <w:sz w:val="18"/>
          <w:lang w:val="de-DE"/>
        </w:rPr>
        <w:t>] Wenn jedoch ein Kunde die Umwandlung von Trainingsgutschein-Tagen rückgängig machen möchte, können die Planning Services-Tage wieder in Trainingsgutschein-Tage umgewandelt werden</w:t>
      </w:r>
      <w:r w:rsidR="006257A7">
        <w:rPr>
          <w:rFonts w:ascii="Tahoma" w:hAnsi="Tahoma" w:cs="Tahoma"/>
          <w:bCs/>
          <w:sz w:val="18"/>
          <w:lang w:val="de-DE"/>
        </w:rPr>
        <w:t xml:space="preserve">. </w:t>
      </w:r>
      <w:r w:rsidRPr="009123CB">
        <w:rPr>
          <w:rFonts w:ascii="Tahoma" w:hAnsi="Tahoma" w:cs="Tahoma"/>
          <w:bCs/>
          <w:sz w:val="18"/>
          <w:lang w:val="de-DE"/>
        </w:rPr>
        <w:t>Nach der Umwandlung von Trainingsgutschein-Tagen in Planning Services-Tage erscheinen die Planning Services-Tage im Pool der Planning Services-Tage des Kunden</w:t>
      </w:r>
      <w:r w:rsidR="006257A7">
        <w:rPr>
          <w:rFonts w:ascii="Tahoma" w:hAnsi="Tahoma" w:cs="Tahoma"/>
          <w:bCs/>
          <w:sz w:val="18"/>
          <w:lang w:val="de-DE"/>
        </w:rPr>
        <w:t xml:space="preserve">. </w:t>
      </w:r>
      <w:r w:rsidRPr="009123CB">
        <w:rPr>
          <w:rFonts w:ascii="Tahoma" w:hAnsi="Tahoma" w:cs="Tahoma"/>
          <w:bCs/>
          <w:sz w:val="18"/>
          <w:lang w:val="de-DE"/>
        </w:rPr>
        <w:t>Mit diesen Tagen können dann Gutscheine für verfügbare Services (wie DDPS oder SDPS) erstellt werden</w:t>
      </w:r>
      <w:r w:rsidR="006257A7">
        <w:rPr>
          <w:rFonts w:ascii="Tahoma" w:hAnsi="Tahoma" w:cs="Tahoma"/>
          <w:bCs/>
          <w:sz w:val="18"/>
          <w:lang w:val="de-DE"/>
        </w:rPr>
        <w:t xml:space="preserve">. </w:t>
      </w:r>
      <w:r w:rsidRPr="009123CB">
        <w:rPr>
          <w:rFonts w:ascii="Tahoma" w:hAnsi="Tahoma" w:cs="Tahoma"/>
          <w:bCs/>
          <w:sz w:val="18"/>
          <w:lang w:val="de-DE"/>
        </w:rPr>
        <w:t>*Die Berechtigung von Kunden, Tage zurück in Trainingsgutschein-Tage umzuwandeln, ist durch die Anzahl von Tagen, die auf der Stufe der Planning Services-Tage verfügbar sind, begrenzt</w:t>
      </w:r>
      <w:r w:rsidR="006257A7">
        <w:rPr>
          <w:rFonts w:ascii="Tahoma" w:hAnsi="Tahoma" w:cs="Tahoma"/>
          <w:bCs/>
          <w:sz w:val="18"/>
          <w:lang w:val="de-DE"/>
        </w:rPr>
        <w:t xml:space="preserve">. </w:t>
      </w:r>
      <w:r w:rsidRPr="009123CB">
        <w:rPr>
          <w:rFonts w:ascii="Tahoma" w:hAnsi="Tahoma" w:cs="Tahoma"/>
          <w:bCs/>
          <w:sz w:val="18"/>
          <w:lang w:val="de-DE"/>
        </w:rPr>
        <w:t>Wenn ein Kunde 10 Tage zurückumwandeln möchte, sich</w:t>
      </w:r>
      <w:r w:rsidR="002376BB">
        <w:rPr>
          <w:rFonts w:ascii="Tahoma" w:hAnsi="Tahoma" w:cs="Tahoma"/>
          <w:bCs/>
          <w:sz w:val="18"/>
          <w:lang w:val="de-DE"/>
        </w:rPr>
        <w:t> </w:t>
      </w:r>
      <w:r w:rsidRPr="009123CB">
        <w:rPr>
          <w:rFonts w:ascii="Tahoma" w:hAnsi="Tahoma" w:cs="Tahoma"/>
          <w:bCs/>
          <w:sz w:val="18"/>
          <w:lang w:val="de-DE"/>
        </w:rPr>
        <w:t>jedoch nur 8 Planning Services-Tage in seinem Pool befinden, kann der Kunde nur 8 Tage zurückumwandeln</w:t>
      </w:r>
      <w:r w:rsidR="006257A7">
        <w:rPr>
          <w:rFonts w:ascii="Tahoma" w:hAnsi="Tahoma" w:cs="Tahoma"/>
          <w:bCs/>
          <w:sz w:val="18"/>
          <w:lang w:val="de-DE"/>
        </w:rPr>
        <w:t xml:space="preserve">. </w:t>
      </w:r>
    </w:p>
    <w:p w:rsidR="008D4EE5" w:rsidRPr="009123CB" w:rsidRDefault="008D4EE5" w:rsidP="008D4EE5">
      <w:pPr>
        <w:pStyle w:val="AppendixBodyText"/>
        <w:spacing w:after="0"/>
        <w:rPr>
          <w:lang w:val="de-DE"/>
        </w:rPr>
      </w:pPr>
    </w:p>
    <w:p w:rsidR="008D4EE5" w:rsidRPr="009123CB" w:rsidRDefault="008D4EE5" w:rsidP="008D4EE5">
      <w:pPr>
        <w:pStyle w:val="AppendixBodyText"/>
        <w:spacing w:after="0"/>
        <w:rPr>
          <w:lang w:val="de-DE"/>
        </w:rPr>
      </w:pPr>
      <w:r w:rsidRPr="009123CB">
        <w:rPr>
          <w:rFonts w:ascii="Tahoma" w:hAnsi="Tahoma" w:cs="Tahoma"/>
          <w:bCs/>
          <w:sz w:val="18"/>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r w:rsidR="006257A7">
        <w:rPr>
          <w:rFonts w:ascii="Tahoma" w:hAnsi="Tahoma" w:cs="Tahoma"/>
          <w:bCs/>
          <w:sz w:val="18"/>
          <w:lang w:val="de-DE"/>
        </w:rPr>
        <w:t xml:space="preserve">. </w:t>
      </w:r>
    </w:p>
    <w:p w:rsidR="008D4EE5" w:rsidRPr="009123CB" w:rsidRDefault="008D4EE5" w:rsidP="008D4EE5">
      <w:pPr>
        <w:pStyle w:val="AppendixBodyText"/>
        <w:spacing w:after="0"/>
        <w:rPr>
          <w:lang w:val="de-DE"/>
        </w:rPr>
      </w:pPr>
    </w:p>
    <w:p w:rsidR="008D4EE5" w:rsidRPr="009123CB" w:rsidRDefault="008D4EE5" w:rsidP="008D4EE5">
      <w:pPr>
        <w:pStyle w:val="AppendixBodyText"/>
        <w:rPr>
          <w:lang w:val="de-DE"/>
        </w:rPr>
      </w:pPr>
      <w:r w:rsidRPr="009123CB">
        <w:rPr>
          <w:rFonts w:ascii="Tahoma" w:hAnsi="Tahoma" w:cs="Tahoma"/>
          <w:sz w:val="18"/>
          <w:lang w:val="de-DE"/>
        </w:rPr>
        <w:t>Planning Services können dem Kunden durch qualifizierte Microsoft-Partner oder Microsoft Consulting Services bereitgestellt werden</w:t>
      </w:r>
      <w:r w:rsidR="006257A7">
        <w:rPr>
          <w:rFonts w:ascii="Tahoma" w:hAnsi="Tahoma" w:cs="Tahoma"/>
          <w:sz w:val="18"/>
          <w:lang w:val="de-DE"/>
        </w:rPr>
        <w:t xml:space="preserve">. </w:t>
      </w:r>
      <w:r w:rsidRPr="009123CB">
        <w:rPr>
          <w:rFonts w:ascii="Tahoma" w:hAnsi="Tahoma" w:cs="Tahoma"/>
          <w:sz w:val="18"/>
          <w:lang w:val="de-DE"/>
        </w:rPr>
        <w:t>Kunden können die Liste Qualifizierter Anbieter unter folgender Adresse einsehen: http://directory</w:t>
      </w:r>
      <w:r w:rsidR="00E869D6">
        <w:rPr>
          <w:rFonts w:ascii="Tahoma" w:hAnsi="Tahoma" w:cs="Tahoma"/>
          <w:sz w:val="18"/>
          <w:lang w:val="de-DE"/>
        </w:rPr>
        <w:t>.</w:t>
      </w:r>
      <w:r w:rsidRPr="009123CB">
        <w:rPr>
          <w:rFonts w:ascii="Tahoma" w:hAnsi="Tahoma" w:cs="Tahoma"/>
          <w:sz w:val="18"/>
          <w:lang w:val="de-DE"/>
        </w:rPr>
        <w:t>partners</w:t>
      </w:r>
      <w:r w:rsidR="00E869D6">
        <w:rPr>
          <w:rFonts w:ascii="Tahoma" w:hAnsi="Tahoma" w:cs="Tahoma"/>
          <w:sz w:val="18"/>
          <w:lang w:val="de-DE"/>
        </w:rPr>
        <w:t>.</w:t>
      </w:r>
      <w:r w:rsidRPr="009123CB">
        <w:rPr>
          <w:rFonts w:ascii="Tahoma" w:hAnsi="Tahoma" w:cs="Tahoma"/>
          <w:sz w:val="18"/>
          <w:lang w:val="de-DE"/>
        </w:rPr>
        <w:t>extranet</w:t>
      </w:r>
      <w:r w:rsidR="00E869D6">
        <w:rPr>
          <w:rFonts w:ascii="Tahoma" w:hAnsi="Tahoma" w:cs="Tahoma"/>
          <w:sz w:val="18"/>
          <w:lang w:val="de-DE"/>
        </w:rPr>
        <w:t>.</w:t>
      </w:r>
      <w:r w:rsidRPr="009123CB">
        <w:rPr>
          <w:rFonts w:ascii="Tahoma" w:hAnsi="Tahoma" w:cs="Tahoma"/>
          <w:sz w:val="18"/>
          <w:lang w:val="de-DE"/>
        </w:rPr>
        <w:t>microsoft</w:t>
      </w:r>
      <w:r w:rsidR="00E869D6">
        <w:rPr>
          <w:rFonts w:ascii="Tahoma" w:hAnsi="Tahoma" w:cs="Tahoma"/>
          <w:sz w:val="18"/>
          <w:lang w:val="de-DE"/>
        </w:rPr>
        <w:t>.</w:t>
      </w:r>
      <w:r w:rsidRPr="009123CB">
        <w:rPr>
          <w:rFonts w:ascii="Tahoma" w:hAnsi="Tahoma" w:cs="Tahoma"/>
          <w:sz w:val="18"/>
          <w:lang w:val="de-DE"/>
        </w:rPr>
        <w:t>com/psbproviders</w:t>
      </w:r>
    </w:p>
    <w:p w:rsidR="008D4EE5" w:rsidRPr="009123CB" w:rsidRDefault="008D4EE5" w:rsidP="008D4EE5">
      <w:pPr>
        <w:rPr>
          <w:lang w:val="de-DE"/>
        </w:rPr>
      </w:pPr>
    </w:p>
    <w:p w:rsidR="008D4EE5" w:rsidRPr="009123CB" w:rsidRDefault="008D4EE5" w:rsidP="008D4EE5">
      <w:pPr>
        <w:pStyle w:val="AppendixBodyText"/>
        <w:spacing w:after="0"/>
        <w:rPr>
          <w:lang w:val="de-DE"/>
        </w:rPr>
      </w:pPr>
      <w:r w:rsidRPr="009123CB">
        <w:rPr>
          <w:rFonts w:ascii="Tahoma" w:hAnsi="Tahoma" w:cs="Tahoma"/>
          <w:sz w:val="18"/>
          <w:lang w:val="de-DE"/>
        </w:rPr>
        <w:t>Planning Services-Einsätze umfassen Beratung mit einem vorab festgelegten Leistungsumfang, aus der ein allgemeiner Bereitstellungsplan hervorgeht; die eigentliche Bereitstellung der Software kann nicht im Leistungsumfang berücksichtigt werden</w:t>
      </w:r>
      <w:r w:rsidR="006257A7">
        <w:rPr>
          <w:rFonts w:ascii="Tahoma" w:hAnsi="Tahoma" w:cs="Tahoma"/>
          <w:sz w:val="18"/>
          <w:lang w:val="de-DE"/>
        </w:rPr>
        <w:t xml:space="preserve">. </w:t>
      </w:r>
    </w:p>
    <w:p w:rsidR="008D4EE5" w:rsidRPr="009123CB" w:rsidRDefault="008D4EE5" w:rsidP="008D4EE5">
      <w:pPr>
        <w:pStyle w:val="AppendixBodyText"/>
        <w:spacing w:after="0"/>
        <w:rPr>
          <w:lang w:val="de-DE"/>
        </w:rPr>
      </w:pPr>
    </w:p>
    <w:p w:rsidR="008D4EE5" w:rsidRPr="009123CB" w:rsidRDefault="008D4EE5" w:rsidP="008D4EE5">
      <w:pPr>
        <w:pStyle w:val="AppendixBodyText"/>
        <w:numPr>
          <w:ilvl w:val="0"/>
          <w:numId w:val="1"/>
        </w:numPr>
        <w:tabs>
          <w:tab w:val="clear" w:pos="720"/>
          <w:tab w:val="num" w:pos="1440"/>
        </w:tabs>
        <w:ind w:left="1440"/>
        <w:rPr>
          <w:lang w:val="de-DE"/>
        </w:rPr>
      </w:pPr>
      <w:r w:rsidRPr="009123CB">
        <w:rPr>
          <w:rFonts w:ascii="Tahoma" w:hAnsi="Tahoma" w:cs="Tahoma"/>
          <w:bCs/>
          <w:sz w:val="18"/>
          <w:lang w:val="de-DE"/>
        </w:rPr>
        <w:t>Planning Services sind nicht in allen Sprachen verfügbar</w:t>
      </w:r>
      <w:r w:rsidR="006257A7">
        <w:rPr>
          <w:rFonts w:ascii="Tahoma" w:hAnsi="Tahoma" w:cs="Tahoma"/>
          <w:bCs/>
          <w:sz w:val="18"/>
          <w:lang w:val="de-DE"/>
        </w:rPr>
        <w:t xml:space="preserve">. </w:t>
      </w:r>
    </w:p>
    <w:p w:rsidR="008D4EE5" w:rsidRPr="009123CB" w:rsidRDefault="008D4EE5" w:rsidP="008D4EE5">
      <w:pPr>
        <w:pStyle w:val="AppendixBodyText"/>
        <w:numPr>
          <w:ilvl w:val="0"/>
          <w:numId w:val="1"/>
        </w:numPr>
        <w:tabs>
          <w:tab w:val="clear" w:pos="720"/>
          <w:tab w:val="num" w:pos="1440"/>
        </w:tabs>
        <w:ind w:left="1440"/>
        <w:rPr>
          <w:lang w:val="de-DE"/>
        </w:rPr>
      </w:pPr>
      <w:r w:rsidRPr="009123CB">
        <w:rPr>
          <w:rFonts w:ascii="Tahoma" w:hAnsi="Tahoma" w:cs="Tahoma"/>
          <w:bCs/>
          <w:color w:val="000000"/>
          <w:sz w:val="18"/>
          <w:lang w:val="de-DE"/>
        </w:rPr>
        <w:t>Planning Services-Gutscheine können nur von dem Kunden eingelöst werden, der sich für die Vergünstigung qualifiziert hat</w:t>
      </w:r>
      <w:r w:rsidR="006257A7">
        <w:rPr>
          <w:rFonts w:ascii="Tahoma" w:hAnsi="Tahoma" w:cs="Tahoma"/>
          <w:bCs/>
          <w:color w:val="000000"/>
          <w:sz w:val="18"/>
          <w:lang w:val="de-DE"/>
        </w:rPr>
        <w:t xml:space="preserve">. </w:t>
      </w:r>
    </w:p>
    <w:p w:rsidR="008D4EE5" w:rsidRPr="009123CB" w:rsidRDefault="008D4EE5" w:rsidP="008D4EE5">
      <w:pPr>
        <w:pStyle w:val="AppendixBodyText"/>
        <w:numPr>
          <w:ilvl w:val="0"/>
          <w:numId w:val="1"/>
        </w:numPr>
        <w:tabs>
          <w:tab w:val="clear" w:pos="720"/>
          <w:tab w:val="num" w:pos="1440"/>
        </w:tabs>
        <w:ind w:left="1440"/>
        <w:rPr>
          <w:lang w:val="de-DE"/>
        </w:rPr>
      </w:pPr>
      <w:r w:rsidRPr="009123CB">
        <w:rPr>
          <w:rFonts w:ascii="Tahoma" w:hAnsi="Tahoma" w:cs="Tahoma"/>
          <w:bCs/>
          <w:color w:val="000000"/>
          <w:sz w:val="18"/>
          <w:lang w:val="de-DE"/>
        </w:rPr>
        <w:t>Planning Services-Gutscheine können nicht gegen Bargeld, Zahlungen oder andere entgeltliche Gegenleistungen eingetauscht werden</w:t>
      </w:r>
      <w:r w:rsidR="006257A7">
        <w:rPr>
          <w:rFonts w:ascii="Tahoma" w:hAnsi="Tahoma" w:cs="Tahoma"/>
          <w:bCs/>
          <w:color w:val="000000"/>
          <w:sz w:val="18"/>
          <w:lang w:val="de-DE"/>
        </w:rPr>
        <w:t xml:space="preserve">. </w:t>
      </w:r>
    </w:p>
    <w:p w:rsidR="008D4EE5" w:rsidRPr="009123CB" w:rsidRDefault="008D4EE5" w:rsidP="008D4EE5">
      <w:pPr>
        <w:pStyle w:val="AppendixBodyText"/>
        <w:numPr>
          <w:ilvl w:val="0"/>
          <w:numId w:val="1"/>
        </w:numPr>
        <w:tabs>
          <w:tab w:val="clear" w:pos="720"/>
          <w:tab w:val="num" w:pos="1440"/>
        </w:tabs>
        <w:ind w:left="1440"/>
        <w:rPr>
          <w:lang w:val="de-DE"/>
        </w:rPr>
      </w:pPr>
      <w:r w:rsidRPr="009123CB">
        <w:rPr>
          <w:rFonts w:ascii="Tahoma" w:hAnsi="Tahoma" w:cs="Tahoma"/>
          <w:bCs/>
          <w:color w:val="000000"/>
          <w:sz w:val="18"/>
          <w:lang w:val="de-DE"/>
        </w:rPr>
        <w:t xml:space="preserve">Kunden, die daran interessiert sind, zusätzliche Services zu erwerben, die über </w:t>
      </w:r>
      <w:r w:rsidRPr="009123CB">
        <w:rPr>
          <w:rFonts w:ascii="Tahoma" w:hAnsi="Tahoma" w:cs="Tahoma"/>
          <w:color w:val="000000"/>
          <w:sz w:val="18"/>
          <w:szCs w:val="18"/>
          <w:lang w:val="de-DE"/>
        </w:rPr>
        <w:t>den Umfang der Arbeit für den zugewiesenen Gutscheineinsatz (wie durch den Gutscheintyp und Servicelevel vorgegeben)</w:t>
      </w:r>
      <w:r w:rsidRPr="009123CB">
        <w:rPr>
          <w:rFonts w:ascii="Tahoma" w:hAnsi="Tahoma" w:cs="Tahoma"/>
          <w:bCs/>
          <w:color w:val="000000"/>
          <w:sz w:val="18"/>
          <w:lang w:val="de-DE"/>
        </w:rPr>
        <w:t xml:space="preserve"> hinausgehen, können den Anbieter außerhalb dieses Programms bezahlen</w:t>
      </w:r>
      <w:r w:rsidR="006257A7">
        <w:rPr>
          <w:rFonts w:ascii="Tahoma" w:hAnsi="Tahoma" w:cs="Tahoma"/>
          <w:bCs/>
          <w:color w:val="000000"/>
          <w:sz w:val="18"/>
          <w:lang w:val="de-DE"/>
        </w:rPr>
        <w:t xml:space="preserve">. </w:t>
      </w:r>
    </w:p>
    <w:p w:rsidR="008D4EE5" w:rsidRPr="009123CB" w:rsidRDefault="008D4EE5" w:rsidP="008D4EE5">
      <w:pPr>
        <w:pStyle w:val="AppendixBodyText"/>
        <w:numPr>
          <w:ilvl w:val="0"/>
          <w:numId w:val="1"/>
        </w:numPr>
        <w:tabs>
          <w:tab w:val="clear" w:pos="720"/>
          <w:tab w:val="num" w:pos="1440"/>
        </w:tabs>
        <w:ind w:left="1440"/>
        <w:rPr>
          <w:lang w:val="de-DE"/>
        </w:rPr>
      </w:pPr>
      <w:r w:rsidRPr="009123CB">
        <w:rPr>
          <w:rFonts w:ascii="Tahoma" w:hAnsi="Tahoma" w:cs="Tahoma"/>
          <w:color w:val="000000"/>
          <w:sz w:val="18"/>
          <w:lang w:val="de-DE"/>
        </w:rPr>
        <w:t>Durch Verringerung de</w:t>
      </w:r>
      <w:r w:rsidRPr="009123CB">
        <w:rPr>
          <w:rFonts w:ascii="Tahoma" w:hAnsi="Tahoma" w:cs="Tahoma"/>
          <w:bCs/>
          <w:color w:val="000000"/>
          <w:sz w:val="18"/>
          <w:lang w:val="de-DE"/>
        </w:rPr>
        <w:t>s</w:t>
      </w:r>
      <w:r w:rsidRPr="009123CB">
        <w:rPr>
          <w:rFonts w:ascii="Tahoma" w:hAnsi="Tahoma" w:cs="Tahoma"/>
          <w:color w:val="000000"/>
          <w:sz w:val="18"/>
          <w:lang w:val="de-DE"/>
        </w:rPr>
        <w:t xml:space="preserve"> qualifizierenden SA-Umfangs aufgrund von Rückgaben und anderen Abrechnungsanpassungen,</w:t>
      </w:r>
      <w:r w:rsidRPr="009123CB">
        <w:rPr>
          <w:rFonts w:ascii="Tahoma" w:hAnsi="Tahoma" w:cs="Tahoma"/>
          <w:bCs/>
          <w:color w:val="000000"/>
          <w:sz w:val="18"/>
          <w:lang w:val="de-DE"/>
        </w:rPr>
        <w:t>,</w:t>
      </w:r>
      <w:r w:rsidRPr="009123CB">
        <w:rPr>
          <w:rFonts w:ascii="Tahoma" w:hAnsi="Tahoma" w:cs="Tahoma"/>
          <w:color w:val="000000"/>
          <w:sz w:val="18"/>
          <w:lang w:val="de-DE"/>
        </w:rPr>
        <w:t xml:space="preserve"> sofern zulässig, </w:t>
      </w:r>
      <w:r w:rsidRPr="009123CB">
        <w:rPr>
          <w:rFonts w:ascii="Tahoma" w:hAnsi="Tahoma" w:cs="Tahoma"/>
          <w:bCs/>
          <w:color w:val="000000"/>
          <w:sz w:val="18"/>
          <w:lang w:val="de-DE"/>
        </w:rPr>
        <w:t>kann</w:t>
      </w:r>
      <w:r w:rsidRPr="009123CB">
        <w:rPr>
          <w:rFonts w:ascii="Tahoma" w:hAnsi="Tahoma" w:cs="Tahoma"/>
          <w:color w:val="000000"/>
          <w:sz w:val="18"/>
          <w:lang w:val="de-DE"/>
        </w:rPr>
        <w:t xml:space="preserve"> die Anzahl der Tage des Planning Services-Anspruchs des Kunden verringert </w:t>
      </w:r>
      <w:r w:rsidRPr="009123CB">
        <w:rPr>
          <w:rFonts w:ascii="Tahoma" w:hAnsi="Tahoma" w:cs="Tahoma"/>
          <w:bCs/>
          <w:color w:val="000000"/>
          <w:sz w:val="18"/>
          <w:lang w:val="de-DE"/>
        </w:rPr>
        <w:t>werden</w:t>
      </w:r>
      <w:r w:rsidR="006257A7">
        <w:rPr>
          <w:rFonts w:ascii="Tahoma" w:hAnsi="Tahoma" w:cs="Tahoma"/>
          <w:bCs/>
          <w:color w:val="000000"/>
          <w:sz w:val="18"/>
          <w:lang w:val="de-DE"/>
        </w:rPr>
        <w:t xml:space="preserve">. </w:t>
      </w:r>
    </w:p>
    <w:p w:rsidR="008D4EE5" w:rsidRPr="0062435A" w:rsidRDefault="008D4EE5" w:rsidP="008D4EE5">
      <w:pPr>
        <w:pStyle w:val="AppendixBodyText"/>
        <w:numPr>
          <w:ilvl w:val="0"/>
          <w:numId w:val="22"/>
        </w:numPr>
        <w:tabs>
          <w:tab w:val="num" w:pos="1440"/>
        </w:tabs>
        <w:ind w:left="1440"/>
      </w:pPr>
      <w:r w:rsidRPr="009123CB">
        <w:rPr>
          <w:rFonts w:ascii="Tahoma" w:hAnsi="Tahoma" w:cs="Tahoma"/>
          <w:bCs/>
          <w:color w:val="000000"/>
          <w:sz w:val="18"/>
          <w:lang w:val="de-DE"/>
        </w:rPr>
        <w:t xml:space="preserve">Gutscheine sind nur mit </w:t>
      </w:r>
      <w:r w:rsidRPr="009123CB">
        <w:rPr>
          <w:rFonts w:ascii="Tahoma" w:hAnsi="Tahoma" w:cs="Tahoma"/>
          <w:color w:val="000000"/>
          <w:sz w:val="18"/>
          <w:lang w:val="de-DE"/>
        </w:rPr>
        <w:t xml:space="preserve">qualifizierten Anbietern </w:t>
      </w:r>
      <w:r w:rsidRPr="009123CB">
        <w:rPr>
          <w:rFonts w:ascii="Tahoma" w:hAnsi="Tahoma" w:cs="Tahoma"/>
          <w:bCs/>
          <w:color w:val="000000"/>
          <w:sz w:val="18"/>
          <w:lang w:val="de-DE"/>
        </w:rPr>
        <w:t xml:space="preserve">für den jeweiligen Servicetyp gültig, für den der Gutschein </w:t>
      </w:r>
      <w:r w:rsidRPr="009123CB">
        <w:rPr>
          <w:rFonts w:ascii="Tahoma" w:hAnsi="Tahoma" w:cs="Tahoma"/>
          <w:bCs/>
          <w:color w:val="000000"/>
          <w:sz w:val="18"/>
          <w:szCs w:val="18"/>
          <w:lang w:val="de-DE"/>
        </w:rPr>
        <w:t>eingelöst wird</w:t>
      </w:r>
      <w:r w:rsidR="006257A7">
        <w:rPr>
          <w:rFonts w:ascii="Tahoma" w:hAnsi="Tahoma" w:cs="Tahoma"/>
          <w:bCs/>
          <w:color w:val="000000"/>
          <w:sz w:val="18"/>
          <w:szCs w:val="18"/>
          <w:lang w:val="de-DE"/>
        </w:rPr>
        <w:t xml:space="preserve">. </w:t>
      </w:r>
      <w:r w:rsidRPr="009123CB">
        <w:rPr>
          <w:rFonts w:ascii="Tahoma" w:hAnsi="Tahoma" w:cs="Tahoma"/>
          <w:color w:val="000000"/>
          <w:sz w:val="18"/>
          <w:szCs w:val="18"/>
          <w:lang w:val="de-DE"/>
        </w:rPr>
        <w:t>Der Gutschein kann bei jedem qualifizierten Anbieter weltweit eingesetzt werden</w:t>
      </w:r>
      <w:r w:rsidR="006257A7">
        <w:rPr>
          <w:rFonts w:ascii="Tahoma" w:hAnsi="Tahoma" w:cs="Tahoma"/>
          <w:color w:val="000000"/>
          <w:sz w:val="18"/>
          <w:szCs w:val="18"/>
          <w:lang w:val="de-DE"/>
        </w:rPr>
        <w:t xml:space="preserve">. </w:t>
      </w:r>
      <w:r>
        <w:rPr>
          <w:rFonts w:ascii="Tahoma" w:hAnsi="Tahoma" w:cs="Tahoma"/>
          <w:color w:val="000000"/>
          <w:sz w:val="18"/>
          <w:szCs w:val="18"/>
        </w:rPr>
        <w:t>Die Teilnahme kann unterschiedlich sein</w:t>
      </w:r>
      <w:r w:rsidR="006257A7">
        <w:rPr>
          <w:rFonts w:ascii="Tahoma" w:hAnsi="Tahoma" w:cs="Tahoma"/>
          <w:color w:val="000000"/>
          <w:sz w:val="18"/>
          <w:szCs w:val="18"/>
        </w:rPr>
        <w:t xml:space="preserve">. </w:t>
      </w:r>
    </w:p>
    <w:p w:rsidR="008D4EE5" w:rsidRPr="002376BB" w:rsidRDefault="008D4EE5" w:rsidP="008D4EE5">
      <w:pPr>
        <w:pStyle w:val="AppendixBodyText"/>
        <w:numPr>
          <w:ilvl w:val="0"/>
          <w:numId w:val="1"/>
        </w:numPr>
        <w:tabs>
          <w:tab w:val="clear" w:pos="720"/>
          <w:tab w:val="num" w:pos="1440"/>
        </w:tabs>
        <w:ind w:left="1440"/>
        <w:rPr>
          <w:lang w:val="de-DE"/>
        </w:rPr>
      </w:pPr>
      <w:r w:rsidRPr="009123CB">
        <w:rPr>
          <w:rFonts w:ascii="Tahoma" w:hAnsi="Tahoma" w:cs="Tahoma"/>
          <w:color w:val="000000"/>
          <w:sz w:val="18"/>
          <w:szCs w:val="18"/>
          <w:lang w:val="de-DE"/>
        </w:rPr>
        <w:t>Gutscheine müssen während der Software Assurance-Laufzeit zugewiesen werden</w:t>
      </w:r>
      <w:r w:rsidR="006257A7">
        <w:rPr>
          <w:rFonts w:ascii="Tahoma" w:hAnsi="Tahoma" w:cs="Tahoma"/>
          <w:color w:val="000000"/>
          <w:sz w:val="18"/>
          <w:szCs w:val="18"/>
          <w:lang w:val="de-DE"/>
        </w:rPr>
        <w:t xml:space="preserve">. </w:t>
      </w:r>
    </w:p>
    <w:p w:rsidR="002376BB" w:rsidRDefault="002376BB" w:rsidP="002376BB">
      <w:pPr>
        <w:pStyle w:val="AppendixBodyText"/>
        <w:rPr>
          <w:rFonts w:ascii="Tahoma" w:hAnsi="Tahoma" w:cs="Tahoma"/>
          <w:color w:val="000000"/>
          <w:sz w:val="18"/>
          <w:szCs w:val="18"/>
          <w:lang w:val="de-DE"/>
        </w:rPr>
      </w:pPr>
    </w:p>
    <w:p w:rsidR="002376BB" w:rsidRPr="009123CB" w:rsidRDefault="002376BB" w:rsidP="002376BB">
      <w:pPr>
        <w:pStyle w:val="AppendixBodyText"/>
        <w:rPr>
          <w:lang w:val="de-DE"/>
        </w:rPr>
      </w:pPr>
    </w:p>
    <w:p w:rsidR="008D4EE5" w:rsidRPr="009123CB" w:rsidRDefault="008D4EE5" w:rsidP="002376BB">
      <w:pPr>
        <w:pStyle w:val="AppendixBodyText"/>
        <w:numPr>
          <w:ilvl w:val="0"/>
          <w:numId w:val="1"/>
        </w:numPr>
        <w:tabs>
          <w:tab w:val="clear" w:pos="720"/>
          <w:tab w:val="num" w:pos="1440"/>
        </w:tabs>
        <w:ind w:left="1440"/>
        <w:rPr>
          <w:lang w:val="de-DE"/>
        </w:rPr>
      </w:pPr>
      <w:r w:rsidRPr="009123CB">
        <w:rPr>
          <w:rFonts w:ascii="Tahoma" w:hAnsi="Tahoma" w:cs="Tahoma"/>
          <w:color w:val="000000"/>
          <w:sz w:val="18"/>
          <w:szCs w:val="18"/>
          <w:lang w:val="de-DE"/>
        </w:rPr>
        <w:t>Gutscheine laufen 180 Tage ab dem Datum der Gutscheinzuweisung ab, unabhängig vom Software</w:t>
      </w:r>
      <w:r w:rsidR="002376BB">
        <w:rPr>
          <w:rFonts w:ascii="Tahoma" w:hAnsi="Tahoma" w:cs="Tahoma"/>
          <w:color w:val="000000"/>
          <w:sz w:val="18"/>
          <w:szCs w:val="18"/>
          <w:lang w:val="de-DE"/>
        </w:rPr>
        <w:t> </w:t>
      </w:r>
      <w:r w:rsidRPr="009123CB">
        <w:rPr>
          <w:rFonts w:ascii="Tahoma" w:hAnsi="Tahoma" w:cs="Tahoma"/>
          <w:color w:val="000000"/>
          <w:sz w:val="18"/>
          <w:szCs w:val="18"/>
          <w:lang w:val="de-DE"/>
        </w:rPr>
        <w:t>Assurance-Ablauf</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Alle Services müssen vor Ablauf des Gutscheins bereitgestellt werden (Gutschein eingelöst)</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Gutscheine, die vor Ablauf von Software Assurance ablaufen, fließen in den Pool der verfügbaren Planning Services-Tage zurück</w:t>
      </w:r>
      <w:r w:rsidR="006257A7">
        <w:rPr>
          <w:rFonts w:ascii="Tahoma" w:hAnsi="Tahoma" w:cs="Tahoma"/>
          <w:color w:val="000000"/>
          <w:sz w:val="18"/>
          <w:szCs w:val="18"/>
          <w:lang w:val="de-DE"/>
        </w:rPr>
        <w:t xml:space="preserve">. </w:t>
      </w:r>
    </w:p>
    <w:p w:rsidR="008D4EE5" w:rsidRPr="009123CB" w:rsidRDefault="008D4EE5" w:rsidP="008D4EE5">
      <w:pPr>
        <w:pStyle w:val="AppendixBodyText"/>
        <w:numPr>
          <w:ilvl w:val="0"/>
          <w:numId w:val="21"/>
        </w:numPr>
        <w:tabs>
          <w:tab w:val="num" w:pos="1440"/>
        </w:tabs>
        <w:rPr>
          <w:lang w:val="de-DE"/>
        </w:rPr>
      </w:pPr>
      <w:r w:rsidRPr="009123CB">
        <w:rPr>
          <w:rFonts w:ascii="Tahoma" w:hAnsi="Tahoma" w:cs="Tahoma"/>
          <w:bCs/>
          <w:color w:val="000000"/>
          <w:sz w:val="18"/>
          <w:szCs w:val="18"/>
          <w:lang w:val="de-DE"/>
        </w:rPr>
        <w:t>Microsoft ist nicht</w:t>
      </w:r>
      <w:r w:rsidRPr="009123CB">
        <w:rPr>
          <w:rFonts w:ascii="Tahoma" w:hAnsi="Tahoma" w:cs="Tahoma"/>
          <w:bCs/>
          <w:color w:val="000000"/>
          <w:sz w:val="18"/>
          <w:lang w:val="de-DE"/>
        </w:rPr>
        <w:t xml:space="preserve"> für verlorene, gestohlene, verlegte oder missbrauchte Gutscheine verantwortlich</w:t>
      </w:r>
      <w:r w:rsidR="006257A7">
        <w:rPr>
          <w:rFonts w:ascii="Tahoma" w:hAnsi="Tahoma" w:cs="Tahoma"/>
          <w:bCs/>
          <w:color w:val="000000"/>
          <w:sz w:val="18"/>
          <w:lang w:val="de-DE"/>
        </w:rPr>
        <w:t xml:space="preserve">. </w:t>
      </w:r>
    </w:p>
    <w:p w:rsidR="008D4EE5" w:rsidRPr="009123CB" w:rsidRDefault="008D4EE5" w:rsidP="008D4EE5">
      <w:pPr>
        <w:pStyle w:val="AppendixBodyText"/>
        <w:numPr>
          <w:ilvl w:val="0"/>
          <w:numId w:val="21"/>
        </w:numPr>
        <w:tabs>
          <w:tab w:val="num" w:pos="1440"/>
        </w:tabs>
        <w:rPr>
          <w:lang w:val="de-DE"/>
        </w:rPr>
      </w:pPr>
      <w:r w:rsidRPr="009123CB">
        <w:rPr>
          <w:rFonts w:ascii="Tahoma" w:hAnsi="Tahoma" w:cs="Tahoma"/>
          <w:bCs/>
          <w:color w:val="000000"/>
          <w:sz w:val="18"/>
          <w:lang w:val="de-DE"/>
        </w:rPr>
        <w:t xml:space="preserve">Im Rahmen von Gutscheinen erbrachte Services </w:t>
      </w:r>
      <w:r w:rsidRPr="009123CB">
        <w:rPr>
          <w:rFonts w:ascii="Tahoma" w:hAnsi="Tahoma" w:cs="Tahoma"/>
          <w:color w:val="000000"/>
          <w:sz w:val="18"/>
          <w:lang w:val="de-DE"/>
        </w:rPr>
        <w:t>werden unter einem Vertrag zwischen dem Kunden und dem Qualifizierten Anbieter erbracht; Microsoft ist für Arbeiten oder Versäumnisse seitens des Qualifizierten Anbieters im Zusammenhang mit den Services nicht verantwortlich</w:t>
      </w:r>
      <w:r w:rsidR="006257A7">
        <w:rPr>
          <w:rFonts w:ascii="Tahoma" w:hAnsi="Tahoma" w:cs="Tahoma"/>
          <w:color w:val="000000"/>
          <w:sz w:val="18"/>
          <w:lang w:val="de-DE"/>
        </w:rPr>
        <w:t xml:space="preserve">. </w:t>
      </w:r>
    </w:p>
    <w:p w:rsidR="008D4EE5" w:rsidRPr="009123CB" w:rsidRDefault="008D4EE5" w:rsidP="008D4EE5">
      <w:pPr>
        <w:pStyle w:val="AppendixBodyText"/>
        <w:numPr>
          <w:ilvl w:val="0"/>
          <w:numId w:val="72"/>
        </w:numPr>
        <w:rPr>
          <w:lang w:val="de-DE"/>
        </w:rPr>
      </w:pPr>
      <w:r w:rsidRPr="009123CB">
        <w:rPr>
          <w:rFonts w:ascii="Tahoma" w:hAnsi="Tahoma" w:cs="Tahoma"/>
          <w:bCs/>
          <w:color w:val="000000"/>
          <w:sz w:val="18"/>
          <w:lang w:val="de-DE"/>
        </w:rPr>
        <w:t>Durch Annahme eines Planning Services-Einsatzes erkennen Kunden an,</w:t>
      </w:r>
      <w:r w:rsidRPr="009123CB">
        <w:rPr>
          <w:rFonts w:ascii="Tahoma" w:hAnsi="Tahoma" w:cs="Tahoma"/>
          <w:bCs/>
          <w:sz w:val="18"/>
          <w:lang w:val="de-DE"/>
        </w:rPr>
        <w:t xml:space="preserve"> dass sie nach Abschluss der Leistung zu Qualitätssicherungszwecken einen Fragebogen erhalten</w:t>
      </w:r>
      <w:r w:rsidR="006257A7">
        <w:rPr>
          <w:rFonts w:ascii="Tahoma" w:hAnsi="Tahoma" w:cs="Tahoma"/>
          <w:bCs/>
          <w:sz w:val="18"/>
          <w:lang w:val="de-DE"/>
        </w:rPr>
        <w:t xml:space="preserve">. </w:t>
      </w:r>
    </w:p>
    <w:p w:rsidR="008D4EE5" w:rsidRPr="009123CB" w:rsidRDefault="008D4EE5" w:rsidP="008D4EE5">
      <w:pPr>
        <w:pStyle w:val="AppendixBodyText"/>
        <w:numPr>
          <w:ilvl w:val="0"/>
          <w:numId w:val="72"/>
        </w:numPr>
        <w:rPr>
          <w:lang w:val="de-DE"/>
        </w:rPr>
      </w:pPr>
      <w:r w:rsidRPr="009123CB">
        <w:rPr>
          <w:rFonts w:ascii="Tahoma" w:hAnsi="Tahoma" w:cs="Tahoma"/>
          <w:bCs/>
          <w:color w:val="000000"/>
          <w:sz w:val="18"/>
          <w:szCs w:val="18"/>
          <w:lang w:val="de-DE"/>
        </w:rPr>
        <w:t>In den Tabellen oben sind die verfügbaren Servicetage basierend auf einem Beitritt oder Vertrag für volle 3 Jahre aufgeführt</w:t>
      </w:r>
      <w:r w:rsidR="006257A7">
        <w:rPr>
          <w:rFonts w:ascii="Tahoma" w:hAnsi="Tahoma" w:cs="Tahoma"/>
          <w:bCs/>
          <w:color w:val="000000"/>
          <w:sz w:val="18"/>
          <w:szCs w:val="18"/>
          <w:lang w:val="de-DE"/>
        </w:rPr>
        <w:t xml:space="preserve">. </w:t>
      </w:r>
      <w:r w:rsidRPr="009123CB">
        <w:rPr>
          <w:rFonts w:ascii="Tahoma" w:hAnsi="Tahoma" w:cs="Tahoma"/>
          <w:bCs/>
          <w:color w:val="000000"/>
          <w:sz w:val="18"/>
          <w:szCs w:val="18"/>
          <w:lang w:val="de-DE"/>
        </w:rPr>
        <w:t>Kunden, die Software Assurance für ein Jahr erwerben, e</w:t>
      </w:r>
      <w:r w:rsidRPr="009123CB">
        <w:rPr>
          <w:rFonts w:ascii="Tahoma" w:hAnsi="Tahoma" w:cs="Tahoma"/>
          <w:color w:val="000000"/>
          <w:sz w:val="18"/>
          <w:szCs w:val="18"/>
          <w:lang w:val="de-DE"/>
        </w:rPr>
        <w:t>rhalten ein Drittel der angegebenen Anzahl von Servicetagen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Kunden, die Software Assurance für zwei Jahre erwerben, erhalten zwei Drittel der angegebenen Anzahl von Servicetagen</w:t>
      </w:r>
      <w:r w:rsidR="006257A7">
        <w:rPr>
          <w:rFonts w:ascii="Tahoma" w:hAnsi="Tahoma" w:cs="Tahoma"/>
          <w:color w:val="000000"/>
          <w:sz w:val="18"/>
          <w:szCs w:val="18"/>
          <w:lang w:val="de-DE"/>
        </w:rPr>
        <w:t xml:space="preserve">. </w:t>
      </w:r>
    </w:p>
    <w:p w:rsidR="008D4EE5" w:rsidRPr="002376BB" w:rsidRDefault="008D4EE5" w:rsidP="002376BB">
      <w:pPr>
        <w:pStyle w:val="AppendixBodyText"/>
        <w:spacing w:after="0" w:line="216" w:lineRule="auto"/>
        <w:rPr>
          <w:sz w:val="18"/>
          <w:szCs w:val="18"/>
          <w:lang w:val="de-DE"/>
        </w:rPr>
      </w:pPr>
    </w:p>
    <w:p w:rsidR="008D4EE5" w:rsidRPr="009123CB" w:rsidRDefault="008D4EE5" w:rsidP="008D4EE5">
      <w:pPr>
        <w:pStyle w:val="AppendixBodyText"/>
        <w:rPr>
          <w:lang w:val="de-DE"/>
        </w:rPr>
      </w:pPr>
      <w:r w:rsidRPr="009123CB">
        <w:rPr>
          <w:rFonts w:ascii="Tahoma" w:hAnsi="Tahoma" w:cs="Tahoma"/>
          <w:bCs/>
          <w:color w:val="000000"/>
          <w:sz w:val="18"/>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r w:rsidR="006257A7">
        <w:rPr>
          <w:rFonts w:ascii="Tahoma" w:hAnsi="Tahoma" w:cs="Tahoma"/>
          <w:bCs/>
          <w:color w:val="000000"/>
          <w:sz w:val="18"/>
          <w:lang w:val="de-DE"/>
        </w:rPr>
        <w:t xml:space="preserve">. </w:t>
      </w:r>
    </w:p>
    <w:p w:rsidR="008D4EE5" w:rsidRPr="002376BB" w:rsidRDefault="008D4EE5" w:rsidP="002376BB">
      <w:pPr>
        <w:pStyle w:val="AppendixBodyText"/>
        <w:spacing w:after="0" w:line="216" w:lineRule="auto"/>
        <w:rPr>
          <w:sz w:val="18"/>
          <w:szCs w:val="18"/>
          <w:lang w:val="de-DE"/>
        </w:rPr>
      </w:pPr>
    </w:p>
    <w:p w:rsidR="008D4EE5" w:rsidRPr="009123CB" w:rsidRDefault="008D4EE5" w:rsidP="008D4EE5">
      <w:pPr>
        <w:pStyle w:val="Heading3"/>
        <w:rPr>
          <w:lang w:val="de-DE"/>
        </w:rPr>
      </w:pPr>
      <w:bookmarkStart w:id="726" w:name="_Toc328145999"/>
      <w:bookmarkStart w:id="727" w:name="_Toc336338230"/>
      <w:bookmarkStart w:id="728" w:name="_Toc363998968"/>
      <w:r w:rsidRPr="009123CB">
        <w:rPr>
          <w:rFonts w:ascii="Tahoma" w:hAnsi="Tahoma"/>
          <w:sz w:val="24"/>
          <w:lang w:val="de-DE"/>
        </w:rPr>
        <w:t>Windows 8 Enterprise</w:t>
      </w:r>
      <w:bookmarkEnd w:id="726"/>
      <w:bookmarkEnd w:id="727"/>
      <w:bookmarkEnd w:id="728"/>
      <w:r w:rsidRPr="009123CB">
        <w:rPr>
          <w:rFonts w:ascii="Tahoma" w:hAnsi="Tahoma"/>
          <w:sz w:val="24"/>
          <w:lang w:val="de-DE"/>
        </w:rPr>
        <w:t xml:space="preserve"> </w:t>
      </w:r>
    </w:p>
    <w:p w:rsidR="008D4EE5" w:rsidRPr="002376BB" w:rsidRDefault="008D4EE5" w:rsidP="002376BB">
      <w:pPr>
        <w:pStyle w:val="AppendixBodyText"/>
        <w:spacing w:after="0" w:line="216" w:lineRule="auto"/>
        <w:rPr>
          <w:sz w:val="18"/>
          <w:szCs w:val="18"/>
          <w:lang w:val="de-DE"/>
        </w:rPr>
      </w:pPr>
    </w:p>
    <w:p w:rsidR="008D4EE5" w:rsidRPr="009123CB" w:rsidRDefault="008D4EE5" w:rsidP="008D4EE5">
      <w:pPr>
        <w:spacing w:after="60"/>
        <w:jc w:val="both"/>
        <w:rPr>
          <w:lang w:val="de-DE"/>
        </w:rPr>
      </w:pPr>
      <w:r w:rsidRPr="009123CB">
        <w:rPr>
          <w:rFonts w:cs="Tahoma"/>
          <w:b/>
          <w:szCs w:val="18"/>
          <w:lang w:val="de-DE"/>
        </w:rPr>
        <w:t>Berechtigte Software Assurance-Kunden</w:t>
      </w:r>
    </w:p>
    <w:p w:rsidR="008D4EE5" w:rsidRPr="009123CB" w:rsidRDefault="008D4EE5" w:rsidP="008D4EE5">
      <w:pPr>
        <w:jc w:val="both"/>
        <w:rPr>
          <w:lang w:val="de-DE"/>
        </w:rPr>
      </w:pPr>
      <w:r w:rsidRPr="009123CB">
        <w:rPr>
          <w:rFonts w:cs="Tahoma"/>
          <w:szCs w:val="18"/>
          <w:lang w:val="de-DE"/>
        </w:rPr>
        <w:t>Kunden mit aktiver Software Assurance für das Windows Desktop-Betriebssystem sind zu dieser Vergünstigung berechtigt</w:t>
      </w:r>
      <w:r w:rsidR="006257A7">
        <w:rPr>
          <w:rFonts w:cs="Tahoma"/>
          <w:szCs w:val="18"/>
          <w:lang w:val="de-DE"/>
        </w:rPr>
        <w:t xml:space="preserve">. </w:t>
      </w:r>
      <w:r w:rsidRPr="009123CB">
        <w:rPr>
          <w:rFonts w:cs="Tahoma"/>
          <w:szCs w:val="18"/>
          <w:lang w:val="de-DE"/>
        </w:rPr>
        <w:t>Mit Software Assurance für das Windows Desktop-Betriebssystem auf einem lizenzierten Gerät haben Kunden die Möglichkeit, Windows 8 Enterprise anstelle von Windows 8 Pro auf diesem Gerät zu verwenden</w:t>
      </w:r>
      <w:r w:rsidR="006257A7">
        <w:rPr>
          <w:rFonts w:cs="Tahoma"/>
          <w:szCs w:val="18"/>
          <w:lang w:val="de-DE"/>
        </w:rPr>
        <w:t xml:space="preserve">. </w:t>
      </w:r>
    </w:p>
    <w:p w:rsidR="008D4EE5" w:rsidRPr="002376BB" w:rsidRDefault="008D4EE5" w:rsidP="002376BB">
      <w:pPr>
        <w:spacing w:line="216" w:lineRule="auto"/>
        <w:jc w:val="both"/>
        <w:rPr>
          <w:szCs w:val="18"/>
          <w:lang w:val="de-DE"/>
        </w:rPr>
      </w:pPr>
    </w:p>
    <w:p w:rsidR="008D4EE5" w:rsidRPr="009123CB" w:rsidRDefault="008D4EE5" w:rsidP="002376BB">
      <w:pPr>
        <w:jc w:val="both"/>
        <w:rPr>
          <w:lang w:val="de-DE"/>
        </w:rPr>
      </w:pPr>
      <w:r w:rsidRPr="009123CB">
        <w:rPr>
          <w:rFonts w:cs="Tahoma"/>
          <w:szCs w:val="18"/>
          <w:lang w:val="de-DE"/>
        </w:rPr>
        <w:t>Berechtigte Software Assurance-Kunden verfügen über die Rechte zur Verwendung von Windows 8 Enterprise wie in den Produktbenutzungsrechten beschrieben</w:t>
      </w:r>
      <w:r w:rsidR="006257A7">
        <w:rPr>
          <w:rFonts w:cs="Tahoma"/>
          <w:szCs w:val="18"/>
          <w:lang w:val="de-DE"/>
        </w:rPr>
        <w:t xml:space="preserve">. </w:t>
      </w:r>
      <w:r w:rsidRPr="009123CB">
        <w:rPr>
          <w:rFonts w:cs="Tahoma"/>
          <w:szCs w:val="18"/>
          <w:lang w:val="de-DE"/>
        </w:rPr>
        <w:t>Kunden sind nicht berechtigt, Windows 8 Enterprise vom lizenzierten Gerät auf ein anderes Gerät zu verschieben, außer in Verbindung mit der zulässigen Neuzuweisung ihrer Software</w:t>
      </w:r>
      <w:r w:rsidR="002376BB">
        <w:rPr>
          <w:rFonts w:cs="Tahoma"/>
          <w:szCs w:val="18"/>
          <w:lang w:val="de-DE"/>
        </w:rPr>
        <w:t> </w:t>
      </w:r>
      <w:r w:rsidRPr="009123CB">
        <w:rPr>
          <w:rFonts w:cs="Tahoma"/>
          <w:szCs w:val="18"/>
          <w:lang w:val="de-DE"/>
        </w:rPr>
        <w:t>Assurance</w:t>
      </w:r>
      <w:r w:rsidR="006257A7">
        <w:rPr>
          <w:rFonts w:cs="Tahoma"/>
          <w:szCs w:val="18"/>
          <w:lang w:val="de-DE"/>
        </w:rPr>
        <w:t xml:space="preserve">. </w:t>
      </w:r>
    </w:p>
    <w:p w:rsidR="008D4EE5" w:rsidRPr="002376BB" w:rsidRDefault="008D4EE5" w:rsidP="002376BB">
      <w:pPr>
        <w:spacing w:line="216" w:lineRule="auto"/>
        <w:jc w:val="both"/>
        <w:rPr>
          <w:szCs w:val="18"/>
          <w:lang w:val="de-DE"/>
        </w:rPr>
      </w:pPr>
    </w:p>
    <w:p w:rsidR="008D4EE5" w:rsidRPr="009123CB" w:rsidRDefault="008D4EE5" w:rsidP="008D4EE5">
      <w:pPr>
        <w:keepNext/>
        <w:spacing w:after="60"/>
        <w:jc w:val="both"/>
        <w:rPr>
          <w:lang w:val="de-DE"/>
        </w:rPr>
      </w:pPr>
      <w:r w:rsidRPr="009123CB">
        <w:rPr>
          <w:rFonts w:cs="Tahoma"/>
          <w:b/>
          <w:szCs w:val="18"/>
          <w:lang w:val="de-DE"/>
        </w:rPr>
        <w:t>Für Onlinedienste-Vergünstigungen berechtigte Kunden</w:t>
      </w:r>
    </w:p>
    <w:p w:rsidR="008D4EE5" w:rsidRPr="002A48C7" w:rsidRDefault="008D4EE5" w:rsidP="008D4EE5">
      <w:pPr>
        <w:jc w:val="both"/>
        <w:rPr>
          <w:lang w:val="de-DE"/>
        </w:rPr>
      </w:pPr>
      <w:r w:rsidRPr="009123CB">
        <w:rPr>
          <w:rFonts w:cs="Tahoma"/>
          <w:szCs w:val="18"/>
          <w:lang w:val="de-DE"/>
        </w:rPr>
        <w:t>Windows Intune (Pro Gerät)-Kunden verfügen über die Rechte zur Verwendung von Windows 8 Enterprise wie in den Produktbenutzungsrechten beschrieben</w:t>
      </w:r>
      <w:r w:rsidR="006257A7">
        <w:rPr>
          <w:rFonts w:cs="Tahoma"/>
          <w:szCs w:val="18"/>
          <w:lang w:val="de-DE"/>
        </w:rPr>
        <w:t xml:space="preserve">. </w:t>
      </w:r>
      <w:r w:rsidRPr="002A48C7">
        <w:rPr>
          <w:rFonts w:cs="Tahoma"/>
          <w:szCs w:val="18"/>
          <w:lang w:val="de-DE"/>
        </w:rPr>
        <w:t>Im Abschnitt „Produkthinweise“ dieser Produktliste finden Sie die Bestimmungen, die für den Erwerb und die Neuzuweisung von Windows Intune (Pro Gerät)-Lizenzen gelten</w:t>
      </w:r>
      <w:r w:rsidR="006257A7">
        <w:rPr>
          <w:rFonts w:cs="Tahoma"/>
          <w:szCs w:val="18"/>
          <w:lang w:val="de-DE"/>
        </w:rPr>
        <w:t xml:space="preserve">. </w:t>
      </w:r>
    </w:p>
    <w:p w:rsidR="008D4EE5" w:rsidRPr="002376BB" w:rsidDel="008900EB" w:rsidRDefault="008D4EE5" w:rsidP="002376BB">
      <w:pPr>
        <w:spacing w:line="216" w:lineRule="auto"/>
        <w:jc w:val="both"/>
        <w:rPr>
          <w:szCs w:val="18"/>
          <w:lang w:val="de-DE"/>
        </w:rPr>
      </w:pPr>
    </w:p>
    <w:p w:rsidR="008D4EE5" w:rsidRPr="002A48C7" w:rsidRDefault="008D4EE5" w:rsidP="008D4EE5">
      <w:pPr>
        <w:spacing w:after="60"/>
        <w:rPr>
          <w:lang w:val="de-DE"/>
        </w:rPr>
      </w:pPr>
      <w:r w:rsidRPr="002A48C7">
        <w:rPr>
          <w:rFonts w:cs="Tahoma"/>
          <w:szCs w:val="18"/>
          <w:lang w:val="de-DE"/>
        </w:rPr>
        <w:t>Software Assurance- und Windows Intune (Pro Gerät)-Kunden sind berechtigt, die MUI-Edition von früheren Versionen des Windows Desktop-Betriebssystems anstelle von Windows 8 Enterprise zu verwenden</w:t>
      </w:r>
      <w:r w:rsidR="006257A7">
        <w:rPr>
          <w:rFonts w:cs="Tahoma"/>
          <w:szCs w:val="18"/>
          <w:lang w:val="de-DE"/>
        </w:rPr>
        <w:t xml:space="preserve">. </w:t>
      </w:r>
    </w:p>
    <w:p w:rsidR="008D4EE5" w:rsidRPr="002376BB" w:rsidRDefault="008D4EE5" w:rsidP="002376BB">
      <w:pPr>
        <w:pStyle w:val="Heading3"/>
        <w:spacing w:line="216" w:lineRule="auto"/>
        <w:rPr>
          <w:sz w:val="18"/>
          <w:szCs w:val="18"/>
          <w:lang w:val="de-DE"/>
        </w:rPr>
      </w:pPr>
    </w:p>
    <w:p w:rsidR="008D4EE5" w:rsidRPr="002A48C7" w:rsidRDefault="008D4EE5" w:rsidP="008D4EE5">
      <w:pPr>
        <w:pStyle w:val="Heading3"/>
        <w:spacing w:after="60"/>
        <w:rPr>
          <w:lang w:val="de-DE"/>
        </w:rPr>
      </w:pPr>
      <w:bookmarkStart w:id="729" w:name="_Toc336338231"/>
      <w:bookmarkStart w:id="730" w:name="_Toc363998969"/>
      <w:r w:rsidRPr="002A48C7">
        <w:rPr>
          <w:rFonts w:ascii="Tahoma" w:hAnsi="Tahoma"/>
          <w:sz w:val="18"/>
          <w:lang w:val="de-DE"/>
        </w:rPr>
        <w:t>Windows 8 Enterprise Sideloading</w:t>
      </w:r>
      <w:bookmarkEnd w:id="729"/>
      <w:bookmarkEnd w:id="730"/>
    </w:p>
    <w:p w:rsidR="008D4EE5" w:rsidRPr="002A48C7" w:rsidRDefault="008D4EE5" w:rsidP="008D4EE5">
      <w:pPr>
        <w:jc w:val="both"/>
        <w:rPr>
          <w:lang w:val="de-DE"/>
        </w:rPr>
      </w:pPr>
      <w:r w:rsidRPr="002A48C7">
        <w:rPr>
          <w:rFonts w:cs="Tahoma"/>
          <w:szCs w:val="18"/>
          <w:lang w:val="de-DE"/>
        </w:rPr>
        <w:t>Siehe Produkthinweis zu Windows 8 Enterprise Sideloading im Abschnitt „Produkthinweise“ dieses Dokuments</w:t>
      </w:r>
      <w:r w:rsidR="006257A7">
        <w:rPr>
          <w:rFonts w:cs="Tahoma"/>
          <w:szCs w:val="18"/>
          <w:lang w:val="de-DE"/>
        </w:rPr>
        <w:t xml:space="preserve">. </w:t>
      </w:r>
    </w:p>
    <w:p w:rsidR="008D4EE5" w:rsidRPr="002376BB" w:rsidRDefault="008D4EE5" w:rsidP="002376BB">
      <w:pPr>
        <w:spacing w:line="216" w:lineRule="auto"/>
        <w:rPr>
          <w:szCs w:val="18"/>
          <w:lang w:val="de-DE"/>
        </w:rPr>
      </w:pPr>
      <w:bookmarkStart w:id="731" w:name="_Toc336338232"/>
    </w:p>
    <w:p w:rsidR="008D4EE5" w:rsidRPr="002A48C7" w:rsidRDefault="008D4EE5" w:rsidP="008D4EE5">
      <w:pPr>
        <w:pStyle w:val="Heading3"/>
        <w:spacing w:after="60"/>
        <w:rPr>
          <w:lang w:val="de-DE"/>
        </w:rPr>
      </w:pPr>
      <w:bookmarkStart w:id="732" w:name="_Toc363998970"/>
      <w:r w:rsidRPr="002A48C7">
        <w:rPr>
          <w:rFonts w:ascii="Tahoma" w:hAnsi="Tahoma"/>
          <w:sz w:val="18"/>
          <w:lang w:val="de-DE"/>
        </w:rPr>
        <w:t>Windows Companion-Abonnementlizenz</w:t>
      </w:r>
      <w:bookmarkEnd w:id="731"/>
      <w:bookmarkEnd w:id="732"/>
    </w:p>
    <w:p w:rsidR="008D4EE5" w:rsidRPr="002A48C7" w:rsidRDefault="008D4EE5" w:rsidP="008D4EE5">
      <w:pPr>
        <w:jc w:val="both"/>
        <w:rPr>
          <w:lang w:val="de-DE"/>
        </w:rPr>
      </w:pPr>
      <w:r w:rsidRPr="002A48C7">
        <w:rPr>
          <w:rFonts w:cs="Tahoma"/>
          <w:szCs w:val="18"/>
          <w:lang w:val="de-DE"/>
        </w:rPr>
        <w:t>Siehe Produkthinweis zu Windows Companion-Abonnementlizenz im Abschnitt „Produkthinweise“ dieses Dokuments</w:t>
      </w:r>
      <w:r w:rsidR="006257A7">
        <w:rPr>
          <w:rFonts w:cs="Tahoma"/>
          <w:szCs w:val="18"/>
          <w:lang w:val="de-DE"/>
        </w:rPr>
        <w:t xml:space="preserve">. </w:t>
      </w:r>
    </w:p>
    <w:p w:rsidR="008D4EE5" w:rsidRPr="002376BB" w:rsidRDefault="008D4EE5" w:rsidP="002376BB">
      <w:pPr>
        <w:spacing w:line="216" w:lineRule="auto"/>
        <w:jc w:val="both"/>
        <w:rPr>
          <w:szCs w:val="18"/>
          <w:lang w:val="de-DE"/>
        </w:rPr>
      </w:pPr>
    </w:p>
    <w:p w:rsidR="008D4EE5" w:rsidRPr="002A48C7" w:rsidRDefault="008D4EE5" w:rsidP="008D4EE5">
      <w:pPr>
        <w:pStyle w:val="Heading3"/>
        <w:rPr>
          <w:lang w:val="de-DE"/>
        </w:rPr>
      </w:pPr>
      <w:bookmarkStart w:id="733" w:name="_Toc328146000"/>
      <w:bookmarkStart w:id="734" w:name="_Toc336338233"/>
      <w:bookmarkStart w:id="735" w:name="_Toc363998971"/>
      <w:r w:rsidRPr="002A48C7">
        <w:rPr>
          <w:rFonts w:ascii="Tahoma" w:hAnsi="Tahoma" w:cs="Tahoma"/>
          <w:sz w:val="24"/>
          <w:lang w:val="de-DE"/>
        </w:rPr>
        <w:t>Trainingsgutscheine</w:t>
      </w:r>
      <w:bookmarkEnd w:id="733"/>
      <w:bookmarkEnd w:id="734"/>
      <w:bookmarkEnd w:id="735"/>
    </w:p>
    <w:p w:rsidR="008D4EE5" w:rsidRPr="002376BB" w:rsidRDefault="008D4EE5" w:rsidP="002376BB">
      <w:pPr>
        <w:pStyle w:val="AppendixBodyText"/>
        <w:spacing w:after="0" w:line="216" w:lineRule="auto"/>
        <w:rPr>
          <w:sz w:val="18"/>
          <w:szCs w:val="18"/>
          <w:lang w:val="de-DE"/>
        </w:rPr>
      </w:pPr>
    </w:p>
    <w:p w:rsidR="008D4EE5" w:rsidRPr="002A48C7" w:rsidRDefault="008D4EE5" w:rsidP="002376BB">
      <w:pPr>
        <w:pStyle w:val="AppendixBodyText"/>
        <w:spacing w:after="0"/>
        <w:rPr>
          <w:lang w:val="de-DE"/>
        </w:rPr>
      </w:pPr>
      <w:r w:rsidRPr="002A48C7">
        <w:rPr>
          <w:rFonts w:ascii="Tahoma" w:hAnsi="Tahoma" w:cs="Tahoma"/>
          <w:sz w:val="18"/>
          <w:szCs w:val="18"/>
          <w:lang w:val="de-DE"/>
        </w:rPr>
        <w:t>Kunden (nicht Kunden mit Select-Lizenz für Forschung &amp; Lehre, Select Plus für Forschung &amp; Lehre, Open Value Subscription – Bildungslösungen, Campus-Vertrag und School-Vertrag) mit Mitgliedschaft bei Software Assurance in</w:t>
      </w:r>
      <w:r w:rsidR="002376BB">
        <w:rPr>
          <w:rFonts w:ascii="Tahoma" w:hAnsi="Tahoma" w:cs="Tahoma"/>
          <w:sz w:val="18"/>
          <w:szCs w:val="18"/>
          <w:lang w:val="de-DE"/>
        </w:rPr>
        <w:t> </w:t>
      </w:r>
      <w:r w:rsidRPr="002A48C7">
        <w:rPr>
          <w:rFonts w:ascii="Tahoma" w:hAnsi="Tahoma" w:cs="Tahoma"/>
          <w:sz w:val="18"/>
          <w:szCs w:val="18"/>
          <w:lang w:val="de-DE"/>
        </w:rPr>
        <w:t>den Anwendungs- oder System-Produktpools sind zu Microsoft-Trainingsgutscheinen berechtigt</w:t>
      </w:r>
      <w:r w:rsidR="006257A7">
        <w:rPr>
          <w:rFonts w:ascii="Tahoma" w:hAnsi="Tahoma" w:cs="Tahoma"/>
          <w:sz w:val="18"/>
          <w:szCs w:val="18"/>
          <w:lang w:val="de-DE"/>
        </w:rPr>
        <w:t xml:space="preserve">. </w:t>
      </w:r>
      <w:r w:rsidRPr="002A48C7">
        <w:rPr>
          <w:rFonts w:ascii="Tahoma" w:hAnsi="Tahoma" w:cs="Tahoma"/>
          <w:sz w:val="18"/>
          <w:szCs w:val="18"/>
          <w:lang w:val="de-DE"/>
        </w:rPr>
        <w:t>Diese Gutscheine berechtigen Kunden zum Erhalt von Kursen von einem Microsoft-Partner mit einer Learning-Kompetenz (Microsoft</w:t>
      </w:r>
      <w:r w:rsidR="002376BB">
        <w:rPr>
          <w:rFonts w:ascii="Tahoma" w:hAnsi="Tahoma" w:cs="Tahoma"/>
          <w:sz w:val="18"/>
          <w:szCs w:val="18"/>
          <w:lang w:val="de-DE"/>
        </w:rPr>
        <w:t> </w:t>
      </w:r>
      <w:r w:rsidRPr="002A48C7">
        <w:rPr>
          <w:rFonts w:ascii="Tahoma" w:hAnsi="Tahoma" w:cs="Tahoma"/>
          <w:sz w:val="18"/>
          <w:szCs w:val="18"/>
          <w:lang w:val="de-DE"/>
        </w:rPr>
        <w:t>Learning Partner) für eine bestimmte Anzahl von Schulungstagen</w:t>
      </w:r>
      <w:r w:rsidR="006257A7">
        <w:rPr>
          <w:rFonts w:ascii="Tahoma" w:hAnsi="Tahoma" w:cs="Tahoma"/>
          <w:sz w:val="18"/>
          <w:szCs w:val="18"/>
          <w:lang w:val="de-DE"/>
        </w:rPr>
        <w:t xml:space="preserve">. </w:t>
      </w:r>
      <w:r w:rsidRPr="002A48C7">
        <w:rPr>
          <w:rFonts w:ascii="Tahoma" w:hAnsi="Tahoma" w:cs="Tahoma"/>
          <w:sz w:val="18"/>
          <w:szCs w:val="18"/>
          <w:lang w:val="de-DE"/>
        </w:rPr>
        <w:t>Die Anzahl der bewilligten Tage hängt vom Programm und der Anzahl qualifizierender Lizenzen ab, für die Software Assurance erworben wird</w:t>
      </w:r>
      <w:r w:rsidR="006257A7">
        <w:rPr>
          <w:rFonts w:ascii="Tahoma" w:hAnsi="Tahoma" w:cs="Tahoma"/>
          <w:sz w:val="18"/>
          <w:szCs w:val="18"/>
          <w:lang w:val="de-DE"/>
        </w:rPr>
        <w:t xml:space="preserve">. </w:t>
      </w:r>
      <w:r w:rsidRPr="002A48C7">
        <w:rPr>
          <w:rFonts w:ascii="Tahoma" w:hAnsi="Tahoma" w:cs="Tahoma"/>
          <w:sz w:val="18"/>
          <w:szCs w:val="18"/>
          <w:lang w:val="de-DE"/>
        </w:rPr>
        <w:t>Nachdem der</w:t>
      </w:r>
      <w:r w:rsidR="002376BB">
        <w:rPr>
          <w:rFonts w:ascii="Tahoma" w:hAnsi="Tahoma" w:cs="Tahoma"/>
          <w:sz w:val="18"/>
          <w:szCs w:val="18"/>
          <w:lang w:val="de-DE"/>
        </w:rPr>
        <w:t> </w:t>
      </w:r>
      <w:r w:rsidRPr="002A48C7">
        <w:rPr>
          <w:rFonts w:ascii="Tahoma" w:hAnsi="Tahoma" w:cs="Tahoma"/>
          <w:sz w:val="18"/>
          <w:szCs w:val="18"/>
          <w:lang w:val="de-DE"/>
        </w:rPr>
        <w:t>Verwalter der Trainingsgutschein-Vergünstigung die Trainingsgutschein-Vergünstigung über das Center für Volumenlizenz-Services (VLSC) aktiviert hat, kann der Verwalter der Trainingsgutschein-Vergünstigung des Kunden bestimmten Personen Trainingsgutscheine zuweisen</w:t>
      </w:r>
      <w:r w:rsidR="006257A7">
        <w:rPr>
          <w:rFonts w:ascii="Tahoma" w:hAnsi="Tahoma" w:cs="Tahoma"/>
          <w:sz w:val="18"/>
          <w:szCs w:val="18"/>
          <w:lang w:val="de-DE"/>
        </w:rPr>
        <w:t xml:space="preserve">. </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8D4EE5" w:rsidTr="00A67771">
        <w:trPr>
          <w:cantSplit/>
          <w:trHeight w:val="531"/>
        </w:trPr>
        <w:tc>
          <w:tcPr>
            <w:tcW w:w="3002" w:type="dxa"/>
            <w:shd w:val="clear" w:color="auto" w:fill="FFCC99"/>
            <w:vAlign w:val="center"/>
          </w:tcPr>
          <w:p w:rsidR="008D4EE5" w:rsidRDefault="008D4EE5" w:rsidP="00A67771">
            <w:pPr>
              <w:pStyle w:val="AppendixTableHeadings"/>
              <w:keepNext/>
              <w:rPr>
                <w:rFonts w:ascii="Tahoma" w:hAnsi="Tahoma" w:cs="Tahoma"/>
                <w:sz w:val="20"/>
                <w:szCs w:val="20"/>
              </w:rPr>
            </w:pPr>
            <w:r>
              <w:rPr>
                <w:rFonts w:ascii="Tahoma" w:hAnsi="Tahoma" w:cs="Tahoma"/>
                <w:sz w:val="20"/>
                <w:szCs w:val="20"/>
              </w:rPr>
              <w:t>Programm</w:t>
            </w:r>
          </w:p>
        </w:tc>
        <w:tc>
          <w:tcPr>
            <w:tcW w:w="3150" w:type="dxa"/>
            <w:shd w:val="clear" w:color="auto" w:fill="FFCC99"/>
            <w:vAlign w:val="center"/>
          </w:tcPr>
          <w:p w:rsidR="008D4EE5" w:rsidRPr="002A48C7" w:rsidRDefault="008D4EE5" w:rsidP="00A67771">
            <w:pPr>
              <w:pStyle w:val="AppendixTableHeadings"/>
              <w:keepNext/>
              <w:rPr>
                <w:rFonts w:ascii="Tahoma" w:hAnsi="Tahoma" w:cs="Tahoma"/>
                <w:sz w:val="20"/>
                <w:szCs w:val="20"/>
                <w:lang w:val="de-DE"/>
              </w:rPr>
            </w:pPr>
            <w:r w:rsidRPr="002A48C7">
              <w:rPr>
                <w:rFonts w:ascii="Tahoma" w:hAnsi="Tahoma" w:cs="Tahoma"/>
                <w:sz w:val="20"/>
                <w:szCs w:val="20"/>
                <w:lang w:val="de-DE"/>
              </w:rPr>
              <w:t>Produkte aus dem Office System-Anwendungs-Pool</w:t>
            </w:r>
            <w:r w:rsidRPr="002A48C7">
              <w:rPr>
                <w:rFonts w:ascii="Tahoma" w:hAnsi="Tahoma" w:cs="Tahoma"/>
                <w:b w:val="0"/>
                <w:i/>
                <w:sz w:val="20"/>
                <w:szCs w:val="20"/>
                <w:lang w:val="de-DE"/>
              </w:rPr>
              <w:t xml:space="preserve"> </w:t>
            </w:r>
          </w:p>
        </w:tc>
        <w:tc>
          <w:tcPr>
            <w:tcW w:w="3240" w:type="dxa"/>
            <w:shd w:val="clear" w:color="auto" w:fill="FFCC99"/>
            <w:vAlign w:val="center"/>
          </w:tcPr>
          <w:p w:rsidR="008D4EE5" w:rsidRDefault="008D4EE5" w:rsidP="00A67771">
            <w:pPr>
              <w:pStyle w:val="AppendixTableHeadings"/>
              <w:keepNext/>
              <w:rPr>
                <w:rFonts w:ascii="Tahoma" w:hAnsi="Tahoma" w:cs="Tahoma"/>
                <w:sz w:val="20"/>
                <w:szCs w:val="20"/>
              </w:rPr>
            </w:pPr>
            <w:r>
              <w:rPr>
                <w:rFonts w:ascii="Tahoma" w:hAnsi="Tahoma" w:cs="Tahoma"/>
                <w:sz w:val="20"/>
                <w:szCs w:val="20"/>
              </w:rPr>
              <w:t>System-Pool</w:t>
            </w:r>
          </w:p>
        </w:tc>
      </w:tr>
      <w:tr w:rsidR="008D4EE5" w:rsidRPr="00FB51BA" w:rsidTr="00A67771">
        <w:trPr>
          <w:cantSplit/>
          <w:trHeight w:val="236"/>
        </w:trPr>
        <w:tc>
          <w:tcPr>
            <w:tcW w:w="3002" w:type="dxa"/>
            <w:vAlign w:val="center"/>
          </w:tcPr>
          <w:p w:rsidR="008D4EE5" w:rsidRDefault="008D4EE5" w:rsidP="00A67771">
            <w:pPr>
              <w:pStyle w:val="AppendixTableText"/>
              <w:keepNext/>
              <w:rPr>
                <w:rFonts w:ascii="Tahoma" w:hAnsi="Tahoma" w:cs="Tahoma"/>
              </w:rPr>
            </w:pPr>
            <w:r>
              <w:rPr>
                <w:rFonts w:ascii="Tahoma" w:hAnsi="Tahoma" w:cs="Tahoma"/>
              </w:rPr>
              <w:t>Open Value</w:t>
            </w:r>
          </w:p>
        </w:tc>
        <w:tc>
          <w:tcPr>
            <w:tcW w:w="3150" w:type="dxa"/>
            <w:vAlign w:val="center"/>
          </w:tcPr>
          <w:p w:rsidR="008D4EE5" w:rsidRDefault="008D4EE5" w:rsidP="00266EF1">
            <w:pPr>
              <w:pStyle w:val="AppendixTableText"/>
              <w:keepNext/>
              <w:rPr>
                <w:rFonts w:ascii="Tahoma" w:hAnsi="Tahoma" w:cs="Tahoma"/>
              </w:rPr>
            </w:pPr>
            <w:r>
              <w:rPr>
                <w:rFonts w:ascii="Tahoma" w:hAnsi="Tahoma" w:cs="Tahoma"/>
              </w:rPr>
              <w:t>2 Tage pro 50 Lizenzen (maximal</w:t>
            </w:r>
            <w:r w:rsidR="00266EF1">
              <w:rPr>
                <w:rFonts w:ascii="Tahoma" w:hAnsi="Tahoma" w:cs="Tahoma"/>
              </w:rPr>
              <w:t> </w:t>
            </w:r>
            <w:r>
              <w:rPr>
                <w:rFonts w:ascii="Tahoma" w:hAnsi="Tahoma" w:cs="Tahoma"/>
              </w:rPr>
              <w:t>20 Tage)</w:t>
            </w:r>
          </w:p>
        </w:tc>
        <w:tc>
          <w:tcPr>
            <w:tcW w:w="3240" w:type="dxa"/>
            <w:vAlign w:val="center"/>
          </w:tcPr>
          <w:p w:rsidR="008D4EE5" w:rsidRPr="002A48C7" w:rsidRDefault="008D4EE5" w:rsidP="00A67771">
            <w:pPr>
              <w:pStyle w:val="AppendixTableText"/>
              <w:keepNext/>
              <w:rPr>
                <w:lang w:val="de-DE"/>
              </w:rPr>
            </w:pPr>
            <w:r w:rsidRPr="002A48C7">
              <w:rPr>
                <w:rFonts w:ascii="Tahoma" w:hAnsi="Tahoma" w:cs="Tahoma"/>
                <w:lang w:val="de-DE"/>
              </w:rPr>
              <w:t>1 Tag pro 50 Lizenzen</w:t>
            </w:r>
          </w:p>
          <w:p w:rsidR="008D4EE5" w:rsidRPr="002A48C7" w:rsidRDefault="008D4EE5" w:rsidP="00A67771">
            <w:pPr>
              <w:pStyle w:val="AppendixTableText"/>
              <w:keepNext/>
              <w:rPr>
                <w:rFonts w:ascii="Tahoma" w:hAnsi="Tahoma" w:cs="Tahoma"/>
                <w:lang w:val="de-DE"/>
              </w:rPr>
            </w:pPr>
            <w:r w:rsidRPr="002A48C7">
              <w:rPr>
                <w:rFonts w:ascii="Tahoma" w:hAnsi="Tahoma" w:cs="Tahoma"/>
                <w:lang w:val="de-DE"/>
              </w:rPr>
              <w:t>(maximal 10 Tage)</w:t>
            </w:r>
          </w:p>
        </w:tc>
      </w:tr>
      <w:tr w:rsidR="008D4EE5" w:rsidTr="00A67771">
        <w:trPr>
          <w:cantSplit/>
          <w:trHeight w:val="236"/>
        </w:trPr>
        <w:tc>
          <w:tcPr>
            <w:tcW w:w="3002" w:type="dxa"/>
            <w:vAlign w:val="center"/>
          </w:tcPr>
          <w:p w:rsidR="008D4EE5" w:rsidRPr="0062435A" w:rsidRDefault="008D4EE5" w:rsidP="00A67771">
            <w:pPr>
              <w:pStyle w:val="AppendixTableHeadings"/>
              <w:keepNext/>
            </w:pPr>
            <w:r>
              <w:rPr>
                <w:rFonts w:ascii="Tahoma" w:hAnsi="Tahoma" w:cs="Tahoma"/>
                <w:b w:val="0"/>
              </w:rPr>
              <w:t>SAM</w:t>
            </w:r>
          </w:p>
          <w:p w:rsidR="008D4EE5" w:rsidRPr="00EE13B0" w:rsidRDefault="008D4EE5" w:rsidP="00A67771">
            <w:pPr>
              <w:pStyle w:val="AppendixTableHeadings"/>
              <w:keepNext/>
              <w:rPr>
                <w:rFonts w:ascii="Tahoma" w:hAnsi="Tahoma" w:cs="Tahoma"/>
                <w:b w:val="0"/>
              </w:rPr>
            </w:pPr>
            <w:r>
              <w:rPr>
                <w:rFonts w:ascii="Tahoma" w:hAnsi="Tahoma" w:cs="Tahoma"/>
                <w:b w:val="0"/>
              </w:rPr>
              <w:t>1</w:t>
            </w:r>
            <w:r w:rsidR="001748D9">
              <w:rPr>
                <w:rFonts w:ascii="Tahoma" w:hAnsi="Tahoma" w:cs="Tahoma"/>
                <w:b w:val="0"/>
              </w:rPr>
              <w:t xml:space="preserve"> – </w:t>
            </w:r>
            <w:r>
              <w:rPr>
                <w:rFonts w:ascii="Tahoma" w:hAnsi="Tahoma" w:cs="Tahoma"/>
                <w:b w:val="0"/>
              </w:rPr>
              <w:t>249</w:t>
            </w:r>
          </w:p>
        </w:tc>
        <w:tc>
          <w:tcPr>
            <w:tcW w:w="3150" w:type="dxa"/>
            <w:vAlign w:val="center"/>
          </w:tcPr>
          <w:p w:rsidR="008D4EE5" w:rsidRDefault="008D4EE5" w:rsidP="00A67771">
            <w:pPr>
              <w:pStyle w:val="AppendixTableText"/>
              <w:keepNext/>
              <w:rPr>
                <w:rFonts w:ascii="Tahoma" w:hAnsi="Tahoma" w:cs="Tahoma"/>
              </w:rPr>
            </w:pPr>
            <w:r>
              <w:rPr>
                <w:rFonts w:ascii="Tahoma" w:hAnsi="Tahoma" w:cs="Tahoma"/>
              </w:rPr>
              <w:t>2 Tage pro 50 Lizenzen</w:t>
            </w:r>
          </w:p>
        </w:tc>
        <w:tc>
          <w:tcPr>
            <w:tcW w:w="3240" w:type="dxa"/>
            <w:vAlign w:val="center"/>
          </w:tcPr>
          <w:p w:rsidR="008D4EE5" w:rsidRPr="0062435A" w:rsidRDefault="008D4EE5" w:rsidP="00A67771">
            <w:pPr>
              <w:pStyle w:val="AppendixTableText"/>
              <w:keepNext/>
            </w:pPr>
            <w:r>
              <w:rPr>
                <w:rFonts w:ascii="Tahoma" w:hAnsi="Tahoma" w:cs="Tahoma"/>
              </w:rPr>
              <w:t>1 Tag pro 50 Lizenzen</w:t>
            </w:r>
          </w:p>
          <w:p w:rsidR="008D4EE5" w:rsidRDefault="008D4EE5" w:rsidP="00A67771">
            <w:pPr>
              <w:pStyle w:val="AppendixTableText"/>
              <w:keepNext/>
              <w:rPr>
                <w:rFonts w:ascii="Tahoma" w:hAnsi="Tahoma" w:cs="Tahoma"/>
              </w:rPr>
            </w:pPr>
          </w:p>
        </w:tc>
      </w:tr>
      <w:tr w:rsidR="008D4EE5" w:rsidTr="00A67771">
        <w:trPr>
          <w:cantSplit/>
          <w:trHeight w:val="236"/>
        </w:trPr>
        <w:tc>
          <w:tcPr>
            <w:tcW w:w="3002" w:type="dxa"/>
            <w:vAlign w:val="center"/>
          </w:tcPr>
          <w:p w:rsidR="008D4EE5" w:rsidRPr="0062435A" w:rsidRDefault="008D4EE5" w:rsidP="00A67771">
            <w:pPr>
              <w:pStyle w:val="AppendixTableHeadings"/>
              <w:keepNext/>
            </w:pPr>
            <w:r>
              <w:rPr>
                <w:rFonts w:ascii="Tahoma" w:hAnsi="Tahoma" w:cs="Tahoma"/>
                <w:b w:val="0"/>
              </w:rPr>
              <w:t>SAM</w:t>
            </w:r>
          </w:p>
          <w:p w:rsidR="008D4EE5" w:rsidRPr="00EE13B0" w:rsidRDefault="008D4EE5" w:rsidP="001748D9">
            <w:pPr>
              <w:pStyle w:val="AppendixTableText"/>
              <w:keepNext/>
              <w:rPr>
                <w:rFonts w:ascii="Tahoma" w:hAnsi="Tahoma" w:cs="Tahoma"/>
              </w:rPr>
            </w:pPr>
            <w:r>
              <w:rPr>
                <w:rFonts w:ascii="Tahoma" w:hAnsi="Tahoma" w:cs="Tahoma"/>
              </w:rPr>
              <w:t>250</w:t>
            </w:r>
            <w:r w:rsidR="001748D9">
              <w:rPr>
                <w:rFonts w:ascii="Tahoma" w:hAnsi="Tahoma" w:cs="Tahoma"/>
              </w:rPr>
              <w:t xml:space="preserve"> – </w:t>
            </w:r>
            <w:r>
              <w:rPr>
                <w:rFonts w:ascii="Tahoma" w:hAnsi="Tahoma" w:cs="Tahoma"/>
              </w:rPr>
              <w:t>2</w:t>
            </w:r>
            <w:r w:rsidR="00266EF1">
              <w:rPr>
                <w:rFonts w:ascii="Tahoma" w:hAnsi="Tahoma" w:cs="Tahoma"/>
              </w:rPr>
              <w:t>.</w:t>
            </w:r>
            <w:r>
              <w:rPr>
                <w:rFonts w:ascii="Tahoma" w:hAnsi="Tahoma" w:cs="Tahoma"/>
              </w:rPr>
              <w:t xml:space="preserve">399 </w:t>
            </w:r>
          </w:p>
        </w:tc>
        <w:tc>
          <w:tcPr>
            <w:tcW w:w="3150" w:type="dxa"/>
            <w:vAlign w:val="center"/>
          </w:tcPr>
          <w:p w:rsidR="008D4EE5" w:rsidRPr="0062435A" w:rsidRDefault="008D4EE5" w:rsidP="00A67771">
            <w:pPr>
              <w:pStyle w:val="AppendixTableText"/>
              <w:keepNext/>
            </w:pPr>
            <w:r>
              <w:rPr>
                <w:rFonts w:ascii="Tahoma" w:hAnsi="Tahoma" w:cs="Tahoma"/>
              </w:rPr>
              <w:t>20 Tage pro</w:t>
            </w:r>
          </w:p>
          <w:p w:rsidR="008D4EE5" w:rsidRDefault="008D4EE5" w:rsidP="00A67771">
            <w:pPr>
              <w:pStyle w:val="AppendixTableText"/>
              <w:keepNext/>
              <w:rPr>
                <w:rFonts w:ascii="Tahoma" w:hAnsi="Tahoma" w:cs="Tahoma"/>
              </w:rPr>
            </w:pPr>
            <w:r>
              <w:rPr>
                <w:rFonts w:ascii="Tahoma" w:hAnsi="Tahoma" w:cs="Tahoma"/>
              </w:rPr>
              <w:t>berechtigtem Beitritt</w:t>
            </w:r>
          </w:p>
        </w:tc>
        <w:tc>
          <w:tcPr>
            <w:tcW w:w="3240" w:type="dxa"/>
            <w:vAlign w:val="center"/>
          </w:tcPr>
          <w:p w:rsidR="008D4EE5" w:rsidRPr="0062435A" w:rsidRDefault="008D4EE5" w:rsidP="00A67771">
            <w:pPr>
              <w:pStyle w:val="AppendixTableText"/>
              <w:keepNext/>
            </w:pPr>
            <w:r>
              <w:rPr>
                <w:rFonts w:ascii="Tahoma" w:hAnsi="Tahoma" w:cs="Tahoma"/>
              </w:rPr>
              <w:t>10 Tage pro</w:t>
            </w:r>
          </w:p>
          <w:p w:rsidR="008D4EE5" w:rsidRDefault="008D4EE5" w:rsidP="00A67771">
            <w:pPr>
              <w:pStyle w:val="AppendixTableText"/>
              <w:keepNext/>
              <w:rPr>
                <w:rFonts w:ascii="Tahoma" w:hAnsi="Tahoma" w:cs="Tahoma"/>
              </w:rPr>
            </w:pPr>
            <w:r>
              <w:rPr>
                <w:rFonts w:ascii="Tahoma" w:hAnsi="Tahoma" w:cs="Tahoma"/>
              </w:rPr>
              <w:t>berechtigtem Beitritt</w:t>
            </w:r>
          </w:p>
        </w:tc>
      </w:tr>
      <w:tr w:rsidR="008D4EE5" w:rsidTr="00A67771">
        <w:trPr>
          <w:cantSplit/>
          <w:trHeight w:val="236"/>
        </w:trPr>
        <w:tc>
          <w:tcPr>
            <w:tcW w:w="3002" w:type="dxa"/>
            <w:vAlign w:val="center"/>
          </w:tcPr>
          <w:p w:rsidR="008D4EE5" w:rsidRPr="0062435A" w:rsidRDefault="008D4EE5" w:rsidP="00A67771">
            <w:pPr>
              <w:pStyle w:val="AppendixTableHeadings"/>
              <w:keepNext/>
            </w:pPr>
            <w:r>
              <w:rPr>
                <w:rFonts w:ascii="Tahoma" w:hAnsi="Tahoma" w:cs="Tahoma"/>
                <w:b w:val="0"/>
              </w:rPr>
              <w:t>SAM</w:t>
            </w:r>
          </w:p>
          <w:p w:rsidR="008D4EE5" w:rsidRPr="00EE13B0" w:rsidRDefault="008D4EE5" w:rsidP="001748D9">
            <w:pPr>
              <w:pStyle w:val="AppendixTableText"/>
              <w:keepNext/>
              <w:rPr>
                <w:rFonts w:ascii="Tahoma" w:hAnsi="Tahoma" w:cs="Tahoma"/>
                <w:i/>
              </w:rPr>
            </w:pPr>
            <w:r>
              <w:rPr>
                <w:rFonts w:ascii="Tahoma" w:hAnsi="Tahoma" w:cs="Tahoma"/>
              </w:rPr>
              <w:t>2</w:t>
            </w:r>
            <w:r w:rsidR="00266EF1">
              <w:rPr>
                <w:rFonts w:ascii="Tahoma" w:hAnsi="Tahoma" w:cs="Tahoma"/>
              </w:rPr>
              <w:t>.</w:t>
            </w:r>
            <w:r>
              <w:rPr>
                <w:rFonts w:ascii="Tahoma" w:hAnsi="Tahoma" w:cs="Tahoma"/>
              </w:rPr>
              <w:t>400</w:t>
            </w:r>
            <w:r w:rsidR="001748D9">
              <w:rPr>
                <w:rFonts w:ascii="Tahoma" w:hAnsi="Tahoma" w:cs="Tahoma"/>
              </w:rPr>
              <w:t xml:space="preserve"> – </w:t>
            </w:r>
            <w:r>
              <w:rPr>
                <w:rFonts w:ascii="Tahoma" w:hAnsi="Tahoma" w:cs="Tahoma"/>
              </w:rPr>
              <w:t>5</w:t>
            </w:r>
            <w:r w:rsidR="00266EF1">
              <w:rPr>
                <w:rFonts w:ascii="Tahoma" w:hAnsi="Tahoma" w:cs="Tahoma"/>
              </w:rPr>
              <w:t>.</w:t>
            </w:r>
            <w:r>
              <w:rPr>
                <w:rFonts w:ascii="Tahoma" w:hAnsi="Tahoma" w:cs="Tahoma"/>
              </w:rPr>
              <w:t>999</w:t>
            </w:r>
          </w:p>
        </w:tc>
        <w:tc>
          <w:tcPr>
            <w:tcW w:w="3150" w:type="dxa"/>
            <w:vAlign w:val="center"/>
          </w:tcPr>
          <w:p w:rsidR="008D4EE5" w:rsidRPr="0062435A" w:rsidRDefault="008D4EE5" w:rsidP="00A67771">
            <w:pPr>
              <w:pStyle w:val="AppendixTableText"/>
              <w:keepNext/>
            </w:pPr>
            <w:r>
              <w:rPr>
                <w:rFonts w:ascii="Tahoma" w:hAnsi="Tahoma" w:cs="Tahoma"/>
              </w:rPr>
              <w:t xml:space="preserve">30 Tage* </w:t>
            </w:r>
          </w:p>
          <w:p w:rsidR="008D4EE5" w:rsidRDefault="008D4EE5" w:rsidP="00A67771">
            <w:pPr>
              <w:pStyle w:val="AppendixTableText"/>
              <w:keepNext/>
              <w:rPr>
                <w:rFonts w:ascii="Tahoma" w:hAnsi="Tahoma" w:cs="Tahoma"/>
              </w:rPr>
            </w:pPr>
          </w:p>
        </w:tc>
        <w:tc>
          <w:tcPr>
            <w:tcW w:w="3240" w:type="dxa"/>
            <w:vAlign w:val="center"/>
          </w:tcPr>
          <w:p w:rsidR="008D4EE5" w:rsidRPr="0062435A" w:rsidRDefault="008D4EE5" w:rsidP="00A67771">
            <w:pPr>
              <w:pStyle w:val="AppendixTableText"/>
              <w:keepNext/>
            </w:pPr>
            <w:r>
              <w:rPr>
                <w:rFonts w:ascii="Tahoma" w:hAnsi="Tahoma" w:cs="Tahoma"/>
              </w:rPr>
              <w:t xml:space="preserve">15 Tage* </w:t>
            </w:r>
          </w:p>
          <w:p w:rsidR="008D4EE5" w:rsidRDefault="008D4EE5" w:rsidP="00A67771">
            <w:pPr>
              <w:pStyle w:val="AppendixTableText"/>
              <w:keepNext/>
              <w:rPr>
                <w:rFonts w:ascii="Tahoma" w:hAnsi="Tahoma" w:cs="Tahoma"/>
              </w:rPr>
            </w:pPr>
          </w:p>
        </w:tc>
      </w:tr>
      <w:tr w:rsidR="008D4EE5" w:rsidTr="00A67771">
        <w:trPr>
          <w:cantSplit/>
          <w:trHeight w:val="236"/>
        </w:trPr>
        <w:tc>
          <w:tcPr>
            <w:tcW w:w="3002" w:type="dxa"/>
            <w:vAlign w:val="center"/>
          </w:tcPr>
          <w:p w:rsidR="008D4EE5" w:rsidRPr="0062435A" w:rsidRDefault="008D4EE5" w:rsidP="00A67771">
            <w:pPr>
              <w:pStyle w:val="AppendixTableHeadings"/>
              <w:keepNext/>
            </w:pPr>
            <w:r>
              <w:rPr>
                <w:rFonts w:ascii="Tahoma" w:hAnsi="Tahoma" w:cs="Tahoma"/>
                <w:b w:val="0"/>
              </w:rPr>
              <w:t>SAM</w:t>
            </w:r>
          </w:p>
          <w:p w:rsidR="008D4EE5" w:rsidRPr="00EE13B0" w:rsidRDefault="008D4EE5" w:rsidP="001748D9">
            <w:pPr>
              <w:pStyle w:val="AppendixTableText"/>
              <w:keepNext/>
              <w:rPr>
                <w:rFonts w:ascii="Tahoma" w:hAnsi="Tahoma" w:cs="Tahoma"/>
                <w:i/>
              </w:rPr>
            </w:pPr>
            <w:r>
              <w:rPr>
                <w:rFonts w:ascii="Tahoma" w:hAnsi="Tahoma" w:cs="Tahoma"/>
              </w:rPr>
              <w:t>6</w:t>
            </w:r>
            <w:r w:rsidR="00266EF1">
              <w:rPr>
                <w:rFonts w:ascii="Tahoma" w:hAnsi="Tahoma" w:cs="Tahoma"/>
              </w:rPr>
              <w:t>.</w:t>
            </w:r>
            <w:r>
              <w:rPr>
                <w:rFonts w:ascii="Tahoma" w:hAnsi="Tahoma" w:cs="Tahoma"/>
              </w:rPr>
              <w:t>000</w:t>
            </w:r>
            <w:r w:rsidR="001748D9">
              <w:rPr>
                <w:rFonts w:ascii="Tahoma" w:hAnsi="Tahoma" w:cs="Tahoma"/>
              </w:rPr>
              <w:t xml:space="preserve"> – </w:t>
            </w:r>
            <w:r>
              <w:rPr>
                <w:rFonts w:ascii="Tahoma" w:hAnsi="Tahoma" w:cs="Tahoma"/>
              </w:rPr>
              <w:t>14</w:t>
            </w:r>
            <w:r w:rsidR="00266EF1">
              <w:rPr>
                <w:rFonts w:ascii="Tahoma" w:hAnsi="Tahoma" w:cs="Tahoma"/>
              </w:rPr>
              <w:t>.</w:t>
            </w:r>
            <w:r>
              <w:rPr>
                <w:rFonts w:ascii="Tahoma" w:hAnsi="Tahoma" w:cs="Tahoma"/>
              </w:rPr>
              <w:t>999</w:t>
            </w:r>
          </w:p>
        </w:tc>
        <w:tc>
          <w:tcPr>
            <w:tcW w:w="3150" w:type="dxa"/>
            <w:vAlign w:val="center"/>
          </w:tcPr>
          <w:p w:rsidR="008D4EE5" w:rsidRPr="0062435A" w:rsidRDefault="008D4EE5" w:rsidP="00A67771">
            <w:pPr>
              <w:pStyle w:val="AppendixTableText"/>
              <w:keepNext/>
            </w:pPr>
            <w:r>
              <w:rPr>
                <w:rFonts w:ascii="Tahoma" w:hAnsi="Tahoma" w:cs="Tahoma"/>
              </w:rPr>
              <w:t xml:space="preserve">50 Tage* </w:t>
            </w:r>
          </w:p>
          <w:p w:rsidR="008D4EE5" w:rsidRDefault="008D4EE5" w:rsidP="00A67771">
            <w:pPr>
              <w:pStyle w:val="AppendixTableText"/>
              <w:keepNext/>
              <w:rPr>
                <w:rFonts w:ascii="Tahoma" w:hAnsi="Tahoma" w:cs="Tahoma"/>
              </w:rPr>
            </w:pPr>
          </w:p>
        </w:tc>
        <w:tc>
          <w:tcPr>
            <w:tcW w:w="3240" w:type="dxa"/>
            <w:vAlign w:val="center"/>
          </w:tcPr>
          <w:p w:rsidR="008D4EE5" w:rsidRPr="0062435A" w:rsidRDefault="008D4EE5" w:rsidP="00A67771">
            <w:pPr>
              <w:pStyle w:val="AppendixTableText"/>
              <w:keepNext/>
            </w:pPr>
            <w:r>
              <w:rPr>
                <w:rFonts w:ascii="Tahoma" w:hAnsi="Tahoma" w:cs="Tahoma"/>
              </w:rPr>
              <w:t xml:space="preserve">25 Tage* </w:t>
            </w:r>
          </w:p>
          <w:p w:rsidR="008D4EE5" w:rsidRDefault="008D4EE5" w:rsidP="00A67771">
            <w:pPr>
              <w:pStyle w:val="AppendixTableText"/>
              <w:keepNext/>
              <w:rPr>
                <w:rFonts w:ascii="Tahoma" w:hAnsi="Tahoma" w:cs="Tahoma"/>
              </w:rPr>
            </w:pPr>
          </w:p>
        </w:tc>
      </w:tr>
      <w:tr w:rsidR="008D4EE5" w:rsidTr="00A67771">
        <w:trPr>
          <w:cantSplit/>
          <w:trHeight w:val="236"/>
        </w:trPr>
        <w:tc>
          <w:tcPr>
            <w:tcW w:w="3002" w:type="dxa"/>
            <w:vAlign w:val="center"/>
          </w:tcPr>
          <w:p w:rsidR="008D4EE5" w:rsidRPr="0062435A" w:rsidRDefault="008D4EE5" w:rsidP="00A67771">
            <w:pPr>
              <w:pStyle w:val="AppendixTableHeadings"/>
              <w:keepNext/>
            </w:pPr>
            <w:r>
              <w:rPr>
                <w:rFonts w:ascii="Tahoma" w:hAnsi="Tahoma" w:cs="Tahoma"/>
                <w:b w:val="0"/>
              </w:rPr>
              <w:t>SAM</w:t>
            </w:r>
          </w:p>
          <w:p w:rsidR="008D4EE5" w:rsidRPr="00EE13B0" w:rsidRDefault="008D4EE5" w:rsidP="001748D9">
            <w:pPr>
              <w:pStyle w:val="AppendixTableText"/>
              <w:keepNext/>
              <w:rPr>
                <w:rFonts w:ascii="Tahoma" w:hAnsi="Tahoma" w:cs="Tahoma"/>
                <w:i/>
              </w:rPr>
            </w:pPr>
            <w:r>
              <w:rPr>
                <w:rFonts w:ascii="Tahoma" w:hAnsi="Tahoma" w:cs="Tahoma"/>
              </w:rPr>
              <w:t>15</w:t>
            </w:r>
            <w:r w:rsidR="00266EF1">
              <w:rPr>
                <w:rFonts w:ascii="Tahoma" w:hAnsi="Tahoma" w:cs="Tahoma"/>
              </w:rPr>
              <w:t>.</w:t>
            </w:r>
            <w:r>
              <w:rPr>
                <w:rFonts w:ascii="Tahoma" w:hAnsi="Tahoma" w:cs="Tahoma"/>
              </w:rPr>
              <w:t>000 – 29</w:t>
            </w:r>
            <w:r w:rsidR="00266EF1">
              <w:rPr>
                <w:rFonts w:ascii="Tahoma" w:hAnsi="Tahoma" w:cs="Tahoma"/>
              </w:rPr>
              <w:t>.</w:t>
            </w:r>
            <w:r>
              <w:rPr>
                <w:rFonts w:ascii="Tahoma" w:hAnsi="Tahoma" w:cs="Tahoma"/>
              </w:rPr>
              <w:t>999</w:t>
            </w:r>
          </w:p>
        </w:tc>
        <w:tc>
          <w:tcPr>
            <w:tcW w:w="3150" w:type="dxa"/>
            <w:vAlign w:val="center"/>
          </w:tcPr>
          <w:p w:rsidR="008D4EE5" w:rsidRPr="0062435A" w:rsidRDefault="008D4EE5" w:rsidP="00A67771">
            <w:pPr>
              <w:pStyle w:val="AppendixTableText"/>
              <w:keepNext/>
            </w:pPr>
            <w:r>
              <w:rPr>
                <w:rFonts w:ascii="Tahoma" w:hAnsi="Tahoma" w:cs="Tahoma"/>
              </w:rPr>
              <w:t xml:space="preserve">110 Tage* </w:t>
            </w:r>
          </w:p>
          <w:p w:rsidR="008D4EE5" w:rsidRDefault="008D4EE5" w:rsidP="00A67771">
            <w:pPr>
              <w:pStyle w:val="AppendixTableText"/>
              <w:keepNext/>
              <w:rPr>
                <w:rFonts w:ascii="Tahoma" w:hAnsi="Tahoma" w:cs="Tahoma"/>
              </w:rPr>
            </w:pPr>
          </w:p>
        </w:tc>
        <w:tc>
          <w:tcPr>
            <w:tcW w:w="3240" w:type="dxa"/>
            <w:vAlign w:val="center"/>
          </w:tcPr>
          <w:p w:rsidR="008D4EE5" w:rsidRPr="0062435A" w:rsidRDefault="008D4EE5" w:rsidP="00A67771">
            <w:pPr>
              <w:pStyle w:val="AppendixTableText"/>
              <w:keepNext/>
            </w:pPr>
            <w:r>
              <w:rPr>
                <w:rFonts w:ascii="Tahoma" w:hAnsi="Tahoma" w:cs="Tahoma"/>
              </w:rPr>
              <w:t xml:space="preserve">55 Tage* </w:t>
            </w:r>
          </w:p>
          <w:p w:rsidR="008D4EE5" w:rsidRDefault="008D4EE5" w:rsidP="00A67771">
            <w:pPr>
              <w:pStyle w:val="AppendixTableText"/>
              <w:keepNext/>
              <w:rPr>
                <w:rFonts w:ascii="Tahoma" w:hAnsi="Tahoma" w:cs="Tahoma"/>
              </w:rPr>
            </w:pPr>
          </w:p>
        </w:tc>
      </w:tr>
      <w:tr w:rsidR="008D4EE5" w:rsidTr="00A67771">
        <w:trPr>
          <w:cantSplit/>
          <w:trHeight w:val="236"/>
        </w:trPr>
        <w:tc>
          <w:tcPr>
            <w:tcW w:w="3002" w:type="dxa"/>
            <w:vAlign w:val="center"/>
          </w:tcPr>
          <w:p w:rsidR="008D4EE5" w:rsidRPr="0062435A" w:rsidRDefault="008D4EE5" w:rsidP="00A67771">
            <w:pPr>
              <w:pStyle w:val="AppendixTableHeadings"/>
              <w:keepNext/>
            </w:pPr>
            <w:r>
              <w:rPr>
                <w:rFonts w:ascii="Tahoma" w:hAnsi="Tahoma" w:cs="Tahoma"/>
                <w:b w:val="0"/>
              </w:rPr>
              <w:t>SAM</w:t>
            </w:r>
          </w:p>
          <w:p w:rsidR="008D4EE5" w:rsidRPr="00EE13B0" w:rsidRDefault="008D4EE5" w:rsidP="001748D9">
            <w:pPr>
              <w:pStyle w:val="AppendixTableText"/>
              <w:keepNext/>
              <w:rPr>
                <w:rFonts w:ascii="Tahoma" w:hAnsi="Tahoma" w:cs="Tahoma"/>
                <w:i/>
              </w:rPr>
            </w:pPr>
            <w:r>
              <w:rPr>
                <w:rFonts w:ascii="Tahoma" w:hAnsi="Tahoma" w:cs="Tahoma"/>
              </w:rPr>
              <w:t>30</w:t>
            </w:r>
            <w:r w:rsidR="00266EF1">
              <w:rPr>
                <w:rFonts w:ascii="Tahoma" w:hAnsi="Tahoma" w:cs="Tahoma"/>
              </w:rPr>
              <w:t>.</w:t>
            </w:r>
            <w:r>
              <w:rPr>
                <w:rFonts w:ascii="Tahoma" w:hAnsi="Tahoma" w:cs="Tahoma"/>
              </w:rPr>
              <w:t>000 – 49</w:t>
            </w:r>
            <w:r w:rsidR="00266EF1">
              <w:rPr>
                <w:rFonts w:ascii="Tahoma" w:hAnsi="Tahoma" w:cs="Tahoma"/>
              </w:rPr>
              <w:t>.</w:t>
            </w:r>
            <w:r>
              <w:rPr>
                <w:rFonts w:ascii="Tahoma" w:hAnsi="Tahoma" w:cs="Tahoma"/>
              </w:rPr>
              <w:t>999</w:t>
            </w:r>
          </w:p>
        </w:tc>
        <w:tc>
          <w:tcPr>
            <w:tcW w:w="3150" w:type="dxa"/>
            <w:vAlign w:val="center"/>
          </w:tcPr>
          <w:p w:rsidR="008D4EE5" w:rsidRPr="0062435A" w:rsidRDefault="008D4EE5" w:rsidP="00A67771">
            <w:pPr>
              <w:pStyle w:val="AppendixTableText"/>
              <w:keepNext/>
            </w:pPr>
            <w:r>
              <w:rPr>
                <w:rFonts w:ascii="Tahoma" w:hAnsi="Tahoma" w:cs="Tahoma"/>
              </w:rPr>
              <w:t xml:space="preserve">160 Tage* </w:t>
            </w:r>
          </w:p>
          <w:p w:rsidR="008D4EE5" w:rsidRDefault="008D4EE5" w:rsidP="00A67771">
            <w:pPr>
              <w:pStyle w:val="AppendixTableText"/>
              <w:keepNext/>
              <w:rPr>
                <w:rFonts w:ascii="Tahoma" w:hAnsi="Tahoma" w:cs="Tahoma"/>
              </w:rPr>
            </w:pPr>
          </w:p>
        </w:tc>
        <w:tc>
          <w:tcPr>
            <w:tcW w:w="3240" w:type="dxa"/>
            <w:vAlign w:val="center"/>
          </w:tcPr>
          <w:p w:rsidR="008D4EE5" w:rsidRPr="0062435A" w:rsidRDefault="008D4EE5" w:rsidP="00A67771">
            <w:pPr>
              <w:pStyle w:val="AppendixTableText"/>
              <w:keepNext/>
            </w:pPr>
            <w:r>
              <w:rPr>
                <w:rFonts w:ascii="Tahoma" w:hAnsi="Tahoma" w:cs="Tahoma"/>
              </w:rPr>
              <w:t>80 Tage*</w:t>
            </w:r>
          </w:p>
          <w:p w:rsidR="008D4EE5" w:rsidRDefault="008D4EE5" w:rsidP="00A67771">
            <w:pPr>
              <w:pStyle w:val="AppendixTableText"/>
              <w:keepNext/>
              <w:rPr>
                <w:rFonts w:ascii="Tahoma" w:hAnsi="Tahoma" w:cs="Tahoma"/>
              </w:rPr>
            </w:pPr>
          </w:p>
        </w:tc>
      </w:tr>
      <w:tr w:rsidR="008D4EE5" w:rsidTr="00A67771">
        <w:trPr>
          <w:cantSplit/>
          <w:trHeight w:val="236"/>
        </w:trPr>
        <w:tc>
          <w:tcPr>
            <w:tcW w:w="3002" w:type="dxa"/>
            <w:vAlign w:val="center"/>
          </w:tcPr>
          <w:p w:rsidR="008D4EE5" w:rsidRPr="0062435A" w:rsidRDefault="008D4EE5" w:rsidP="00A67771">
            <w:pPr>
              <w:pStyle w:val="AppendixTableHeadings"/>
              <w:keepNext/>
            </w:pPr>
            <w:r>
              <w:rPr>
                <w:rFonts w:ascii="Tahoma" w:hAnsi="Tahoma" w:cs="Tahoma"/>
                <w:b w:val="0"/>
              </w:rPr>
              <w:t>SAM</w:t>
            </w:r>
          </w:p>
          <w:p w:rsidR="008D4EE5" w:rsidRPr="00EE13B0" w:rsidRDefault="008D4EE5" w:rsidP="001748D9">
            <w:pPr>
              <w:pStyle w:val="AppendixTableText"/>
              <w:keepNext/>
              <w:rPr>
                <w:rFonts w:ascii="Tahoma" w:hAnsi="Tahoma" w:cs="Tahoma"/>
                <w:i/>
              </w:rPr>
            </w:pPr>
            <w:r>
              <w:rPr>
                <w:rFonts w:ascii="Tahoma" w:hAnsi="Tahoma" w:cs="Tahoma"/>
              </w:rPr>
              <w:t>50</w:t>
            </w:r>
            <w:r w:rsidR="00266EF1">
              <w:rPr>
                <w:rFonts w:ascii="Tahoma" w:hAnsi="Tahoma" w:cs="Tahoma"/>
              </w:rPr>
              <w:t>.</w:t>
            </w:r>
            <w:r>
              <w:rPr>
                <w:rFonts w:ascii="Tahoma" w:hAnsi="Tahoma" w:cs="Tahoma"/>
              </w:rPr>
              <w:t>000 – 99</w:t>
            </w:r>
            <w:r w:rsidR="00266EF1">
              <w:rPr>
                <w:rFonts w:ascii="Tahoma" w:hAnsi="Tahoma" w:cs="Tahoma"/>
              </w:rPr>
              <w:t>.</w:t>
            </w:r>
            <w:r>
              <w:rPr>
                <w:rFonts w:ascii="Tahoma" w:hAnsi="Tahoma" w:cs="Tahoma"/>
              </w:rPr>
              <w:t>999</w:t>
            </w:r>
          </w:p>
        </w:tc>
        <w:tc>
          <w:tcPr>
            <w:tcW w:w="3150" w:type="dxa"/>
            <w:vAlign w:val="center"/>
          </w:tcPr>
          <w:p w:rsidR="008D4EE5" w:rsidRPr="0062435A" w:rsidRDefault="008D4EE5" w:rsidP="00A67771">
            <w:pPr>
              <w:pStyle w:val="AppendixTableText"/>
              <w:keepNext/>
            </w:pPr>
            <w:r>
              <w:rPr>
                <w:rFonts w:ascii="Tahoma" w:hAnsi="Tahoma" w:cs="Tahoma"/>
              </w:rPr>
              <w:t>250 Tage*</w:t>
            </w:r>
          </w:p>
          <w:p w:rsidR="008D4EE5" w:rsidRDefault="008D4EE5" w:rsidP="00A67771">
            <w:pPr>
              <w:pStyle w:val="AppendixTableText"/>
              <w:keepNext/>
              <w:rPr>
                <w:rFonts w:ascii="Tahoma" w:hAnsi="Tahoma" w:cs="Tahoma"/>
              </w:rPr>
            </w:pPr>
          </w:p>
        </w:tc>
        <w:tc>
          <w:tcPr>
            <w:tcW w:w="3240" w:type="dxa"/>
            <w:vAlign w:val="center"/>
          </w:tcPr>
          <w:p w:rsidR="008D4EE5" w:rsidRPr="0062435A" w:rsidRDefault="008D4EE5" w:rsidP="00A67771">
            <w:pPr>
              <w:pStyle w:val="AppendixTableText"/>
              <w:keepNext/>
            </w:pPr>
            <w:r>
              <w:rPr>
                <w:rFonts w:ascii="Tahoma" w:hAnsi="Tahoma" w:cs="Tahoma"/>
              </w:rPr>
              <w:t xml:space="preserve">125 Tage* </w:t>
            </w:r>
          </w:p>
          <w:p w:rsidR="008D4EE5" w:rsidRDefault="008D4EE5" w:rsidP="00A67771">
            <w:pPr>
              <w:pStyle w:val="AppendixTableText"/>
              <w:keepNext/>
              <w:rPr>
                <w:rFonts w:ascii="Tahoma" w:hAnsi="Tahoma" w:cs="Tahoma"/>
              </w:rPr>
            </w:pPr>
          </w:p>
        </w:tc>
      </w:tr>
      <w:tr w:rsidR="008D4EE5" w:rsidTr="00A67771">
        <w:trPr>
          <w:cantSplit/>
          <w:trHeight w:val="236"/>
        </w:trPr>
        <w:tc>
          <w:tcPr>
            <w:tcW w:w="3002" w:type="dxa"/>
            <w:vAlign w:val="center"/>
          </w:tcPr>
          <w:p w:rsidR="008D4EE5" w:rsidRPr="0062435A" w:rsidRDefault="008D4EE5" w:rsidP="00A67771">
            <w:pPr>
              <w:pStyle w:val="AppendixTableHeadings"/>
              <w:keepNext/>
            </w:pPr>
            <w:r>
              <w:rPr>
                <w:rFonts w:ascii="Tahoma" w:hAnsi="Tahoma" w:cs="Tahoma"/>
                <w:b w:val="0"/>
              </w:rPr>
              <w:t>SAM</w:t>
            </w:r>
          </w:p>
          <w:p w:rsidR="008D4EE5" w:rsidRPr="00EE13B0" w:rsidRDefault="008D4EE5" w:rsidP="001748D9">
            <w:pPr>
              <w:pStyle w:val="AppendixTableHeadings"/>
              <w:keepNext/>
              <w:rPr>
                <w:rFonts w:ascii="Tahoma" w:hAnsi="Tahoma" w:cs="Tahoma"/>
                <w:b w:val="0"/>
              </w:rPr>
            </w:pPr>
            <w:r>
              <w:rPr>
                <w:rFonts w:ascii="Tahoma" w:hAnsi="Tahoma" w:cs="Tahoma"/>
                <w:b w:val="0"/>
              </w:rPr>
              <w:t>100</w:t>
            </w:r>
            <w:r w:rsidR="00266EF1">
              <w:rPr>
                <w:rFonts w:ascii="Tahoma" w:hAnsi="Tahoma" w:cs="Tahoma"/>
                <w:b w:val="0"/>
              </w:rPr>
              <w:t>.</w:t>
            </w:r>
            <w:r>
              <w:rPr>
                <w:rFonts w:ascii="Tahoma" w:hAnsi="Tahoma" w:cs="Tahoma"/>
                <w:b w:val="0"/>
              </w:rPr>
              <w:t>000 – 199</w:t>
            </w:r>
            <w:r w:rsidR="00266EF1">
              <w:rPr>
                <w:rFonts w:ascii="Tahoma" w:hAnsi="Tahoma" w:cs="Tahoma"/>
                <w:b w:val="0"/>
              </w:rPr>
              <w:t>.</w:t>
            </w:r>
            <w:r>
              <w:rPr>
                <w:rFonts w:ascii="Tahoma" w:hAnsi="Tahoma" w:cs="Tahoma"/>
                <w:b w:val="0"/>
              </w:rPr>
              <w:t>999</w:t>
            </w:r>
          </w:p>
        </w:tc>
        <w:tc>
          <w:tcPr>
            <w:tcW w:w="3150" w:type="dxa"/>
            <w:vAlign w:val="center"/>
          </w:tcPr>
          <w:p w:rsidR="008D4EE5" w:rsidRPr="0062435A" w:rsidRDefault="008D4EE5" w:rsidP="00A67771">
            <w:pPr>
              <w:pStyle w:val="AppendixTableText"/>
              <w:keepNext/>
            </w:pPr>
            <w:r>
              <w:rPr>
                <w:rFonts w:ascii="Tahoma" w:hAnsi="Tahoma" w:cs="Tahoma"/>
              </w:rPr>
              <w:t>400 Tage*</w:t>
            </w:r>
          </w:p>
          <w:p w:rsidR="008D4EE5" w:rsidRDefault="008D4EE5" w:rsidP="00A67771">
            <w:pPr>
              <w:pStyle w:val="AppendixTableText"/>
              <w:keepNext/>
              <w:rPr>
                <w:rFonts w:ascii="Tahoma" w:hAnsi="Tahoma" w:cs="Tahoma"/>
              </w:rPr>
            </w:pPr>
          </w:p>
        </w:tc>
        <w:tc>
          <w:tcPr>
            <w:tcW w:w="3240" w:type="dxa"/>
            <w:vAlign w:val="center"/>
          </w:tcPr>
          <w:p w:rsidR="008D4EE5" w:rsidRPr="0062435A" w:rsidRDefault="008D4EE5" w:rsidP="00A67771">
            <w:pPr>
              <w:pStyle w:val="AppendixTableText"/>
              <w:keepNext/>
            </w:pPr>
            <w:r>
              <w:rPr>
                <w:rFonts w:ascii="Tahoma" w:hAnsi="Tahoma" w:cs="Tahoma"/>
              </w:rPr>
              <w:t>200 Tage*</w:t>
            </w:r>
          </w:p>
          <w:p w:rsidR="008D4EE5" w:rsidRDefault="008D4EE5" w:rsidP="00A67771">
            <w:pPr>
              <w:pStyle w:val="AppendixTableText"/>
              <w:keepNext/>
              <w:rPr>
                <w:rFonts w:ascii="Tahoma" w:hAnsi="Tahoma" w:cs="Tahoma"/>
              </w:rPr>
            </w:pPr>
          </w:p>
        </w:tc>
      </w:tr>
      <w:tr w:rsidR="008D4EE5" w:rsidTr="00A67771">
        <w:trPr>
          <w:cantSplit/>
          <w:trHeight w:val="236"/>
        </w:trPr>
        <w:tc>
          <w:tcPr>
            <w:tcW w:w="3002" w:type="dxa"/>
            <w:vAlign w:val="center"/>
          </w:tcPr>
          <w:p w:rsidR="008D4EE5" w:rsidRPr="0062435A" w:rsidRDefault="008D4EE5" w:rsidP="00A67771">
            <w:pPr>
              <w:pStyle w:val="AppendixTableHeadings"/>
              <w:keepNext/>
            </w:pPr>
            <w:r>
              <w:rPr>
                <w:rFonts w:ascii="Tahoma" w:hAnsi="Tahoma" w:cs="Tahoma"/>
                <w:b w:val="0"/>
              </w:rPr>
              <w:t>SAM</w:t>
            </w:r>
          </w:p>
          <w:p w:rsidR="008D4EE5" w:rsidRPr="00EE13B0" w:rsidRDefault="008D4EE5" w:rsidP="001748D9">
            <w:pPr>
              <w:pStyle w:val="AppendixTableHeadings"/>
              <w:keepNext/>
              <w:rPr>
                <w:rFonts w:ascii="Tahoma" w:hAnsi="Tahoma" w:cs="Tahoma"/>
                <w:b w:val="0"/>
              </w:rPr>
            </w:pPr>
            <w:r>
              <w:rPr>
                <w:rFonts w:ascii="Tahoma" w:hAnsi="Tahoma" w:cs="Tahoma"/>
                <w:b w:val="0"/>
              </w:rPr>
              <w:t>200</w:t>
            </w:r>
            <w:r w:rsidR="00844B7C">
              <w:rPr>
                <w:rFonts w:ascii="Tahoma" w:hAnsi="Tahoma" w:cs="Tahoma"/>
                <w:b w:val="0"/>
              </w:rPr>
              <w:t>.</w:t>
            </w:r>
            <w:r>
              <w:rPr>
                <w:rFonts w:ascii="Tahoma" w:hAnsi="Tahoma" w:cs="Tahoma"/>
                <w:b w:val="0"/>
              </w:rPr>
              <w:t>000 – 399</w:t>
            </w:r>
            <w:r w:rsidR="00266EF1">
              <w:rPr>
                <w:rFonts w:ascii="Tahoma" w:hAnsi="Tahoma" w:cs="Tahoma"/>
                <w:b w:val="0"/>
              </w:rPr>
              <w:t>.</w:t>
            </w:r>
            <w:r>
              <w:rPr>
                <w:rFonts w:ascii="Tahoma" w:hAnsi="Tahoma" w:cs="Tahoma"/>
                <w:b w:val="0"/>
              </w:rPr>
              <w:t>999</w:t>
            </w:r>
          </w:p>
        </w:tc>
        <w:tc>
          <w:tcPr>
            <w:tcW w:w="3150" w:type="dxa"/>
            <w:vAlign w:val="center"/>
          </w:tcPr>
          <w:p w:rsidR="008D4EE5" w:rsidRPr="0062435A" w:rsidRDefault="008D4EE5" w:rsidP="00A67771">
            <w:pPr>
              <w:pStyle w:val="AppendixTableText"/>
              <w:keepNext/>
            </w:pPr>
            <w:r>
              <w:rPr>
                <w:rFonts w:ascii="Tahoma" w:hAnsi="Tahoma" w:cs="Tahoma"/>
              </w:rPr>
              <w:t>600 Tage*</w:t>
            </w:r>
          </w:p>
          <w:p w:rsidR="008D4EE5" w:rsidRDefault="008D4EE5" w:rsidP="00A67771">
            <w:pPr>
              <w:pStyle w:val="AppendixTableText"/>
              <w:keepNext/>
              <w:rPr>
                <w:rFonts w:ascii="Tahoma" w:hAnsi="Tahoma" w:cs="Tahoma"/>
              </w:rPr>
            </w:pPr>
          </w:p>
        </w:tc>
        <w:tc>
          <w:tcPr>
            <w:tcW w:w="3240" w:type="dxa"/>
            <w:vAlign w:val="center"/>
          </w:tcPr>
          <w:p w:rsidR="008D4EE5" w:rsidRPr="0062435A" w:rsidRDefault="008D4EE5" w:rsidP="00A67771">
            <w:pPr>
              <w:pStyle w:val="AppendixTableText"/>
              <w:keepNext/>
            </w:pPr>
            <w:r>
              <w:rPr>
                <w:rFonts w:ascii="Tahoma" w:hAnsi="Tahoma" w:cs="Tahoma"/>
              </w:rPr>
              <w:t>300 Tage*</w:t>
            </w:r>
          </w:p>
          <w:p w:rsidR="008D4EE5" w:rsidRDefault="008D4EE5" w:rsidP="00A67771">
            <w:pPr>
              <w:pStyle w:val="AppendixTableText"/>
              <w:keepNext/>
              <w:rPr>
                <w:rFonts w:ascii="Tahoma" w:hAnsi="Tahoma" w:cs="Tahoma"/>
              </w:rPr>
            </w:pPr>
          </w:p>
        </w:tc>
      </w:tr>
      <w:tr w:rsidR="008D4EE5" w:rsidTr="00A67771">
        <w:trPr>
          <w:cantSplit/>
          <w:trHeight w:val="236"/>
        </w:trPr>
        <w:tc>
          <w:tcPr>
            <w:tcW w:w="3002" w:type="dxa"/>
            <w:vAlign w:val="center"/>
          </w:tcPr>
          <w:p w:rsidR="008D4EE5" w:rsidRPr="0062435A" w:rsidRDefault="008D4EE5" w:rsidP="00A67771">
            <w:pPr>
              <w:pStyle w:val="AppendixTableHeadings"/>
              <w:keepNext/>
            </w:pPr>
            <w:r>
              <w:rPr>
                <w:rFonts w:ascii="Tahoma" w:hAnsi="Tahoma" w:cs="Tahoma"/>
                <w:b w:val="0"/>
              </w:rPr>
              <w:t>SAM</w:t>
            </w:r>
          </w:p>
          <w:p w:rsidR="008D4EE5" w:rsidRPr="00EE13B0" w:rsidRDefault="008D4EE5" w:rsidP="001748D9">
            <w:pPr>
              <w:pStyle w:val="AppendixTableHeadings"/>
              <w:keepNext/>
              <w:rPr>
                <w:rFonts w:ascii="Tahoma" w:hAnsi="Tahoma" w:cs="Tahoma"/>
                <w:b w:val="0"/>
              </w:rPr>
            </w:pPr>
            <w:r>
              <w:rPr>
                <w:rFonts w:ascii="Tahoma" w:hAnsi="Tahoma" w:cs="Tahoma"/>
                <w:b w:val="0"/>
              </w:rPr>
              <w:t>400</w:t>
            </w:r>
            <w:r w:rsidR="00266EF1">
              <w:rPr>
                <w:rFonts w:ascii="Tahoma" w:hAnsi="Tahoma" w:cs="Tahoma"/>
                <w:b w:val="0"/>
              </w:rPr>
              <w:t>.</w:t>
            </w:r>
            <w:r>
              <w:rPr>
                <w:rFonts w:ascii="Tahoma" w:hAnsi="Tahoma" w:cs="Tahoma"/>
                <w:b w:val="0"/>
              </w:rPr>
              <w:t>000 – 599</w:t>
            </w:r>
            <w:r w:rsidR="00266EF1">
              <w:rPr>
                <w:rFonts w:ascii="Tahoma" w:hAnsi="Tahoma" w:cs="Tahoma"/>
                <w:b w:val="0"/>
              </w:rPr>
              <w:t>.</w:t>
            </w:r>
            <w:r>
              <w:rPr>
                <w:rFonts w:ascii="Tahoma" w:hAnsi="Tahoma" w:cs="Tahoma"/>
                <w:b w:val="0"/>
              </w:rPr>
              <w:t>999</w:t>
            </w:r>
          </w:p>
        </w:tc>
        <w:tc>
          <w:tcPr>
            <w:tcW w:w="3150" w:type="dxa"/>
            <w:vAlign w:val="center"/>
          </w:tcPr>
          <w:p w:rsidR="008D4EE5" w:rsidRPr="0062435A" w:rsidRDefault="008D4EE5" w:rsidP="00A67771">
            <w:pPr>
              <w:pStyle w:val="AppendixTableText"/>
              <w:keepNext/>
            </w:pPr>
            <w:r>
              <w:rPr>
                <w:rFonts w:ascii="Tahoma" w:hAnsi="Tahoma" w:cs="Tahoma"/>
              </w:rPr>
              <w:t>800 Tage*</w:t>
            </w:r>
          </w:p>
          <w:p w:rsidR="008D4EE5" w:rsidRDefault="008D4EE5" w:rsidP="00A67771">
            <w:pPr>
              <w:pStyle w:val="AppendixTableText"/>
              <w:keepNext/>
              <w:rPr>
                <w:rFonts w:ascii="Tahoma" w:hAnsi="Tahoma" w:cs="Tahoma"/>
              </w:rPr>
            </w:pPr>
          </w:p>
        </w:tc>
        <w:tc>
          <w:tcPr>
            <w:tcW w:w="3240" w:type="dxa"/>
            <w:vAlign w:val="center"/>
          </w:tcPr>
          <w:p w:rsidR="008D4EE5" w:rsidRPr="0062435A" w:rsidRDefault="008D4EE5" w:rsidP="00A67771">
            <w:pPr>
              <w:pStyle w:val="AppendixTableText"/>
              <w:keepNext/>
            </w:pPr>
            <w:r>
              <w:rPr>
                <w:rFonts w:ascii="Tahoma" w:hAnsi="Tahoma" w:cs="Tahoma"/>
              </w:rPr>
              <w:t>400 Tage*</w:t>
            </w:r>
          </w:p>
          <w:p w:rsidR="008D4EE5" w:rsidRDefault="008D4EE5" w:rsidP="00A67771">
            <w:pPr>
              <w:pStyle w:val="AppendixTableText"/>
              <w:keepNext/>
              <w:rPr>
                <w:rFonts w:ascii="Tahoma" w:hAnsi="Tahoma" w:cs="Tahoma"/>
              </w:rPr>
            </w:pPr>
          </w:p>
        </w:tc>
      </w:tr>
      <w:tr w:rsidR="008D4EE5" w:rsidTr="00A67771">
        <w:trPr>
          <w:cantSplit/>
          <w:trHeight w:val="236"/>
        </w:trPr>
        <w:tc>
          <w:tcPr>
            <w:tcW w:w="3002" w:type="dxa"/>
            <w:vAlign w:val="center"/>
          </w:tcPr>
          <w:p w:rsidR="008D4EE5" w:rsidRPr="0062435A" w:rsidRDefault="008D4EE5" w:rsidP="00A67771">
            <w:pPr>
              <w:pStyle w:val="AppendixTableHeadings"/>
              <w:keepNext/>
            </w:pPr>
            <w:r>
              <w:rPr>
                <w:rFonts w:ascii="Tahoma" w:hAnsi="Tahoma" w:cs="Tahoma"/>
                <w:b w:val="0"/>
              </w:rPr>
              <w:t>SAM</w:t>
            </w:r>
          </w:p>
          <w:p w:rsidR="008D4EE5" w:rsidRPr="00EE13B0" w:rsidRDefault="008D4EE5" w:rsidP="001748D9">
            <w:pPr>
              <w:pStyle w:val="AppendixTableHeadings"/>
              <w:keepNext/>
              <w:rPr>
                <w:rFonts w:ascii="Tahoma" w:hAnsi="Tahoma" w:cs="Tahoma"/>
                <w:b w:val="0"/>
              </w:rPr>
            </w:pPr>
            <w:r>
              <w:rPr>
                <w:rFonts w:ascii="Tahoma" w:hAnsi="Tahoma" w:cs="Tahoma"/>
                <w:b w:val="0"/>
              </w:rPr>
              <w:t>600</w:t>
            </w:r>
            <w:r w:rsidR="00266EF1">
              <w:rPr>
                <w:rFonts w:ascii="Tahoma" w:hAnsi="Tahoma" w:cs="Tahoma"/>
                <w:b w:val="0"/>
              </w:rPr>
              <w:t>.</w:t>
            </w:r>
            <w:r>
              <w:rPr>
                <w:rFonts w:ascii="Tahoma" w:hAnsi="Tahoma" w:cs="Tahoma"/>
                <w:b w:val="0"/>
              </w:rPr>
              <w:t>000 +</w:t>
            </w:r>
          </w:p>
        </w:tc>
        <w:tc>
          <w:tcPr>
            <w:tcW w:w="3150" w:type="dxa"/>
            <w:vAlign w:val="center"/>
          </w:tcPr>
          <w:p w:rsidR="008D4EE5" w:rsidRPr="0062435A" w:rsidRDefault="008D4EE5" w:rsidP="00A67771">
            <w:pPr>
              <w:pStyle w:val="AppendixTableText"/>
              <w:keepNext/>
            </w:pPr>
            <w:r>
              <w:rPr>
                <w:rFonts w:ascii="Tahoma" w:hAnsi="Tahoma" w:cs="Tahoma"/>
              </w:rPr>
              <w:t>1</w:t>
            </w:r>
            <w:r w:rsidR="00844B7C">
              <w:rPr>
                <w:rFonts w:ascii="Tahoma" w:hAnsi="Tahoma" w:cs="Tahoma"/>
              </w:rPr>
              <w:t>.</w:t>
            </w:r>
            <w:r>
              <w:rPr>
                <w:rFonts w:ascii="Tahoma" w:hAnsi="Tahoma" w:cs="Tahoma"/>
              </w:rPr>
              <w:t xml:space="preserve">400 Tage* </w:t>
            </w:r>
          </w:p>
          <w:p w:rsidR="008D4EE5" w:rsidRDefault="008D4EE5" w:rsidP="00A67771">
            <w:pPr>
              <w:pStyle w:val="AppendixTableText"/>
              <w:keepNext/>
              <w:rPr>
                <w:rFonts w:ascii="Tahoma" w:hAnsi="Tahoma" w:cs="Tahoma"/>
              </w:rPr>
            </w:pPr>
          </w:p>
        </w:tc>
        <w:tc>
          <w:tcPr>
            <w:tcW w:w="3240" w:type="dxa"/>
            <w:vAlign w:val="center"/>
          </w:tcPr>
          <w:p w:rsidR="008D4EE5" w:rsidRPr="0062435A" w:rsidRDefault="008D4EE5" w:rsidP="00A67771">
            <w:pPr>
              <w:pStyle w:val="AppendixTableText"/>
              <w:keepNext/>
            </w:pPr>
            <w:r>
              <w:rPr>
                <w:rFonts w:ascii="Tahoma" w:hAnsi="Tahoma" w:cs="Tahoma"/>
              </w:rPr>
              <w:t>700 Tage*</w:t>
            </w:r>
          </w:p>
          <w:p w:rsidR="008D4EE5" w:rsidRDefault="008D4EE5" w:rsidP="00A67771">
            <w:pPr>
              <w:pStyle w:val="AppendixTableText"/>
              <w:keepNext/>
              <w:rPr>
                <w:rFonts w:ascii="Tahoma" w:hAnsi="Tahoma" w:cs="Tahoma"/>
              </w:rPr>
            </w:pPr>
          </w:p>
        </w:tc>
      </w:tr>
    </w:tbl>
    <w:p w:rsidR="008D4EE5" w:rsidRPr="0062435A" w:rsidRDefault="008D4EE5" w:rsidP="008D4EE5">
      <w:pPr>
        <w:pStyle w:val="AppendixBodyText"/>
        <w:spacing w:after="0"/>
      </w:pPr>
    </w:p>
    <w:p w:rsidR="008D4EE5" w:rsidRPr="002A48C7" w:rsidRDefault="008D4EE5" w:rsidP="008D4EE5">
      <w:pPr>
        <w:pStyle w:val="AppendixFlushBulletedList"/>
        <w:tabs>
          <w:tab w:val="clear" w:pos="360"/>
          <w:tab w:val="num" w:pos="0"/>
        </w:tabs>
        <w:ind w:left="0" w:firstLine="0"/>
        <w:rPr>
          <w:lang w:val="de-DE"/>
        </w:rPr>
      </w:pPr>
      <w:r w:rsidRPr="002A48C7">
        <w:rPr>
          <w:rFonts w:ascii="Tahoma" w:hAnsi="Tahoma" w:cs="Tahoma"/>
          <w:sz w:val="18"/>
          <w:szCs w:val="18"/>
          <w:lang w:val="de-DE"/>
        </w:rPr>
        <w:t>Die für die Trainingsgutschein-Berechtigung erforderliche Mindestanzahl von Lizenzen, für die Software Assurance erworben wird, hängt vom Programm ab</w:t>
      </w:r>
      <w:r w:rsidR="006257A7">
        <w:rPr>
          <w:rFonts w:ascii="Tahoma" w:hAnsi="Tahoma" w:cs="Tahoma"/>
          <w:sz w:val="18"/>
          <w:szCs w:val="18"/>
          <w:lang w:val="de-DE"/>
        </w:rPr>
        <w:t xml:space="preserve">. </w:t>
      </w:r>
    </w:p>
    <w:p w:rsidR="008D4EE5" w:rsidRPr="002A48C7" w:rsidRDefault="008D4EE5" w:rsidP="008D4EE5">
      <w:pPr>
        <w:tabs>
          <w:tab w:val="left" w:pos="10440"/>
        </w:tabs>
        <w:spacing w:before="120"/>
        <w:ind w:right="306"/>
        <w:rPr>
          <w:lang w:val="de-DE"/>
        </w:rPr>
      </w:pPr>
      <w:r w:rsidRPr="002A48C7">
        <w:rPr>
          <w:rFonts w:eastAsia="Calibri" w:cs="Tahoma"/>
          <w:b/>
          <w:i/>
          <w:color w:val="000000"/>
          <w:sz w:val="16"/>
          <w:szCs w:val="16"/>
          <w:lang w:val="de-DE"/>
        </w:rPr>
        <w:t>Anmerkung:</w:t>
      </w:r>
      <w:r w:rsidRPr="002A48C7">
        <w:rPr>
          <w:rFonts w:eastAsia="Calibri" w:cs="Tahoma"/>
          <w:i/>
          <w:color w:val="000000"/>
          <w:sz w:val="16"/>
          <w:szCs w:val="16"/>
          <w:lang w:val="de-DE"/>
        </w:rPr>
        <w:t xml:space="preserve"> Die verfügbaren Schulungstage basieren auf einem Beitritt oder Vertrag für volle 3 Jahre (weitere Informationen siehe unten)</w:t>
      </w:r>
      <w:r w:rsidR="006257A7">
        <w:rPr>
          <w:rFonts w:eastAsia="Calibri" w:cs="Tahoma"/>
          <w:i/>
          <w:color w:val="000000"/>
          <w:sz w:val="16"/>
          <w:szCs w:val="16"/>
          <w:lang w:val="de-DE"/>
        </w:rPr>
        <w:t xml:space="preserve">. </w:t>
      </w:r>
    </w:p>
    <w:p w:rsidR="008D4EE5" w:rsidRPr="002A48C7" w:rsidRDefault="008D4EE5" w:rsidP="008D4EE5">
      <w:pPr>
        <w:spacing w:after="60"/>
        <w:rPr>
          <w:lang w:val="de-DE"/>
        </w:rPr>
      </w:pPr>
      <w:r w:rsidRPr="002A48C7">
        <w:rPr>
          <w:rFonts w:eastAsia="Calibri" w:cs="Tahoma"/>
          <w:i/>
          <w:color w:val="000000"/>
          <w:sz w:val="16"/>
          <w:szCs w:val="16"/>
          <w:lang w:val="de-DE"/>
        </w:rPr>
        <w:t>Weitere Informationen finden Sie in der Tabelle mit der Office System-Anwendung</w:t>
      </w:r>
    </w:p>
    <w:p w:rsidR="008D4EE5" w:rsidRPr="002A48C7" w:rsidRDefault="008D4EE5" w:rsidP="008D4EE5">
      <w:pPr>
        <w:tabs>
          <w:tab w:val="left" w:pos="10440"/>
        </w:tabs>
        <w:ind w:right="302"/>
        <w:rPr>
          <w:lang w:val="de-DE"/>
        </w:rPr>
      </w:pPr>
      <w:r w:rsidRPr="002A48C7">
        <w:rPr>
          <w:rFonts w:eastAsia="Calibri" w:cs="Tahoma"/>
          <w:i/>
          <w:color w:val="000000"/>
          <w:sz w:val="16"/>
          <w:szCs w:val="16"/>
          <w:lang w:val="de-DE"/>
        </w:rPr>
        <w:t>*Anzahl von Tagen pro berechtigten Beitritt oder Vertrag</w:t>
      </w:r>
    </w:p>
    <w:p w:rsidR="008D4EE5" w:rsidRPr="002A48C7" w:rsidRDefault="008D4EE5" w:rsidP="008D4EE5">
      <w:pPr>
        <w:pStyle w:val="AppendixBodyText"/>
        <w:spacing w:after="0"/>
        <w:rPr>
          <w:lang w:val="de-DE"/>
        </w:rPr>
      </w:pP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Nicht alle Kurse sind in allen Sprachen verfügbar</w:t>
      </w:r>
      <w:r w:rsidR="006257A7">
        <w:rPr>
          <w:rFonts w:ascii="Tahoma" w:hAnsi="Tahoma" w:cs="Tahoma"/>
          <w:bCs/>
          <w:sz w:val="18"/>
          <w:szCs w:val="18"/>
          <w:lang w:val="de-DE"/>
        </w:rPr>
        <w:t xml:space="preserve">. </w:t>
      </w: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Es gelten die vom Microsoft Learning Partner festgelegten lokalen Richtlinien</w:t>
      </w:r>
      <w:r w:rsidR="006257A7">
        <w:rPr>
          <w:rFonts w:ascii="Tahoma" w:hAnsi="Tahoma" w:cs="Tahoma"/>
          <w:bCs/>
          <w:sz w:val="18"/>
          <w:szCs w:val="18"/>
          <w:lang w:val="de-DE"/>
        </w:rPr>
        <w:t xml:space="preserve">. </w:t>
      </w: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Verwalter von Vergünstigungen haben bis zu dem vom Microsoft Learning Partner festgelegten Datum für die Kursstornierung die Möglichkeit, einen Gutschein im zugewiesenen Status zu widerrufen</w:t>
      </w:r>
      <w:r w:rsidR="006257A7">
        <w:rPr>
          <w:rFonts w:ascii="Tahoma" w:hAnsi="Tahoma" w:cs="Tahoma"/>
          <w:bCs/>
          <w:sz w:val="18"/>
          <w:szCs w:val="18"/>
          <w:lang w:val="de-DE"/>
        </w:rPr>
        <w:t xml:space="preserve">. </w:t>
      </w:r>
    </w:p>
    <w:p w:rsidR="008D4EE5" w:rsidRPr="002A48C7" w:rsidRDefault="008D4EE5" w:rsidP="001748D9">
      <w:pPr>
        <w:pStyle w:val="AppendixBodyText"/>
        <w:numPr>
          <w:ilvl w:val="0"/>
          <w:numId w:val="29"/>
        </w:numPr>
        <w:spacing w:afterLines="60" w:after="144"/>
        <w:rPr>
          <w:lang w:val="de-DE"/>
        </w:rPr>
      </w:pPr>
      <w:r w:rsidRPr="002A48C7">
        <w:rPr>
          <w:rFonts w:ascii="Tahoma" w:hAnsi="Tahoma" w:cs="Tahoma"/>
          <w:bCs/>
          <w:sz w:val="18"/>
          <w:szCs w:val="18"/>
          <w:lang w:val="de-DE"/>
        </w:rPr>
        <w:t>Kurstage, die vom Gutschein nicht abgedeckt werden, müssen von der Person bezahlt werden, die</w:t>
      </w:r>
      <w:r w:rsidR="001748D9">
        <w:rPr>
          <w:rFonts w:ascii="Tahoma" w:hAnsi="Tahoma" w:cs="Tahoma"/>
          <w:bCs/>
          <w:sz w:val="18"/>
          <w:szCs w:val="18"/>
          <w:lang w:val="de-DE"/>
        </w:rPr>
        <w:t> </w:t>
      </w:r>
      <w:r w:rsidRPr="002A48C7">
        <w:rPr>
          <w:rFonts w:ascii="Tahoma" w:hAnsi="Tahoma" w:cs="Tahoma"/>
          <w:bCs/>
          <w:sz w:val="18"/>
          <w:szCs w:val="18"/>
          <w:lang w:val="de-DE"/>
        </w:rPr>
        <w:t>die Schulung erhält</w:t>
      </w:r>
      <w:r w:rsidR="006257A7">
        <w:rPr>
          <w:rFonts w:ascii="Tahoma" w:hAnsi="Tahoma" w:cs="Tahoma"/>
          <w:bCs/>
          <w:sz w:val="18"/>
          <w:szCs w:val="18"/>
          <w:lang w:val="de-DE"/>
        </w:rPr>
        <w:t xml:space="preserve">. </w:t>
      </w: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Gutscheintage, die über die für einen bestimmten Kurs angewendete Anzahl von Tagen hinausgehen, fließen in den Pool der verfügbaren Tage zurück, die vom Verwalter von Vergünstigungen neu zugewiesen werden können</w:t>
      </w:r>
      <w:r w:rsidR="006257A7">
        <w:rPr>
          <w:rFonts w:ascii="Tahoma" w:hAnsi="Tahoma" w:cs="Tahoma"/>
          <w:bCs/>
          <w:sz w:val="18"/>
          <w:szCs w:val="18"/>
          <w:lang w:val="de-DE"/>
        </w:rPr>
        <w:t xml:space="preserve">. </w:t>
      </w:r>
    </w:p>
    <w:p w:rsidR="008D4EE5" w:rsidRPr="001748D9"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Für Kurse, die in einem beschleunigten Format bereitgestellt werden, ist die Anzahl von Gutscheintagen erforderlich, die der Anzahl von Kurstagen für die normale Kursbereitstellung entspricht</w:t>
      </w:r>
      <w:r w:rsidR="006257A7">
        <w:rPr>
          <w:rFonts w:ascii="Tahoma" w:hAnsi="Tahoma" w:cs="Tahoma"/>
          <w:bCs/>
          <w:sz w:val="18"/>
          <w:szCs w:val="18"/>
          <w:lang w:val="de-DE"/>
        </w:rPr>
        <w:t xml:space="preserve">. </w:t>
      </w:r>
    </w:p>
    <w:p w:rsidR="001748D9" w:rsidRPr="002A48C7" w:rsidRDefault="001748D9" w:rsidP="001748D9">
      <w:pPr>
        <w:pStyle w:val="AppendixBodyText"/>
        <w:spacing w:afterLines="60" w:after="144"/>
        <w:rPr>
          <w:lang w:val="de-DE"/>
        </w:rPr>
      </w:pP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Der Gutschein ist nur für Tage mit von Kursleitern durchgeführten Schulungen bei qualifizierten Microsoft Microsoft Learning Partnern für genehmigte Kurse einlösbar</w:t>
      </w:r>
      <w:r w:rsidR="006257A7">
        <w:rPr>
          <w:rFonts w:ascii="Tahoma" w:hAnsi="Tahoma" w:cs="Tahoma"/>
          <w:bCs/>
          <w:sz w:val="18"/>
          <w:szCs w:val="18"/>
          <w:lang w:val="de-DE"/>
        </w:rPr>
        <w:t xml:space="preserve">. </w:t>
      </w:r>
      <w:r w:rsidRPr="002A48C7">
        <w:rPr>
          <w:rFonts w:ascii="Tahoma" w:hAnsi="Tahoma" w:cs="Tahoma"/>
          <w:bCs/>
          <w:sz w:val="18"/>
          <w:szCs w:val="18"/>
          <w:lang w:val="de-DE"/>
        </w:rPr>
        <w:t>Angepasste Kurse (abgesehen von genehmigten Kursen mit beschleunigter Bereitstellung) werden durch diese Gutscheine nicht abgedeckt</w:t>
      </w:r>
      <w:r w:rsidR="006257A7">
        <w:rPr>
          <w:rFonts w:ascii="Tahoma" w:hAnsi="Tahoma" w:cs="Tahoma"/>
          <w:bCs/>
          <w:sz w:val="18"/>
          <w:szCs w:val="18"/>
          <w:lang w:val="de-DE"/>
        </w:rPr>
        <w:t xml:space="preserve">. </w:t>
      </w:r>
      <w:r w:rsidRPr="002A48C7">
        <w:rPr>
          <w:rFonts w:ascii="Tahoma" w:hAnsi="Tahoma" w:cs="Tahoma"/>
          <w:bCs/>
          <w:sz w:val="18"/>
          <w:szCs w:val="18"/>
          <w:lang w:val="de-DE"/>
        </w:rPr>
        <w:t>Informationen zu genehmigten Kursen finden Sie unter http://www</w:t>
      </w:r>
      <w:r w:rsidR="00E869D6">
        <w:rPr>
          <w:rFonts w:ascii="Tahoma" w:hAnsi="Tahoma" w:cs="Tahoma"/>
          <w:bCs/>
          <w:sz w:val="18"/>
          <w:szCs w:val="18"/>
          <w:lang w:val="de-DE"/>
        </w:rPr>
        <w:t>.</w:t>
      </w:r>
      <w:r w:rsidRPr="002A48C7">
        <w:rPr>
          <w:rFonts w:ascii="Tahoma" w:hAnsi="Tahoma" w:cs="Tahoma"/>
          <w:bCs/>
          <w:sz w:val="18"/>
          <w:szCs w:val="18"/>
          <w:lang w:val="de-DE"/>
        </w:rPr>
        <w:t>microsoft</w:t>
      </w:r>
      <w:r w:rsidR="00E869D6">
        <w:rPr>
          <w:rFonts w:ascii="Tahoma" w:hAnsi="Tahoma" w:cs="Tahoma"/>
          <w:bCs/>
          <w:sz w:val="18"/>
          <w:szCs w:val="18"/>
          <w:lang w:val="de-DE"/>
        </w:rPr>
        <w:t>.</w:t>
      </w:r>
      <w:r w:rsidRPr="002A48C7">
        <w:rPr>
          <w:rFonts w:ascii="Tahoma" w:hAnsi="Tahoma" w:cs="Tahoma"/>
          <w:bCs/>
          <w:sz w:val="18"/>
          <w:szCs w:val="18"/>
          <w:lang w:val="de-DE"/>
        </w:rPr>
        <w:t>com/learning/sa/training</w:t>
      </w:r>
      <w:r w:rsidR="00E869D6">
        <w:rPr>
          <w:rFonts w:ascii="Tahoma" w:hAnsi="Tahoma" w:cs="Tahoma"/>
          <w:bCs/>
          <w:sz w:val="18"/>
          <w:szCs w:val="18"/>
          <w:lang w:val="de-DE"/>
        </w:rPr>
        <w:t>.</w:t>
      </w:r>
      <w:r w:rsidRPr="002A48C7">
        <w:rPr>
          <w:rFonts w:ascii="Tahoma" w:hAnsi="Tahoma" w:cs="Tahoma"/>
          <w:bCs/>
          <w:sz w:val="18"/>
          <w:szCs w:val="18"/>
          <w:lang w:val="de-DE"/>
        </w:rPr>
        <w:t>mspx</w:t>
      </w:r>
      <w:r w:rsidR="006257A7">
        <w:rPr>
          <w:rFonts w:ascii="Tahoma" w:hAnsi="Tahoma" w:cs="Tahoma"/>
          <w:bCs/>
          <w:sz w:val="18"/>
          <w:szCs w:val="18"/>
          <w:lang w:val="de-DE"/>
        </w:rPr>
        <w:t xml:space="preserve">. </w:t>
      </w: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Gutscheine können nicht für Gebühren im Zusammenhang mit einem reservierten Kurs verwendet werden, zu dem ein Kunde nicht erschienen ist</w:t>
      </w:r>
      <w:r w:rsidR="006257A7">
        <w:rPr>
          <w:rFonts w:ascii="Tahoma" w:hAnsi="Tahoma" w:cs="Tahoma"/>
          <w:bCs/>
          <w:sz w:val="18"/>
          <w:szCs w:val="18"/>
          <w:lang w:val="de-DE"/>
        </w:rPr>
        <w:t xml:space="preserve">. </w:t>
      </w:r>
      <w:r w:rsidRPr="002A48C7">
        <w:rPr>
          <w:rFonts w:ascii="Tahoma" w:hAnsi="Tahoma" w:cs="Tahoma"/>
          <w:bCs/>
          <w:sz w:val="18"/>
          <w:szCs w:val="18"/>
          <w:lang w:val="de-DE"/>
        </w:rPr>
        <w:t>Für alle Gebühren im Zusammenhang mit „Nichterscheinen“ ist der Kunde verantwortlich</w:t>
      </w:r>
      <w:r w:rsidR="006257A7">
        <w:rPr>
          <w:rFonts w:ascii="Tahoma" w:hAnsi="Tahoma" w:cs="Tahoma"/>
          <w:bCs/>
          <w:sz w:val="18"/>
          <w:szCs w:val="18"/>
          <w:lang w:val="de-DE"/>
        </w:rPr>
        <w:t xml:space="preserve">. </w:t>
      </w: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Gutscheine können nur von der Person eingelöst werden, die vom Kunden zur Nutzung des Gutscheins genehmigt wurde</w:t>
      </w:r>
      <w:r w:rsidR="006257A7">
        <w:rPr>
          <w:rFonts w:ascii="Tahoma" w:hAnsi="Tahoma" w:cs="Tahoma"/>
          <w:bCs/>
          <w:sz w:val="18"/>
          <w:szCs w:val="18"/>
          <w:lang w:val="de-DE"/>
        </w:rPr>
        <w:t xml:space="preserve">. </w:t>
      </w: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Gutscheine können nicht gegen Bargeld, Zahlungen oder andere entgeltliche Gegenleistungen eingetauscht werden</w:t>
      </w:r>
      <w:r w:rsidR="006257A7">
        <w:rPr>
          <w:rFonts w:ascii="Tahoma" w:hAnsi="Tahoma" w:cs="Tahoma"/>
          <w:bCs/>
          <w:sz w:val="18"/>
          <w:szCs w:val="18"/>
          <w:lang w:val="de-DE"/>
        </w:rPr>
        <w:t xml:space="preserve">. </w:t>
      </w: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Gutscheine müssen während der Software Assurance-Laufzeit zugewiesen werden</w:t>
      </w:r>
      <w:r w:rsidR="006257A7">
        <w:rPr>
          <w:rFonts w:ascii="Tahoma" w:hAnsi="Tahoma" w:cs="Tahoma"/>
          <w:bCs/>
          <w:sz w:val="18"/>
          <w:szCs w:val="18"/>
          <w:lang w:val="de-DE"/>
        </w:rPr>
        <w:t xml:space="preserve">. </w:t>
      </w: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Gutscheine laufen 180 Tage ab dem Datum der Gutscheinzuweisung ab, unabhängig vom Software Assurance-Ablauf</w:t>
      </w:r>
      <w:r w:rsidR="006257A7">
        <w:rPr>
          <w:rFonts w:ascii="Tahoma" w:hAnsi="Tahoma" w:cs="Tahoma"/>
          <w:bCs/>
          <w:sz w:val="18"/>
          <w:szCs w:val="18"/>
          <w:lang w:val="de-DE"/>
        </w:rPr>
        <w:t xml:space="preserve">. </w:t>
      </w:r>
      <w:r w:rsidRPr="002A48C7">
        <w:rPr>
          <w:rFonts w:ascii="Tahoma" w:hAnsi="Tahoma" w:cs="Tahoma"/>
          <w:bCs/>
          <w:sz w:val="18"/>
          <w:szCs w:val="18"/>
          <w:lang w:val="de-DE"/>
        </w:rPr>
        <w:t>Alle Services müssen vor Ablauf des Gutscheins bereitgestellt werden (Schulung durchgeführt und Gutschein eingelöst)</w:t>
      </w:r>
      <w:r w:rsidR="006257A7">
        <w:rPr>
          <w:rFonts w:ascii="Tahoma" w:hAnsi="Tahoma" w:cs="Tahoma"/>
          <w:bCs/>
          <w:sz w:val="18"/>
          <w:szCs w:val="18"/>
          <w:lang w:val="de-DE"/>
        </w:rPr>
        <w:t xml:space="preserve">. </w:t>
      </w:r>
      <w:r w:rsidRPr="002A48C7">
        <w:rPr>
          <w:rFonts w:ascii="Tahoma" w:hAnsi="Tahoma" w:cs="Tahoma"/>
          <w:bCs/>
          <w:sz w:val="18"/>
          <w:szCs w:val="18"/>
          <w:lang w:val="de-DE"/>
        </w:rPr>
        <w:t>Gutscheine, die vor Ablauf von Software Assurance ablaufen, fließen in den Pool der verfügbaren Trainingsgutschein-Tage zurück</w:t>
      </w:r>
      <w:r w:rsidR="006257A7">
        <w:rPr>
          <w:rFonts w:ascii="Tahoma" w:hAnsi="Tahoma" w:cs="Tahoma"/>
          <w:bCs/>
          <w:sz w:val="18"/>
          <w:szCs w:val="18"/>
          <w:lang w:val="de-DE"/>
        </w:rPr>
        <w:t xml:space="preserve">. </w:t>
      </w:r>
    </w:p>
    <w:p w:rsidR="008D4EE5" w:rsidRPr="00F83EE5" w:rsidRDefault="008D4EE5" w:rsidP="008D4EE5">
      <w:pPr>
        <w:numPr>
          <w:ilvl w:val="0"/>
          <w:numId w:val="29"/>
        </w:numPr>
        <w:spacing w:afterLines="60" w:after="144"/>
        <w:rPr>
          <w:lang w:val="de-DE"/>
        </w:rPr>
      </w:pPr>
      <w:r w:rsidRPr="002A48C7">
        <w:rPr>
          <w:rFonts w:cs="Tahoma"/>
          <w:bCs/>
          <w:szCs w:val="18"/>
          <w:lang w:val="de-DE"/>
        </w:rPr>
        <w:t>Mit Ausnahme von Demonstrationssitzungen entspricht ein Trainingsgutschein-Tag einem Schulungssitzungstag</w:t>
      </w:r>
      <w:r w:rsidR="006257A7">
        <w:rPr>
          <w:rFonts w:cs="Tahoma"/>
          <w:bCs/>
          <w:szCs w:val="18"/>
          <w:lang w:val="de-DE"/>
        </w:rPr>
        <w:t xml:space="preserve">. </w:t>
      </w:r>
      <w:r w:rsidRPr="00F83EE5">
        <w:rPr>
          <w:rFonts w:cs="Tahoma"/>
          <w:bCs/>
          <w:szCs w:val="18"/>
          <w:lang w:val="de-DE"/>
        </w:rPr>
        <w:t>Bei Demonstrationssitzungen entspricht ein Trainingsgutschein-Tag einer Demonstrationssitzung</w:t>
      </w:r>
      <w:r w:rsidR="006257A7">
        <w:rPr>
          <w:rFonts w:cs="Tahoma"/>
          <w:bCs/>
          <w:szCs w:val="18"/>
          <w:lang w:val="de-DE"/>
        </w:rPr>
        <w:t xml:space="preserve">. </w:t>
      </w:r>
    </w:p>
    <w:p w:rsidR="008D4EE5" w:rsidRPr="002A48C7" w:rsidRDefault="008D4EE5" w:rsidP="008D4EE5">
      <w:pPr>
        <w:numPr>
          <w:ilvl w:val="0"/>
          <w:numId w:val="29"/>
        </w:numPr>
        <w:spacing w:afterLines="60" w:after="144"/>
        <w:rPr>
          <w:lang w:val="de-DE"/>
        </w:rPr>
      </w:pPr>
      <w:r w:rsidRPr="002A48C7">
        <w:rPr>
          <w:rFonts w:cs="Tahoma"/>
          <w:bCs/>
          <w:szCs w:val="18"/>
          <w:lang w:val="de-DE"/>
        </w:rPr>
        <w:t>Kunden müssen Trainingsgutscheine für Pakete aus mindestens vier Demonstrationssitzungen einlösen</w:t>
      </w:r>
      <w:r w:rsidR="006257A7">
        <w:rPr>
          <w:rFonts w:cs="Tahoma"/>
          <w:bCs/>
          <w:szCs w:val="18"/>
          <w:lang w:val="de-DE"/>
        </w:rPr>
        <w:t xml:space="preserve">. </w:t>
      </w:r>
    </w:p>
    <w:p w:rsidR="008D4EE5" w:rsidRPr="002A48C7" w:rsidRDefault="008D4EE5" w:rsidP="008D4EE5">
      <w:pPr>
        <w:numPr>
          <w:ilvl w:val="0"/>
          <w:numId w:val="29"/>
        </w:numPr>
        <w:spacing w:afterLines="60" w:after="144"/>
        <w:rPr>
          <w:lang w:val="de-DE"/>
        </w:rPr>
      </w:pPr>
      <w:r w:rsidRPr="002A48C7">
        <w:rPr>
          <w:rFonts w:cs="Tahoma"/>
          <w:bCs/>
          <w:szCs w:val="18"/>
          <w:lang w:val="de-DE"/>
        </w:rPr>
        <w:t>Für Demonstrationssitzungen eingelöste Trainingsgutscheine sind im Gegensatz zu für andere Schulungssitzungen eingelöste Trainingsgutscheine nicht auf eine Person beschränkt</w:t>
      </w:r>
      <w:r w:rsidR="006257A7">
        <w:rPr>
          <w:rFonts w:cs="Tahoma"/>
          <w:bCs/>
          <w:szCs w:val="18"/>
          <w:lang w:val="de-DE"/>
        </w:rPr>
        <w:t xml:space="preserve">. </w:t>
      </w: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Gutscheine können jeweils nur bei einem qualifizierten Microsoft Learning Partner zum Reservieren von Schulungen verwendet werden</w:t>
      </w:r>
      <w:r w:rsidR="006257A7">
        <w:rPr>
          <w:rFonts w:ascii="Tahoma" w:hAnsi="Tahoma" w:cs="Tahoma"/>
          <w:bCs/>
          <w:sz w:val="18"/>
          <w:szCs w:val="18"/>
          <w:lang w:val="de-DE"/>
        </w:rPr>
        <w:t xml:space="preserve">. </w:t>
      </w: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Der Microsoft Learning Partner behält sich das Recht vor, einen Kurs in Übereinstimmung mit der örtlichen Stornierungsrichtlinie zu stornieren</w:t>
      </w:r>
      <w:r w:rsidR="006257A7">
        <w:rPr>
          <w:rFonts w:ascii="Tahoma" w:hAnsi="Tahoma" w:cs="Tahoma"/>
          <w:bCs/>
          <w:sz w:val="18"/>
          <w:szCs w:val="18"/>
          <w:lang w:val="de-DE"/>
        </w:rPr>
        <w:t xml:space="preserve">. </w:t>
      </w:r>
    </w:p>
    <w:p w:rsidR="008D4EE5" w:rsidRPr="0062435A" w:rsidRDefault="008D4EE5" w:rsidP="008D4EE5">
      <w:pPr>
        <w:pStyle w:val="AppendixBodyText"/>
        <w:numPr>
          <w:ilvl w:val="0"/>
          <w:numId w:val="29"/>
        </w:numPr>
        <w:spacing w:afterLines="60" w:after="144"/>
      </w:pPr>
      <w:r w:rsidRPr="002A48C7">
        <w:rPr>
          <w:rFonts w:ascii="Tahoma" w:hAnsi="Tahoma" w:cs="Tahoma"/>
          <w:bCs/>
          <w:sz w:val="18"/>
          <w:szCs w:val="18"/>
          <w:lang w:val="de-DE"/>
        </w:rPr>
        <w:t>Gutscheine sind nur bei teilnehmenden Microsoft Learning Partnern gültig</w:t>
      </w:r>
      <w:r w:rsidR="006257A7">
        <w:rPr>
          <w:rFonts w:ascii="Tahoma" w:hAnsi="Tahoma" w:cs="Tahoma"/>
          <w:bCs/>
          <w:sz w:val="18"/>
          <w:szCs w:val="18"/>
          <w:lang w:val="de-DE"/>
        </w:rPr>
        <w:t xml:space="preserve">. </w:t>
      </w:r>
      <w:r w:rsidRPr="002A48C7">
        <w:rPr>
          <w:rFonts w:ascii="Tahoma" w:hAnsi="Tahoma" w:cs="Tahoma"/>
          <w:bCs/>
          <w:sz w:val="18"/>
          <w:szCs w:val="18"/>
          <w:lang w:val="de-DE"/>
        </w:rPr>
        <w:t>Sie können bei jedem qualifizierten Microsoft Learning Partner weltweit verwendet werden</w:t>
      </w:r>
      <w:r w:rsidR="006257A7">
        <w:rPr>
          <w:rFonts w:ascii="Tahoma" w:hAnsi="Tahoma" w:cs="Tahoma"/>
          <w:bCs/>
          <w:sz w:val="18"/>
          <w:szCs w:val="18"/>
          <w:lang w:val="de-DE"/>
        </w:rPr>
        <w:t xml:space="preserve">. </w:t>
      </w:r>
      <w:r>
        <w:rPr>
          <w:rFonts w:ascii="Tahoma" w:hAnsi="Tahoma" w:cs="Tahoma"/>
          <w:bCs/>
          <w:sz w:val="18"/>
          <w:szCs w:val="18"/>
        </w:rPr>
        <w:t>Die Teilnahme kann unterschiedlich sein</w:t>
      </w:r>
      <w:r w:rsidR="006257A7">
        <w:rPr>
          <w:rFonts w:ascii="Tahoma" w:hAnsi="Tahoma" w:cs="Tahoma"/>
          <w:bCs/>
          <w:sz w:val="18"/>
          <w:szCs w:val="18"/>
        </w:rPr>
        <w:t xml:space="preserve">. </w:t>
      </w: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Kunden müssen dem Microsoft Learning Partner vor Ende des Kurses die Gutscheininformationen zur Verfügung stellen, die sie für den Kurs anwenden möchten, um den Gutschein als Zahlung für den Kurs zu verwenden</w:t>
      </w:r>
      <w:r w:rsidR="006257A7">
        <w:rPr>
          <w:rFonts w:ascii="Tahoma" w:hAnsi="Tahoma" w:cs="Tahoma"/>
          <w:bCs/>
          <w:sz w:val="18"/>
          <w:szCs w:val="18"/>
          <w:lang w:val="de-DE"/>
        </w:rPr>
        <w:t xml:space="preserve">. </w:t>
      </w: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Microsoft ist nicht für verlorene, gestohlene, verlegte oder missbrauchte Gutscheine verantwortlich</w:t>
      </w:r>
      <w:r w:rsidR="006257A7">
        <w:rPr>
          <w:rFonts w:ascii="Tahoma" w:hAnsi="Tahoma" w:cs="Tahoma"/>
          <w:bCs/>
          <w:sz w:val="18"/>
          <w:szCs w:val="18"/>
          <w:lang w:val="de-DE"/>
        </w:rPr>
        <w:t xml:space="preserve">. </w:t>
      </w: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r w:rsidR="006257A7">
        <w:rPr>
          <w:rFonts w:ascii="Tahoma" w:hAnsi="Tahoma" w:cs="Tahoma"/>
          <w:bCs/>
          <w:sz w:val="18"/>
          <w:szCs w:val="18"/>
          <w:lang w:val="de-DE"/>
        </w:rPr>
        <w:t xml:space="preserve">. </w:t>
      </w:r>
    </w:p>
    <w:p w:rsidR="008D4EE5" w:rsidRPr="002A48C7" w:rsidRDefault="008D4EE5" w:rsidP="001748D9">
      <w:pPr>
        <w:pStyle w:val="AppendixBodyText"/>
        <w:numPr>
          <w:ilvl w:val="0"/>
          <w:numId w:val="29"/>
        </w:numPr>
        <w:spacing w:afterLines="60" w:after="144"/>
        <w:rPr>
          <w:lang w:val="de-DE"/>
        </w:rPr>
      </w:pPr>
      <w:r w:rsidRPr="002A48C7">
        <w:rPr>
          <w:rFonts w:ascii="Tahoma" w:hAnsi="Tahoma" w:cs="Tahoma"/>
          <w:bCs/>
          <w:sz w:val="18"/>
          <w:szCs w:val="18"/>
          <w:lang w:val="de-DE"/>
        </w:rPr>
        <w:t>Gutscheine können nur von dem Kunden eingelöst werden, der für die Vergünstigung qualifiziert</w:t>
      </w:r>
      <w:r w:rsidR="001748D9">
        <w:rPr>
          <w:rFonts w:ascii="Tahoma" w:hAnsi="Tahoma" w:cs="Tahoma"/>
          <w:bCs/>
          <w:sz w:val="18"/>
          <w:szCs w:val="18"/>
          <w:lang w:val="de-DE"/>
        </w:rPr>
        <w:t> </w:t>
      </w:r>
      <w:r w:rsidRPr="002A48C7">
        <w:rPr>
          <w:rFonts w:ascii="Tahoma" w:hAnsi="Tahoma" w:cs="Tahoma"/>
          <w:bCs/>
          <w:sz w:val="18"/>
          <w:szCs w:val="18"/>
          <w:lang w:val="de-DE"/>
        </w:rPr>
        <w:t>ist</w:t>
      </w:r>
      <w:r w:rsidR="006257A7">
        <w:rPr>
          <w:rFonts w:ascii="Tahoma" w:hAnsi="Tahoma" w:cs="Tahoma"/>
          <w:bCs/>
          <w:sz w:val="18"/>
          <w:szCs w:val="18"/>
          <w:lang w:val="de-DE"/>
        </w:rPr>
        <w:t xml:space="preserve">. </w:t>
      </w:r>
    </w:p>
    <w:p w:rsidR="008D4EE5" w:rsidRPr="002A48C7" w:rsidRDefault="008D4EE5" w:rsidP="008D4EE5">
      <w:pPr>
        <w:pStyle w:val="AppendixBodyText"/>
        <w:numPr>
          <w:ilvl w:val="0"/>
          <w:numId w:val="29"/>
        </w:numPr>
        <w:spacing w:afterLines="60" w:after="144"/>
        <w:rPr>
          <w:lang w:val="de-DE"/>
        </w:rPr>
      </w:pPr>
      <w:r w:rsidRPr="002A48C7">
        <w:rPr>
          <w:rFonts w:ascii="Tahoma" w:hAnsi="Tahoma" w:cs="Tahoma"/>
          <w:bCs/>
          <w:sz w:val="18"/>
          <w:szCs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r w:rsidR="006257A7">
        <w:rPr>
          <w:rFonts w:ascii="Tahoma" w:hAnsi="Tahoma" w:cs="Tahoma"/>
          <w:bCs/>
          <w:sz w:val="18"/>
          <w:szCs w:val="18"/>
          <w:lang w:val="de-DE"/>
        </w:rPr>
        <w:t xml:space="preserve">. </w:t>
      </w:r>
    </w:p>
    <w:p w:rsidR="008D4EE5" w:rsidRPr="002A48C7" w:rsidRDefault="008D4EE5" w:rsidP="008D4EE5">
      <w:pPr>
        <w:pStyle w:val="AppendixBodyText"/>
        <w:numPr>
          <w:ilvl w:val="0"/>
          <w:numId w:val="29"/>
        </w:numPr>
        <w:spacing w:after="0"/>
        <w:rPr>
          <w:lang w:val="de-DE"/>
        </w:rPr>
      </w:pPr>
      <w:r w:rsidRPr="002A48C7">
        <w:rPr>
          <w:rFonts w:ascii="Tahoma" w:hAnsi="Tahoma" w:cs="Tahoma"/>
          <w:bCs/>
          <w:sz w:val="18"/>
          <w:szCs w:val="18"/>
          <w:lang w:val="de-DE"/>
        </w:rPr>
        <w:t>In der Tabelle oben sind die verfügbaren Schulungstage basierend auf einem Beitritt oder Vertrag für volle 3 Jahre aufgeführt</w:t>
      </w:r>
      <w:r w:rsidR="006257A7">
        <w:rPr>
          <w:rFonts w:ascii="Tahoma" w:hAnsi="Tahoma" w:cs="Tahoma"/>
          <w:bCs/>
          <w:sz w:val="18"/>
          <w:szCs w:val="18"/>
          <w:lang w:val="de-DE"/>
        </w:rPr>
        <w:t xml:space="preserve">. </w:t>
      </w:r>
      <w:r w:rsidRPr="002A48C7">
        <w:rPr>
          <w:rFonts w:ascii="Tahoma" w:hAnsi="Tahoma" w:cs="Tahoma"/>
          <w:bCs/>
          <w:sz w:val="18"/>
          <w:szCs w:val="18"/>
          <w:lang w:val="de-DE"/>
        </w:rPr>
        <w:t>Kunden, die Software Assurance für ein Jahr erwerben, erhalten ein Drittel der angegebenen Anzahl von Schulungstagen</w:t>
      </w:r>
      <w:r w:rsidR="006257A7">
        <w:rPr>
          <w:rFonts w:ascii="Tahoma" w:hAnsi="Tahoma" w:cs="Tahoma"/>
          <w:bCs/>
          <w:sz w:val="18"/>
          <w:szCs w:val="18"/>
          <w:lang w:val="de-DE"/>
        </w:rPr>
        <w:t xml:space="preserve">. </w:t>
      </w:r>
      <w:r w:rsidRPr="002A48C7">
        <w:rPr>
          <w:rFonts w:ascii="Tahoma" w:hAnsi="Tahoma" w:cs="Tahoma"/>
          <w:bCs/>
          <w:sz w:val="18"/>
          <w:szCs w:val="18"/>
          <w:lang w:val="de-DE"/>
        </w:rPr>
        <w:t>Kunden, die Software Assurance für zwei Jahre erwerben, erhalten zwei Drittel der angegebenen Anzahl von Schulungstagen</w:t>
      </w:r>
      <w:r w:rsidR="006257A7">
        <w:rPr>
          <w:rFonts w:ascii="Tahoma" w:hAnsi="Tahoma" w:cs="Tahoma"/>
          <w:bCs/>
          <w:sz w:val="18"/>
          <w:szCs w:val="18"/>
          <w:lang w:val="de-DE"/>
        </w:rPr>
        <w:t xml:space="preserve">. </w:t>
      </w:r>
      <w:bookmarkStart w:id="736" w:name="_Toc336338234"/>
    </w:p>
    <w:p w:rsidR="008D4EE5" w:rsidRPr="002A48C7" w:rsidRDefault="008D4EE5" w:rsidP="008D4EE5">
      <w:pPr>
        <w:pStyle w:val="Heading3"/>
        <w:rPr>
          <w:lang w:val="de-DE"/>
        </w:rPr>
      </w:pPr>
      <w:bookmarkStart w:id="737" w:name="_Toc363998972"/>
      <w:r w:rsidRPr="002A48C7">
        <w:rPr>
          <w:rFonts w:ascii="Tahoma" w:hAnsi="Tahoma" w:cs="Tahoma"/>
          <w:sz w:val="24"/>
          <w:lang w:val="de-DE"/>
        </w:rPr>
        <w:t>E-Learning</w:t>
      </w:r>
      <w:bookmarkEnd w:id="736"/>
      <w:bookmarkEnd w:id="737"/>
    </w:p>
    <w:p w:rsidR="008D4EE5" w:rsidRPr="000D6765" w:rsidRDefault="008D4EE5" w:rsidP="000D6765">
      <w:pPr>
        <w:spacing w:line="192" w:lineRule="auto"/>
        <w:rPr>
          <w:sz w:val="16"/>
          <w:szCs w:val="16"/>
          <w:lang w:val="de-DE"/>
        </w:rPr>
      </w:pPr>
    </w:p>
    <w:p w:rsidR="008D4EE5" w:rsidRPr="002A48C7" w:rsidRDefault="008D4EE5" w:rsidP="008D4EE5">
      <w:pPr>
        <w:tabs>
          <w:tab w:val="num" w:pos="360"/>
        </w:tabs>
        <w:spacing w:after="60"/>
        <w:rPr>
          <w:lang w:val="de-DE"/>
        </w:rPr>
      </w:pPr>
      <w:r w:rsidRPr="002A48C7">
        <w:rPr>
          <w:rFonts w:cs="Tahoma"/>
          <w:b/>
          <w:szCs w:val="18"/>
          <w:lang w:val="de-DE"/>
        </w:rPr>
        <w:t>Berechtigte Software Assurance-Kunden</w:t>
      </w:r>
    </w:p>
    <w:p w:rsidR="008D4EE5" w:rsidRPr="002A48C7" w:rsidRDefault="008D4EE5" w:rsidP="008D4EE5">
      <w:pPr>
        <w:tabs>
          <w:tab w:val="num" w:pos="360"/>
        </w:tabs>
        <w:rPr>
          <w:lang w:val="de-DE"/>
        </w:rPr>
      </w:pPr>
      <w:r w:rsidRPr="002A48C7">
        <w:rPr>
          <w:rFonts w:cs="Tahoma"/>
          <w:szCs w:val="18"/>
          <w:lang w:val="de-DE"/>
        </w:rPr>
        <w:t>Kunden mit Software Assurance für qualifizierende Produkte aus dem Anwendungs-, System- oder Server-Pool sind berechtigt, während der Software Assurance-Laufzeit die jeweilige E-Learning-Vergünstigung für Anwendungen, Systeme und Server zu nutzen</w:t>
      </w:r>
      <w:r w:rsidR="006257A7">
        <w:rPr>
          <w:rFonts w:cs="Tahoma"/>
          <w:szCs w:val="18"/>
          <w:lang w:val="de-DE"/>
        </w:rPr>
        <w:t xml:space="preserve">. </w:t>
      </w:r>
    </w:p>
    <w:p w:rsidR="008D4EE5" w:rsidRPr="000D6765" w:rsidRDefault="008D4EE5" w:rsidP="000D6765">
      <w:pPr>
        <w:tabs>
          <w:tab w:val="num" w:pos="360"/>
        </w:tabs>
        <w:spacing w:line="192" w:lineRule="auto"/>
        <w:rPr>
          <w:sz w:val="16"/>
          <w:szCs w:val="16"/>
          <w:lang w:val="de-DE"/>
        </w:rPr>
      </w:pPr>
    </w:p>
    <w:p w:rsidR="008D4EE5" w:rsidRPr="002A48C7" w:rsidRDefault="008D4EE5" w:rsidP="008D4EE5">
      <w:pPr>
        <w:tabs>
          <w:tab w:val="num" w:pos="360"/>
        </w:tabs>
        <w:spacing w:after="60"/>
        <w:rPr>
          <w:lang w:val="de-DE"/>
        </w:rPr>
      </w:pPr>
      <w:r w:rsidRPr="002A48C7">
        <w:rPr>
          <w:rFonts w:cs="Tahoma"/>
          <w:b/>
          <w:szCs w:val="18"/>
          <w:lang w:val="de-DE"/>
        </w:rPr>
        <w:t>Für Onlinedienste-Vergünstigungen berechtigte Kunden</w:t>
      </w:r>
    </w:p>
    <w:p w:rsidR="008D4EE5" w:rsidRPr="002A48C7" w:rsidRDefault="008D4EE5" w:rsidP="008D4EE5">
      <w:pPr>
        <w:tabs>
          <w:tab w:val="num" w:pos="360"/>
        </w:tabs>
        <w:rPr>
          <w:lang w:val="de-DE"/>
        </w:rPr>
      </w:pPr>
      <w:r w:rsidRPr="002A48C7">
        <w:rPr>
          <w:rFonts w:cs="Tahoma"/>
          <w:szCs w:val="18"/>
          <w:lang w:val="de-DE"/>
        </w:rPr>
        <w:t>Kunden mit Windows Intune (Pro Gerät) sind berechtigt, während der Laufzeit ihres Beitritts die E-Learning-Vergünstigung für Systeme zu verwenden</w:t>
      </w:r>
      <w:r w:rsidR="006257A7">
        <w:rPr>
          <w:rFonts w:cs="Tahoma"/>
          <w:szCs w:val="18"/>
          <w:lang w:val="de-DE"/>
        </w:rPr>
        <w:t xml:space="preserve">. </w:t>
      </w:r>
      <w:r w:rsidRPr="002A48C7">
        <w:rPr>
          <w:rFonts w:cs="Tahoma"/>
          <w:szCs w:val="18"/>
          <w:lang w:val="de-DE"/>
        </w:rPr>
        <w:t>Dementsprechend sind Office 365-Kunden berechtigt, während der Laufzeit ihres Beitritts die E-Learning-Vergünstigung für Anwendungen zu verwenden</w:t>
      </w:r>
      <w:r w:rsidR="006257A7">
        <w:rPr>
          <w:rFonts w:cs="Tahoma"/>
          <w:szCs w:val="18"/>
          <w:lang w:val="de-DE"/>
        </w:rPr>
        <w:t xml:space="preserve">. </w:t>
      </w:r>
    </w:p>
    <w:p w:rsidR="008D4EE5" w:rsidRPr="000D6765" w:rsidRDefault="008D4EE5" w:rsidP="000D6765">
      <w:pPr>
        <w:tabs>
          <w:tab w:val="num" w:pos="360"/>
        </w:tabs>
        <w:spacing w:line="192" w:lineRule="auto"/>
        <w:rPr>
          <w:sz w:val="16"/>
          <w:szCs w:val="16"/>
          <w:lang w:val="de-DE"/>
        </w:rPr>
      </w:pPr>
    </w:p>
    <w:p w:rsidR="008D4EE5" w:rsidRPr="002A48C7" w:rsidRDefault="008D4EE5" w:rsidP="008D4EE5">
      <w:pPr>
        <w:rPr>
          <w:lang w:val="de-DE"/>
        </w:rPr>
      </w:pPr>
      <w:r w:rsidRPr="002A48C7">
        <w:rPr>
          <w:rFonts w:cs="Tahoma"/>
          <w:szCs w:val="18"/>
          <w:lang w:val="de-DE"/>
        </w:rPr>
        <w:t>Berechtigte Kunden erhalten pro qualifizierendem Beitritt/Vertrag einen Zugriffscode (für Anwendungen, Systeme, Server, Windows Intune (Pro Gerät) und Office 365)</w:t>
      </w:r>
      <w:r w:rsidR="006257A7">
        <w:rPr>
          <w:rFonts w:cs="Tahoma"/>
          <w:szCs w:val="18"/>
          <w:lang w:val="de-DE"/>
        </w:rPr>
        <w:t xml:space="preserve">. </w:t>
      </w:r>
      <w:r w:rsidRPr="002A48C7">
        <w:rPr>
          <w:rFonts w:cs="Tahoma"/>
          <w:szCs w:val="18"/>
          <w:lang w:val="de-DE"/>
        </w:rPr>
        <w:t>Kunden können außerdem SCORM-kompatible, nur aus Inhalt bestehende E-Learning-Dateien (für Anwendungen und Systeme) von VLSC herunterladen, um sie in ihr Learning Management System (LMS) zu importieren</w:t>
      </w:r>
      <w:r w:rsidR="006257A7">
        <w:rPr>
          <w:rFonts w:cs="Tahoma"/>
          <w:szCs w:val="18"/>
          <w:lang w:val="de-DE"/>
        </w:rPr>
        <w:t xml:space="preserve">. </w:t>
      </w:r>
      <w:r w:rsidRPr="002A48C7">
        <w:rPr>
          <w:rFonts w:cs="Tahoma"/>
          <w:szCs w:val="18"/>
          <w:lang w:val="de-DE"/>
        </w:rPr>
        <w:t>Zum Herunterladen der Dateien von VLSC ist kein Zugriffscode erforderlich</w:t>
      </w:r>
      <w:r w:rsidR="006257A7">
        <w:rPr>
          <w:rFonts w:cs="Tahoma"/>
          <w:szCs w:val="18"/>
          <w:lang w:val="de-DE"/>
        </w:rPr>
        <w:t xml:space="preserve">. </w:t>
      </w:r>
      <w:r w:rsidRPr="002A48C7">
        <w:rPr>
          <w:rFonts w:cs="Tahoma"/>
          <w:szCs w:val="18"/>
          <w:lang w:val="de-DE"/>
        </w:rPr>
        <w:t>Konzernvertrags- und Select-Kunden sind berechtigt, SCORM-kompatible Inhalte (für Anwendungen und Systeme) per Download oder DVD zu erwerben, während Open- und Open Value-Kunden SCORM-kompatible Inhalte (für Anwendungen und Systeme) nur per DVD erwerben dürfen</w:t>
      </w:r>
      <w:r w:rsidR="006257A7">
        <w:rPr>
          <w:rFonts w:cs="Tahoma"/>
          <w:szCs w:val="18"/>
          <w:lang w:val="de-DE"/>
        </w:rPr>
        <w:t xml:space="preserve">. </w:t>
      </w:r>
    </w:p>
    <w:p w:rsidR="008D4EE5" w:rsidRPr="000D6765" w:rsidRDefault="008D4EE5" w:rsidP="000D6765">
      <w:pPr>
        <w:spacing w:line="192" w:lineRule="auto"/>
        <w:rPr>
          <w:sz w:val="16"/>
          <w:szCs w:val="16"/>
          <w:lang w:val="de-DE"/>
        </w:rPr>
      </w:pPr>
    </w:p>
    <w:p w:rsidR="008D4EE5" w:rsidRPr="002A48C7" w:rsidRDefault="008D4EE5" w:rsidP="008D4EE5">
      <w:pPr>
        <w:rPr>
          <w:lang w:val="de-DE"/>
        </w:rPr>
      </w:pPr>
      <w:r w:rsidRPr="002A48C7">
        <w:rPr>
          <w:rFonts w:cs="Tahoma"/>
          <w:szCs w:val="18"/>
          <w:lang w:val="de-DE"/>
        </w:rPr>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w:t>
      </w:r>
      <w:r w:rsidR="006257A7">
        <w:rPr>
          <w:rFonts w:cs="Tahoma"/>
          <w:szCs w:val="18"/>
          <w:lang w:val="de-DE"/>
        </w:rPr>
        <w:t xml:space="preserve">. </w:t>
      </w:r>
      <w:r w:rsidRPr="002A48C7">
        <w:rPr>
          <w:rFonts w:cs="Tahoma"/>
          <w:szCs w:val="18"/>
          <w:lang w:val="de-DE"/>
        </w:rPr>
        <w:t>Kunden müssen für jede qualifizierende Lizenz einen Nutzer benennen</w:t>
      </w:r>
      <w:r w:rsidR="006257A7">
        <w:rPr>
          <w:rFonts w:cs="Tahoma"/>
          <w:szCs w:val="18"/>
          <w:lang w:val="de-DE"/>
        </w:rPr>
        <w:t xml:space="preserve">. </w:t>
      </w:r>
      <w:r w:rsidRPr="002A48C7">
        <w:rPr>
          <w:rFonts w:cs="Tahoma"/>
          <w:szCs w:val="18"/>
          <w:lang w:val="de-DE"/>
        </w:rPr>
        <w:t>Der Zugriff kann nicht von einem Nutzer auf einen anderen übertragen werden</w:t>
      </w:r>
      <w:r w:rsidR="006257A7">
        <w:rPr>
          <w:rFonts w:cs="Tahoma"/>
          <w:szCs w:val="18"/>
          <w:lang w:val="de-DE"/>
        </w:rPr>
        <w:t xml:space="preserve">. </w:t>
      </w:r>
      <w:r w:rsidRPr="002A48C7">
        <w:rPr>
          <w:rFonts w:cs="Tahoma"/>
          <w:szCs w:val="18"/>
          <w:lang w:val="de-DE"/>
        </w:rPr>
        <w:t>Beim Start eines einzelnen Kurses hat jeder qualifizierte Nutzer bis zu 12 Monate Zeit, um den Kurs abzuschließen, bevor der Zugriff abläuft, sofern dieser Kurs vor Ablauf von Software Assurance oder der Abonnementlizenz gestartet wird</w:t>
      </w:r>
      <w:r w:rsidR="006257A7">
        <w:rPr>
          <w:rFonts w:cs="Tahoma"/>
          <w:szCs w:val="18"/>
          <w:lang w:val="de-DE"/>
        </w:rPr>
        <w:t xml:space="preserve">. </w:t>
      </w:r>
    </w:p>
    <w:p w:rsidR="008D4EE5" w:rsidRPr="000D6765" w:rsidRDefault="008D4EE5" w:rsidP="000D6765">
      <w:pPr>
        <w:tabs>
          <w:tab w:val="num" w:pos="360"/>
        </w:tabs>
        <w:spacing w:line="192" w:lineRule="auto"/>
        <w:rPr>
          <w:sz w:val="16"/>
          <w:szCs w:val="16"/>
          <w:lang w:val="de-DE"/>
        </w:rPr>
      </w:pPr>
    </w:p>
    <w:p w:rsidR="008D4EE5" w:rsidRPr="002A48C7" w:rsidRDefault="008D4EE5" w:rsidP="008D4EE5">
      <w:pPr>
        <w:tabs>
          <w:tab w:val="num" w:pos="0"/>
        </w:tabs>
        <w:rPr>
          <w:lang w:val="de-DE"/>
        </w:rPr>
      </w:pPr>
      <w:r w:rsidRPr="002A48C7">
        <w:rPr>
          <w:rFonts w:cs="Tahoma"/>
          <w:szCs w:val="18"/>
          <w:lang w:val="de-DE"/>
        </w:rPr>
        <w:t>Berechtigte Kunden können E-Learning-Kits bei einem regionalen Fulfillment-Center erwerben, wenn die Online-Option nicht ausreicht</w:t>
      </w:r>
      <w:r w:rsidR="006257A7">
        <w:rPr>
          <w:rFonts w:cs="Tahoma"/>
          <w:szCs w:val="18"/>
          <w:lang w:val="de-DE"/>
        </w:rPr>
        <w:t xml:space="preserve">. </w:t>
      </w:r>
    </w:p>
    <w:p w:rsidR="008D4EE5" w:rsidRPr="002A48C7" w:rsidRDefault="008D4EE5" w:rsidP="008D4EE5">
      <w:pPr>
        <w:tabs>
          <w:tab w:val="num" w:pos="0"/>
        </w:tabs>
        <w:rPr>
          <w:lang w:val="de-DE"/>
        </w:rPr>
      </w:pPr>
      <w:r w:rsidRPr="002A48C7">
        <w:rPr>
          <w:rFonts w:cs="Tahoma"/>
          <w:szCs w:val="18"/>
          <w:lang w:val="de-DE"/>
        </w:rPr>
        <w:t>Die Bereitstellung und Nutzung der E-Learning-Kurse durch Kunden unterliegt den Bestimmungen ihres Lizenzvertrages</w:t>
      </w:r>
      <w:r w:rsidR="006257A7">
        <w:rPr>
          <w:rFonts w:cs="Tahoma"/>
          <w:szCs w:val="18"/>
          <w:lang w:val="de-DE"/>
        </w:rPr>
        <w:t xml:space="preserve">. </w:t>
      </w:r>
    </w:p>
    <w:p w:rsidR="008D4EE5" w:rsidRPr="000D6765" w:rsidRDefault="008D4EE5" w:rsidP="000D6765">
      <w:pPr>
        <w:tabs>
          <w:tab w:val="num" w:pos="0"/>
        </w:tabs>
        <w:spacing w:line="192" w:lineRule="auto"/>
        <w:rPr>
          <w:sz w:val="16"/>
          <w:szCs w:val="16"/>
          <w:lang w:val="de-DE"/>
        </w:rPr>
      </w:pPr>
    </w:p>
    <w:p w:rsidR="008D4EE5" w:rsidRPr="002A48C7" w:rsidRDefault="008D4EE5" w:rsidP="008D4EE5">
      <w:pPr>
        <w:spacing w:after="60"/>
        <w:rPr>
          <w:lang w:val="de-DE"/>
        </w:rPr>
      </w:pPr>
      <w:r w:rsidRPr="002A48C7">
        <w:rPr>
          <w:rFonts w:cs="Tahoma"/>
          <w:b/>
          <w:szCs w:val="18"/>
          <w:lang w:val="de-DE"/>
        </w:rPr>
        <w:t>E-Learning-Anwendungen</w:t>
      </w:r>
    </w:p>
    <w:p w:rsidR="008D4EE5" w:rsidRPr="002A48C7" w:rsidRDefault="008D4EE5" w:rsidP="008D4EE5">
      <w:pPr>
        <w:rPr>
          <w:lang w:val="de-DE"/>
        </w:rPr>
      </w:pPr>
      <w:r w:rsidRPr="002A48C7">
        <w:rPr>
          <w:rFonts w:cs="Tahoma"/>
          <w:szCs w:val="18"/>
          <w:lang w:val="de-DE"/>
        </w:rPr>
        <w:t xml:space="preserve">Kunden </w:t>
      </w:r>
      <w:r w:rsidRPr="002A48C7">
        <w:rPr>
          <w:rFonts w:cs="Tahoma"/>
          <w:color w:val="000000"/>
          <w:szCs w:val="18"/>
          <w:lang w:val="de-DE"/>
        </w:rPr>
        <w:t>mit Office 365 ProPlus,</w:t>
      </w:r>
      <w:r w:rsidRPr="002A48C7">
        <w:rPr>
          <w:rFonts w:cs="Tahoma"/>
          <w:szCs w:val="18"/>
          <w:lang w:val="de-DE"/>
        </w:rPr>
        <w:t xml:space="preserve"> Office 365-Suites und Software Assurance für qualifizierende Anwendungsprodukte sind berechtigt, gehostete E-Learning-Kurse und SCORM-kompatible Inhalte zu verwenden</w:t>
      </w:r>
      <w:r w:rsidR="006257A7">
        <w:rPr>
          <w:rFonts w:cs="Tahoma"/>
          <w:szCs w:val="18"/>
          <w:lang w:val="de-DE"/>
        </w:rPr>
        <w:t xml:space="preserve">. </w:t>
      </w:r>
    </w:p>
    <w:p w:rsidR="008D4EE5" w:rsidRPr="000D6765" w:rsidRDefault="008D4EE5" w:rsidP="000D6765">
      <w:pPr>
        <w:spacing w:line="192" w:lineRule="auto"/>
        <w:rPr>
          <w:sz w:val="16"/>
          <w:szCs w:val="16"/>
          <w:lang w:val="de-DE"/>
        </w:rPr>
      </w:pPr>
    </w:p>
    <w:p w:rsidR="008D4EE5" w:rsidRPr="002A48C7" w:rsidRDefault="008D4EE5" w:rsidP="008D4EE5">
      <w:pPr>
        <w:spacing w:after="60"/>
        <w:rPr>
          <w:lang w:val="de-DE"/>
        </w:rPr>
      </w:pPr>
      <w:r w:rsidRPr="002A48C7">
        <w:rPr>
          <w:rFonts w:cs="Tahoma"/>
          <w:b/>
          <w:szCs w:val="18"/>
          <w:lang w:val="de-DE"/>
        </w:rPr>
        <w:t>E-Learning-Systeme</w:t>
      </w:r>
    </w:p>
    <w:p w:rsidR="008D4EE5" w:rsidRPr="002A48C7" w:rsidRDefault="008D4EE5" w:rsidP="008D4EE5">
      <w:pPr>
        <w:rPr>
          <w:lang w:val="de-DE"/>
        </w:rPr>
      </w:pPr>
      <w:r w:rsidRPr="002A48C7">
        <w:rPr>
          <w:rFonts w:cs="Tahoma"/>
          <w:szCs w:val="18"/>
          <w:lang w:val="de-DE"/>
        </w:rPr>
        <w:t>Kunden mit Windows Intune (Pro Gerät) und Software Assurance für qualifizierende Systemprodukte sind berechtigt, die gehosteten E-Learning-Client-Kurse und SCORM-kompatible Inhalte zu verwenden</w:t>
      </w:r>
      <w:r w:rsidR="006257A7">
        <w:rPr>
          <w:rFonts w:cs="Tahoma"/>
          <w:szCs w:val="18"/>
          <w:lang w:val="de-DE"/>
        </w:rPr>
        <w:t xml:space="preserve">. </w:t>
      </w:r>
    </w:p>
    <w:p w:rsidR="008D4EE5" w:rsidRPr="000D6765" w:rsidRDefault="008D4EE5" w:rsidP="000D6765">
      <w:pPr>
        <w:spacing w:line="192" w:lineRule="auto"/>
        <w:rPr>
          <w:sz w:val="16"/>
          <w:szCs w:val="16"/>
          <w:lang w:val="de-DE"/>
        </w:rPr>
      </w:pPr>
    </w:p>
    <w:p w:rsidR="008D4EE5" w:rsidRPr="002A48C7" w:rsidRDefault="008D4EE5" w:rsidP="008D4EE5">
      <w:pPr>
        <w:spacing w:after="60"/>
        <w:rPr>
          <w:lang w:val="de-DE"/>
        </w:rPr>
      </w:pPr>
      <w:r w:rsidRPr="002A48C7">
        <w:rPr>
          <w:rFonts w:cs="Tahoma"/>
          <w:b/>
          <w:szCs w:val="18"/>
          <w:lang w:val="de-DE"/>
        </w:rPr>
        <w:t>E-Learning-Server</w:t>
      </w:r>
    </w:p>
    <w:p w:rsidR="008D4EE5" w:rsidRPr="002A48C7" w:rsidRDefault="008D4EE5" w:rsidP="008D4EE5">
      <w:pPr>
        <w:rPr>
          <w:lang w:val="de-DE"/>
        </w:rPr>
      </w:pPr>
      <w:r w:rsidRPr="002A48C7">
        <w:rPr>
          <w:rFonts w:cs="Tahoma"/>
          <w:szCs w:val="18"/>
          <w:lang w:val="de-DE"/>
        </w:rPr>
        <w:t>Kunden mit Software Assurance für qualifizierende Serverprodukte sind berechtigt, die gehosteten E-Learning-Server-Kurse zu verwenden</w:t>
      </w:r>
      <w:r w:rsidR="006257A7">
        <w:rPr>
          <w:rFonts w:cs="Tahoma"/>
          <w:szCs w:val="18"/>
          <w:lang w:val="de-DE"/>
        </w:rPr>
        <w:t xml:space="preserve">. </w:t>
      </w:r>
    </w:p>
    <w:p w:rsidR="008D4EE5" w:rsidRPr="000D6765" w:rsidRDefault="008D4EE5" w:rsidP="000D6765">
      <w:pPr>
        <w:spacing w:line="192" w:lineRule="auto"/>
        <w:rPr>
          <w:sz w:val="16"/>
          <w:szCs w:val="16"/>
          <w:lang w:val="de-DE"/>
        </w:rPr>
      </w:pPr>
    </w:p>
    <w:p w:rsidR="008D4EE5" w:rsidRPr="002A48C7" w:rsidRDefault="008D4EE5" w:rsidP="008D4EE5">
      <w:pPr>
        <w:pStyle w:val="Heading3"/>
        <w:rPr>
          <w:lang w:val="de-DE"/>
        </w:rPr>
      </w:pPr>
      <w:bookmarkStart w:id="738" w:name="_Toc336338235"/>
      <w:bookmarkStart w:id="739" w:name="_Toc363998973"/>
      <w:r w:rsidRPr="002A48C7">
        <w:rPr>
          <w:rFonts w:ascii="Tahoma" w:hAnsi="Tahoma" w:cs="Tahoma"/>
          <w:sz w:val="24"/>
          <w:lang w:val="de-DE"/>
        </w:rPr>
        <w:t>Home Use Program</w:t>
      </w:r>
      <w:bookmarkEnd w:id="738"/>
      <w:bookmarkEnd w:id="739"/>
    </w:p>
    <w:p w:rsidR="008D4EE5" w:rsidRPr="000D6765" w:rsidRDefault="008D4EE5" w:rsidP="000D6765">
      <w:pPr>
        <w:spacing w:line="192" w:lineRule="auto"/>
        <w:rPr>
          <w:sz w:val="16"/>
          <w:szCs w:val="16"/>
          <w:lang w:val="de-DE"/>
        </w:rPr>
      </w:pPr>
    </w:p>
    <w:p w:rsidR="008D4EE5" w:rsidRPr="002A48C7" w:rsidRDefault="008D4EE5" w:rsidP="008D4EE5">
      <w:pPr>
        <w:pStyle w:val="AppendixBodyText"/>
        <w:spacing w:after="0"/>
        <w:rPr>
          <w:lang w:val="de-DE"/>
        </w:rPr>
      </w:pPr>
      <w:r w:rsidRPr="002A48C7">
        <w:rPr>
          <w:rFonts w:ascii="Tahoma" w:hAnsi="Tahoma" w:cs="Tahoma"/>
          <w:sz w:val="18"/>
          <w:szCs w:val="18"/>
          <w:lang w:val="de-DE"/>
        </w:rPr>
        <w:t xml:space="preserve">Kunden mit aktiver Software Assurance für qualifizierende Desktop-Anwendungsprodukte sind berechtigt, </w:t>
      </w:r>
      <w:r w:rsidRPr="002A48C7">
        <w:rPr>
          <w:rFonts w:ascii="Tahoma" w:hAnsi="Tahoma" w:cs="Tahoma"/>
          <w:color w:val="000000"/>
          <w:sz w:val="18"/>
          <w:szCs w:val="18"/>
          <w:lang w:val="de-DE"/>
        </w:rPr>
        <w:t>am Home Use Program teilzunehmen**</w:t>
      </w:r>
      <w:r w:rsidR="006257A7">
        <w:rPr>
          <w:rFonts w:ascii="Tahoma" w:hAnsi="Tahoma" w:cs="Tahoma"/>
          <w:color w:val="000000"/>
          <w:sz w:val="18"/>
          <w:szCs w:val="18"/>
          <w:lang w:val="de-DE"/>
        </w:rPr>
        <w:t xml:space="preserve">. </w:t>
      </w:r>
      <w:r w:rsidRPr="002A48C7">
        <w:rPr>
          <w:rFonts w:ascii="Tahoma" w:hAnsi="Tahoma" w:cs="Tahoma"/>
          <w:color w:val="000000"/>
          <w:sz w:val="18"/>
          <w:szCs w:val="18"/>
          <w:lang w:val="de-DE"/>
        </w:rPr>
        <w:t>Im Rahmen des Home Use Program können Mitarbeiter des Kunden, die Nutzer der lizenzierten qualifizierenden Anwendungen sind, eine einzelne Lizenz für die entsprechende Home Use Program-Software zur Installation auf einem Heimcomputer erwerben</w:t>
      </w:r>
      <w:r w:rsidR="006257A7">
        <w:rPr>
          <w:rFonts w:ascii="Tahoma" w:hAnsi="Tahoma" w:cs="Tahoma"/>
          <w:color w:val="000000"/>
          <w:sz w:val="18"/>
          <w:szCs w:val="18"/>
          <w:lang w:val="de-DE"/>
        </w:rPr>
        <w:t xml:space="preserve">. </w:t>
      </w:r>
      <w:r w:rsidRPr="002A48C7">
        <w:rPr>
          <w:rFonts w:ascii="Tahoma" w:hAnsi="Tahoma" w:cs="Tahoma"/>
          <w:color w:val="000000"/>
          <w:sz w:val="18"/>
          <w:szCs w:val="18"/>
          <w:lang w:val="de-DE"/>
        </w:rPr>
        <w:t>Die Lizenzbestimmungen für diese Software gestatten es dem Hauptnutzer des Heimcomputers, eine weitere Kopie auf einem tragbaren Gerät zu installieren und zu verwenden</w:t>
      </w:r>
      <w:r w:rsidR="006257A7">
        <w:rPr>
          <w:rFonts w:ascii="Tahoma" w:hAnsi="Tahoma" w:cs="Tahoma"/>
          <w:color w:val="000000"/>
          <w:sz w:val="18"/>
          <w:szCs w:val="18"/>
          <w:lang w:val="de-DE"/>
        </w:rPr>
        <w:t xml:space="preserve">. </w:t>
      </w:r>
      <w:r w:rsidRPr="002A48C7">
        <w:rPr>
          <w:rFonts w:ascii="Tahoma" w:hAnsi="Tahoma" w:cs="Tahoma"/>
          <w:color w:val="000000"/>
          <w:sz w:val="18"/>
          <w:szCs w:val="18"/>
          <w:lang w:val="de-DE"/>
        </w:rPr>
        <w:t>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w:t>
      </w:r>
      <w:r w:rsidR="006257A7">
        <w:rPr>
          <w:rFonts w:ascii="Tahoma" w:hAnsi="Tahoma" w:cs="Tahoma"/>
          <w:color w:val="000000"/>
          <w:sz w:val="18"/>
          <w:szCs w:val="18"/>
          <w:lang w:val="de-DE"/>
        </w:rPr>
        <w:t xml:space="preserve">. </w:t>
      </w:r>
      <w:r w:rsidRPr="002A48C7">
        <w:rPr>
          <w:rFonts w:ascii="Tahoma" w:hAnsi="Tahoma" w:cs="Tahoma"/>
          <w:color w:val="000000"/>
          <w:sz w:val="18"/>
          <w:szCs w:val="18"/>
          <w:lang w:val="de-DE"/>
        </w:rPr>
        <w:t>Wenn während des qualifizierten Nutzungszeitraums eine neue Version veröffentlicht wird, können die Hauptnutzer die neueste Version erwerben, um die aktuell installierte Version zu ersetzen</w:t>
      </w:r>
      <w:r w:rsidR="006257A7">
        <w:rPr>
          <w:rFonts w:ascii="Tahoma" w:hAnsi="Tahoma" w:cs="Tahoma"/>
          <w:color w:val="000000"/>
          <w:sz w:val="18"/>
          <w:szCs w:val="18"/>
          <w:lang w:val="de-DE"/>
        </w:rPr>
        <w:t xml:space="preserve">. </w:t>
      </w:r>
      <w:r w:rsidRPr="002A48C7">
        <w:rPr>
          <w:rFonts w:ascii="Tahoma" w:hAnsi="Tahoma" w:cs="Tahoma"/>
          <w:color w:val="000000"/>
          <w:sz w:val="18"/>
          <w:szCs w:val="18"/>
          <w:lang w:val="de-DE"/>
        </w:rPr>
        <w:t>Anhand der Tabelle oder der einzelnen Produktabschnitte unten können Sie ermitteln, durch welche Desktop-Anwendungen sich Kunden für die Teilnahme am Home Use Program qualifizieren</w:t>
      </w:r>
      <w:r w:rsidR="006257A7">
        <w:rPr>
          <w:rFonts w:ascii="Tahoma" w:hAnsi="Tahoma" w:cs="Tahoma"/>
          <w:color w:val="000000"/>
          <w:sz w:val="18"/>
          <w:szCs w:val="18"/>
          <w:lang w:val="de-DE"/>
        </w:rPr>
        <w:t xml:space="preserve">. </w:t>
      </w:r>
      <w:r w:rsidRPr="002A48C7">
        <w:rPr>
          <w:rFonts w:ascii="Tahoma" w:hAnsi="Tahoma" w:cs="Tahoma"/>
          <w:color w:val="000000"/>
          <w:sz w:val="18"/>
          <w:szCs w:val="18"/>
          <w:lang w:val="de-DE"/>
        </w:rPr>
        <w:t>Die Desktop-Anwendungen, die über das Home Use Program verfügbar sind, sind ebenfalls in der Tabelle unten aufgeführt*</w:t>
      </w:r>
      <w:r w:rsidR="006257A7">
        <w:rPr>
          <w:rFonts w:ascii="Tahoma" w:hAnsi="Tahoma" w:cs="Tahoma"/>
          <w:color w:val="000000"/>
          <w:sz w:val="18"/>
          <w:szCs w:val="18"/>
          <w:lang w:val="de-DE"/>
        </w:rPr>
        <w:t xml:space="preserve">. </w:t>
      </w:r>
    </w:p>
    <w:p w:rsidR="008D4EE5" w:rsidRPr="002A48C7" w:rsidRDefault="008D4EE5" w:rsidP="000D6765">
      <w:pPr>
        <w:pStyle w:val="AppendixFlushBulletedList"/>
        <w:tabs>
          <w:tab w:val="clear" w:pos="360"/>
        </w:tabs>
        <w:ind w:left="0" w:firstLine="0"/>
        <w:rPr>
          <w:lang w:val="de-DE"/>
        </w:rPr>
      </w:pPr>
      <w:r w:rsidRPr="002A48C7">
        <w:rPr>
          <w:rFonts w:ascii="Tahoma" w:hAnsi="Tahoma" w:cs="Tahoma"/>
          <w:sz w:val="18"/>
          <w:szCs w:val="18"/>
          <w:lang w:val="de-DE"/>
        </w:rPr>
        <w:t>Die Berechtigung von Kunden zur Teilnahme am Home Use Program endet mit Ablauf oder Kündigung von Software</w:t>
      </w:r>
      <w:r w:rsidR="000D6765">
        <w:rPr>
          <w:rFonts w:ascii="Tahoma" w:hAnsi="Tahoma" w:cs="Tahoma"/>
          <w:sz w:val="18"/>
          <w:szCs w:val="18"/>
          <w:lang w:val="de-DE"/>
        </w:rPr>
        <w:t> </w:t>
      </w:r>
      <w:r w:rsidRPr="002A48C7">
        <w:rPr>
          <w:rFonts w:ascii="Tahoma" w:hAnsi="Tahoma" w:cs="Tahoma"/>
          <w:sz w:val="18"/>
          <w:szCs w:val="18"/>
          <w:lang w:val="de-DE"/>
        </w:rPr>
        <w:t>Assurance für qualifizierende Desktop-Anwendungen</w:t>
      </w:r>
      <w:r w:rsidR="006257A7">
        <w:rPr>
          <w:rFonts w:ascii="Tahoma" w:hAnsi="Tahoma" w:cs="Tahoma"/>
          <w:sz w:val="18"/>
          <w:szCs w:val="18"/>
          <w:lang w:val="de-DE"/>
        </w:rPr>
        <w:t xml:space="preserve">. </w:t>
      </w:r>
      <w:r w:rsidRPr="002A48C7">
        <w:rPr>
          <w:rFonts w:ascii="Tahoma" w:hAnsi="Tahoma" w:cs="Tahoma"/>
          <w:sz w:val="18"/>
          <w:szCs w:val="18"/>
          <w:lang w:val="de-DE"/>
        </w:rPr>
        <w:t>Microsoft ist berechtigt, die Teilnahme eines Kunden am Home Use Program unverzüglich und ohne Ankündigung in Verbindung mit dem unbefugten Zugriff auf oder der</w:t>
      </w:r>
      <w:r w:rsidR="000D6765">
        <w:rPr>
          <w:rFonts w:ascii="Tahoma" w:hAnsi="Tahoma" w:cs="Tahoma"/>
          <w:sz w:val="18"/>
          <w:szCs w:val="18"/>
          <w:lang w:val="de-DE"/>
        </w:rPr>
        <w:t> </w:t>
      </w:r>
      <w:r w:rsidRPr="002A48C7">
        <w:rPr>
          <w:rFonts w:ascii="Tahoma" w:hAnsi="Tahoma" w:cs="Tahoma"/>
          <w:sz w:val="18"/>
          <w:szCs w:val="18"/>
          <w:lang w:val="de-DE"/>
        </w:rPr>
        <w:t>Lizenzierung durch die Home Use Program-Website im Zusammenhang mit dem Programmcode dieses Kunden zu kündigen</w:t>
      </w:r>
      <w:r w:rsidR="006257A7">
        <w:rPr>
          <w:rFonts w:ascii="Tahoma" w:hAnsi="Tahoma" w:cs="Tahoma"/>
          <w:sz w:val="18"/>
          <w:szCs w:val="18"/>
          <w:lang w:val="de-DE"/>
        </w:rPr>
        <w:t xml:space="preserve">. </w:t>
      </w:r>
    </w:p>
    <w:p w:rsidR="008D4EE5" w:rsidRPr="002A48C7" w:rsidRDefault="008D4EE5" w:rsidP="008D4EE5">
      <w:pPr>
        <w:pStyle w:val="AppendixFlushBulletedList"/>
        <w:tabs>
          <w:tab w:val="clear" w:pos="360"/>
        </w:tabs>
        <w:ind w:left="0" w:firstLine="0"/>
        <w:rPr>
          <w:lang w:val="de-DE"/>
        </w:rPr>
      </w:pPr>
    </w:p>
    <w:p w:rsidR="008D4EE5" w:rsidRPr="002A48C7" w:rsidRDefault="008D4EE5" w:rsidP="000D6765">
      <w:pPr>
        <w:pStyle w:val="AppendixFlushBulletedList"/>
        <w:tabs>
          <w:tab w:val="clear" w:pos="360"/>
        </w:tabs>
        <w:ind w:left="0" w:firstLine="0"/>
        <w:rPr>
          <w:lang w:val="de-DE"/>
        </w:rPr>
      </w:pPr>
      <w:r w:rsidRPr="002A48C7">
        <w:rPr>
          <w:rFonts w:ascii="Tahoma" w:hAnsi="Tahoma" w:cs="Tahoma"/>
          <w:sz w:val="18"/>
          <w:szCs w:val="18"/>
          <w:lang w:val="de-DE"/>
        </w:rPr>
        <w:t>Die Anzahl der Home Use Program-Lizenzen, die für eine bestimmte Desktop-Anwendung erworben werden können, ist auf die Anzahl von Lizenzen für die entsprechenden qualifizierenden Desktop-Anwendungen beschränkt, für die</w:t>
      </w:r>
      <w:r w:rsidR="000D6765">
        <w:rPr>
          <w:rFonts w:ascii="Tahoma" w:hAnsi="Tahoma" w:cs="Tahoma"/>
          <w:sz w:val="18"/>
          <w:szCs w:val="18"/>
          <w:lang w:val="de-DE"/>
        </w:rPr>
        <w:t> </w:t>
      </w:r>
      <w:r w:rsidRPr="002A48C7">
        <w:rPr>
          <w:rFonts w:ascii="Tahoma" w:hAnsi="Tahoma" w:cs="Tahoma"/>
          <w:sz w:val="18"/>
          <w:szCs w:val="18"/>
          <w:lang w:val="de-DE"/>
        </w:rPr>
        <w:t>der Kunde Software Assurance erwirbt</w:t>
      </w:r>
      <w:r w:rsidR="006257A7">
        <w:rPr>
          <w:rFonts w:ascii="Tahoma" w:hAnsi="Tahoma" w:cs="Tahoma"/>
          <w:sz w:val="18"/>
          <w:szCs w:val="18"/>
          <w:lang w:val="de-DE"/>
        </w:rPr>
        <w:t xml:space="preserve">. </w:t>
      </w:r>
      <w:r w:rsidRPr="002A48C7">
        <w:rPr>
          <w:rFonts w:ascii="Tahoma" w:hAnsi="Tahoma" w:cs="Tahoma"/>
          <w:sz w:val="18"/>
          <w:szCs w:val="18"/>
          <w:lang w:val="de-DE"/>
        </w:rPr>
        <w:t>Im Rahmen des Home Use Program sind die Nutzungsrechte eines Mitarbeiters an die anhaltende Beschäftigung bei dem Kunden geknüpft und enden mit der Beendigung des Beschäftigungsverhältnisses, der Kündigung oder dem Ablauf von Software Assurance für die Kopie der entsprechenden Desktop-Anwendung, die der Mitarbeiter bei der Arbeit verwendet, wenn der Mitarbeiter kein Nutzer der lizenzierten Kopie der Software ist oder wenn der Mitarbeiter eine vorherige oder spätere Version dieser Desktop-Anwendung gemäß einer Home Use Program-Lizenz installiert oder verwendet</w:t>
      </w:r>
      <w:r w:rsidR="006257A7">
        <w:rPr>
          <w:rFonts w:ascii="Tahoma" w:hAnsi="Tahoma" w:cs="Tahoma"/>
          <w:sz w:val="18"/>
          <w:szCs w:val="18"/>
          <w:lang w:val="de-DE"/>
        </w:rPr>
        <w:t xml:space="preserve">. </w:t>
      </w:r>
    </w:p>
    <w:p w:rsidR="008D4EE5" w:rsidRPr="002A48C7" w:rsidRDefault="008D4EE5" w:rsidP="008D4EE5">
      <w:pPr>
        <w:pStyle w:val="AppendixFlushBulletedList"/>
        <w:tabs>
          <w:tab w:val="clear" w:pos="360"/>
        </w:tabs>
        <w:ind w:left="0" w:firstLine="0"/>
        <w:rPr>
          <w:lang w:val="de-DE"/>
        </w:rPr>
      </w:pPr>
    </w:p>
    <w:p w:rsidR="008D4EE5" w:rsidRPr="002A48C7" w:rsidRDefault="008D4EE5" w:rsidP="000D6765">
      <w:pPr>
        <w:pStyle w:val="AppendixFlushBulletedList"/>
        <w:tabs>
          <w:tab w:val="clear" w:pos="360"/>
        </w:tabs>
        <w:ind w:left="0" w:firstLine="0"/>
        <w:rPr>
          <w:lang w:val="de-DE"/>
        </w:rPr>
      </w:pPr>
      <w:r w:rsidRPr="002A48C7">
        <w:rPr>
          <w:rFonts w:ascii="Tahoma" w:hAnsi="Tahoma" w:cs="Tahoma"/>
          <w:sz w:val="18"/>
          <w:szCs w:val="18"/>
          <w:lang w:val="de-DE"/>
        </w:rPr>
        <w:t>Kunden sind für die Einhaltung der Endbenutzer-Lizenzbestimmungen des Home Use Program durch ihren einzelnen</w:t>
      </w:r>
      <w:r w:rsidR="000D6765">
        <w:rPr>
          <w:rFonts w:ascii="Tahoma" w:hAnsi="Tahoma" w:cs="Tahoma"/>
          <w:sz w:val="18"/>
          <w:szCs w:val="18"/>
          <w:lang w:val="de-DE"/>
        </w:rPr>
        <w:t> </w:t>
      </w:r>
      <w:r w:rsidRPr="002A48C7">
        <w:rPr>
          <w:rFonts w:ascii="Tahoma" w:hAnsi="Tahoma" w:cs="Tahoma"/>
          <w:sz w:val="18"/>
          <w:szCs w:val="18"/>
          <w:lang w:val="de-DE"/>
        </w:rPr>
        <w:t>Mitarbeiter nicht verantwortlich</w:t>
      </w:r>
      <w:r w:rsidR="006257A7">
        <w:rPr>
          <w:rFonts w:ascii="Tahoma" w:hAnsi="Tahoma" w:cs="Tahoma"/>
          <w:sz w:val="18"/>
          <w:szCs w:val="18"/>
          <w:lang w:val="de-DE"/>
        </w:rPr>
        <w:t xml:space="preserve">. </w:t>
      </w:r>
      <w:r w:rsidRPr="002A48C7">
        <w:rPr>
          <w:rFonts w:ascii="Tahoma" w:hAnsi="Tahoma" w:cs="Tahoma"/>
          <w:sz w:val="18"/>
          <w:szCs w:val="18"/>
          <w:lang w:val="de-DE"/>
        </w:rPr>
        <w:t>Jene Bestimmungen werden zwischen Microsoft und dem Mitarbeiter des</w:t>
      </w:r>
      <w:r w:rsidR="000D6765">
        <w:rPr>
          <w:rFonts w:ascii="Tahoma" w:hAnsi="Tahoma" w:cs="Tahoma"/>
          <w:sz w:val="18"/>
          <w:szCs w:val="18"/>
          <w:lang w:val="de-DE"/>
        </w:rPr>
        <w:t> </w:t>
      </w:r>
      <w:r w:rsidRPr="002A48C7">
        <w:rPr>
          <w:rFonts w:ascii="Tahoma" w:hAnsi="Tahoma" w:cs="Tahoma"/>
          <w:sz w:val="18"/>
          <w:szCs w:val="18"/>
          <w:lang w:val="de-DE"/>
        </w:rPr>
        <w:t>Kunden vereinbart und weichen tatsächlich von den unter den Volumenlizenzen des Kunden gewährten Rechten ab (z</w:t>
      </w:r>
      <w:r w:rsidR="006257A7">
        <w:rPr>
          <w:rFonts w:ascii="Tahoma" w:hAnsi="Tahoma" w:cs="Tahoma"/>
          <w:sz w:val="18"/>
          <w:szCs w:val="18"/>
          <w:lang w:val="de-DE"/>
        </w:rPr>
        <w:t xml:space="preserve">. </w:t>
      </w:r>
      <w:r w:rsidRPr="002A48C7">
        <w:rPr>
          <w:rFonts w:ascii="Tahoma" w:hAnsi="Tahoma" w:cs="Tahoma"/>
          <w:sz w:val="18"/>
          <w:szCs w:val="18"/>
          <w:lang w:val="de-DE"/>
        </w:rPr>
        <w:t>B</w:t>
      </w:r>
      <w:r w:rsidR="006257A7">
        <w:rPr>
          <w:rFonts w:ascii="Tahoma" w:hAnsi="Tahoma" w:cs="Tahoma"/>
          <w:sz w:val="18"/>
          <w:szCs w:val="18"/>
          <w:lang w:val="de-DE"/>
        </w:rPr>
        <w:t xml:space="preserve">. </w:t>
      </w:r>
      <w:r w:rsidRPr="002A48C7">
        <w:rPr>
          <w:rFonts w:ascii="Tahoma" w:hAnsi="Tahoma" w:cs="Tahoma"/>
          <w:sz w:val="18"/>
          <w:szCs w:val="18"/>
          <w:lang w:val="de-DE"/>
        </w:rPr>
        <w:t>darf der Mitarbeiter nur eine Kopie der HUP-Software installieren)</w:t>
      </w:r>
      <w:r w:rsidR="006257A7">
        <w:rPr>
          <w:rFonts w:ascii="Tahoma" w:hAnsi="Tahoma" w:cs="Tahoma"/>
          <w:sz w:val="18"/>
          <w:szCs w:val="18"/>
          <w:lang w:val="de-DE"/>
        </w:rPr>
        <w:t xml:space="preserve">. </w:t>
      </w:r>
      <w:r w:rsidRPr="002A48C7">
        <w:rPr>
          <w:rFonts w:ascii="Tahoma" w:hAnsi="Tahoma" w:cs="Tahoma"/>
          <w:sz w:val="18"/>
          <w:szCs w:val="18"/>
          <w:lang w:val="de-DE"/>
        </w:rPr>
        <w:t>Wir verlangen, dass Kunden den Home Use Program-Zugriff auf Mitarbeiter beschränken und Mitarbeiter darüber informieren, wenn sie die Verwendung der</w:t>
      </w:r>
      <w:r w:rsidR="000D6765">
        <w:rPr>
          <w:rFonts w:ascii="Tahoma" w:hAnsi="Tahoma" w:cs="Tahoma"/>
          <w:sz w:val="18"/>
          <w:szCs w:val="18"/>
          <w:lang w:val="de-DE"/>
        </w:rPr>
        <w:t> </w:t>
      </w:r>
      <w:r w:rsidRPr="002A48C7">
        <w:rPr>
          <w:rFonts w:ascii="Tahoma" w:hAnsi="Tahoma" w:cs="Tahoma"/>
          <w:sz w:val="18"/>
          <w:szCs w:val="18"/>
          <w:lang w:val="de-DE"/>
        </w:rPr>
        <w:t>Home Use Program-Software in Verbindung mit abgelaufener Software Assurance oder der Beendigung des Beschäftigungsverhältnisses einstellen sollten</w:t>
      </w:r>
      <w:r w:rsidR="006257A7">
        <w:rPr>
          <w:rFonts w:ascii="Tahoma" w:hAnsi="Tahoma" w:cs="Tahoma"/>
          <w:sz w:val="18"/>
          <w:szCs w:val="18"/>
          <w:lang w:val="de-DE"/>
        </w:rPr>
        <w:t xml:space="preserve">. </w:t>
      </w:r>
    </w:p>
    <w:p w:rsidR="008D4EE5" w:rsidRPr="002A48C7" w:rsidRDefault="008D4EE5" w:rsidP="008D4EE5">
      <w:pPr>
        <w:pStyle w:val="AppendixFlushBulletedList"/>
        <w:tabs>
          <w:tab w:val="clear" w:pos="360"/>
        </w:tabs>
        <w:ind w:left="0" w:firstLine="0"/>
        <w:rPr>
          <w:lang w:val="de-DE"/>
        </w:rPr>
      </w:pPr>
    </w:p>
    <w:p w:rsidR="008D4EE5" w:rsidRPr="002A48C7" w:rsidRDefault="008D4EE5" w:rsidP="000D6765">
      <w:pPr>
        <w:rPr>
          <w:lang w:val="de-DE"/>
        </w:rPr>
      </w:pPr>
      <w:r w:rsidRPr="002A48C7">
        <w:rPr>
          <w:rFonts w:cs="Tahoma"/>
          <w:color w:val="000000"/>
          <w:szCs w:val="18"/>
          <w:lang w:val="de-DE"/>
        </w:rPr>
        <w:t>Die Teilnahme an diesem Programm kann für den Kunden und seine Mitarbeiter steuerliche Auswirkungen haben</w:t>
      </w:r>
      <w:r w:rsidR="006257A7">
        <w:rPr>
          <w:rFonts w:cs="Tahoma"/>
          <w:color w:val="000000"/>
          <w:szCs w:val="18"/>
          <w:lang w:val="de-DE"/>
        </w:rPr>
        <w:t xml:space="preserve">. </w:t>
      </w:r>
      <w:r w:rsidRPr="002A48C7">
        <w:rPr>
          <w:rFonts w:cs="Tahoma"/>
          <w:color w:val="000000"/>
          <w:szCs w:val="18"/>
          <w:lang w:val="de-DE"/>
        </w:rPr>
        <w:t>Vor</w:t>
      </w:r>
      <w:r w:rsidR="000D6765">
        <w:rPr>
          <w:rFonts w:cs="Tahoma"/>
          <w:color w:val="000000"/>
          <w:szCs w:val="18"/>
          <w:lang w:val="de-DE"/>
        </w:rPr>
        <w:t> </w:t>
      </w:r>
      <w:r w:rsidRPr="002A48C7">
        <w:rPr>
          <w:rFonts w:cs="Tahoma"/>
          <w:color w:val="000000"/>
          <w:szCs w:val="18"/>
          <w:lang w:val="de-DE"/>
        </w:rPr>
        <w:t>Nutzung dieser Vergünstigung kann es für einen Kunden sinnvoll sein, einen Steuerberater zurate zu ziehen</w:t>
      </w:r>
      <w:r w:rsidR="006257A7">
        <w:rPr>
          <w:rFonts w:cs="Tahoma"/>
          <w:color w:val="000000"/>
          <w:szCs w:val="18"/>
          <w:lang w:val="de-DE"/>
        </w:rPr>
        <w:t xml:space="preserve">. </w:t>
      </w:r>
      <w:r w:rsidRPr="002A48C7">
        <w:rPr>
          <w:rFonts w:cs="Tahoma"/>
          <w:color w:val="000000"/>
          <w:szCs w:val="18"/>
          <w:lang w:val="de-DE"/>
        </w:rPr>
        <w:t>Microsoft übernimmt keine Verantwortung für die Einhaltung von Verpflichtungen in Bezug auf Sachbezüge, Steuern oder Berichterstattung, die der Kunde oder seine Mitarbeiter gegebenenfalls haben</w:t>
      </w:r>
      <w:r w:rsidR="006257A7">
        <w:rPr>
          <w:rFonts w:cs="Tahoma"/>
          <w:color w:val="000000"/>
          <w:szCs w:val="18"/>
          <w:lang w:val="de-DE"/>
        </w:rPr>
        <w:t xml:space="preserve">. </w:t>
      </w:r>
      <w:r w:rsidRPr="002A48C7">
        <w:rPr>
          <w:lang w:val="de-DE"/>
        </w:rPr>
        <w:t>Zusätzliche Bestimmungen, die für Mitarbeiter in Neuseeland gelten, sind nachstehend aufgeführt:</w:t>
      </w:r>
    </w:p>
    <w:p w:rsidR="008D4EE5" w:rsidRPr="002A48C7" w:rsidRDefault="008D4EE5" w:rsidP="008D4EE5">
      <w:pPr>
        <w:rPr>
          <w:lang w:val="de-DE"/>
        </w:rPr>
      </w:pPr>
    </w:p>
    <w:p w:rsidR="008D4EE5" w:rsidRPr="002A48C7" w:rsidRDefault="008D4EE5" w:rsidP="008D4EE5">
      <w:pPr>
        <w:numPr>
          <w:ilvl w:val="0"/>
          <w:numId w:val="12"/>
        </w:numPr>
        <w:tabs>
          <w:tab w:val="left" w:pos="1440"/>
        </w:tabs>
        <w:spacing w:afterLines="60" w:after="144"/>
        <w:ind w:left="1440"/>
        <w:rPr>
          <w:lang w:val="de-DE"/>
        </w:rPr>
      </w:pPr>
      <w:r w:rsidRPr="002A48C7">
        <w:rPr>
          <w:lang w:val="de-DE"/>
        </w:rPr>
        <w:t>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w:t>
      </w:r>
      <w:r w:rsidR="006257A7">
        <w:rPr>
          <w:lang w:val="de-DE"/>
        </w:rPr>
        <w:t xml:space="preserve">. </w:t>
      </w:r>
    </w:p>
    <w:p w:rsidR="008D4EE5" w:rsidRPr="002A48C7" w:rsidRDefault="008D4EE5" w:rsidP="008D4EE5">
      <w:pPr>
        <w:numPr>
          <w:ilvl w:val="0"/>
          <w:numId w:val="12"/>
        </w:numPr>
        <w:tabs>
          <w:tab w:val="left" w:pos="1440"/>
        </w:tabs>
        <w:ind w:left="1440"/>
        <w:rPr>
          <w:lang w:val="de-DE"/>
        </w:rPr>
      </w:pPr>
      <w:r w:rsidRPr="002A48C7">
        <w:rPr>
          <w:lang w:val="de-DE"/>
        </w:rPr>
        <w:t>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w:t>
      </w:r>
      <w:r w:rsidR="006257A7">
        <w:rPr>
          <w:lang w:val="de-DE"/>
        </w:rPr>
        <w:t xml:space="preserve">. </w:t>
      </w:r>
    </w:p>
    <w:p w:rsidR="008D4EE5" w:rsidRPr="002A48C7" w:rsidRDefault="008D4EE5" w:rsidP="008D4EE5">
      <w:pPr>
        <w:rPr>
          <w:lang w:val="de-DE"/>
        </w:rPr>
      </w:pPr>
    </w:p>
    <w:p w:rsidR="008D4EE5" w:rsidRPr="002A48C7" w:rsidRDefault="008D4EE5" w:rsidP="008D4EE5">
      <w:pPr>
        <w:rPr>
          <w:lang w:val="de-DE"/>
        </w:rPr>
      </w:pPr>
      <w:r w:rsidRPr="002A48C7">
        <w:rPr>
          <w:rFonts w:cs="Tahoma"/>
          <w:szCs w:val="18"/>
          <w:lang w:val="de-DE"/>
        </w:rPr>
        <w:t>Die Liste qualifizierender Desktop-Anwendungen kann jederzeit ohne Ankündigung geändert werden und hängt von Region oder Angebot ab</w:t>
      </w:r>
      <w:r w:rsidR="006257A7">
        <w:rPr>
          <w:rFonts w:cs="Tahoma"/>
          <w:szCs w:val="18"/>
          <w:lang w:val="de-DE"/>
        </w:rPr>
        <w:t xml:space="preserve">. </w:t>
      </w:r>
      <w:r w:rsidRPr="002A48C7">
        <w:rPr>
          <w:rFonts w:cs="Tahoma"/>
          <w:szCs w:val="18"/>
          <w:lang w:val="de-DE"/>
        </w:rPr>
        <w:t>Die Verfügbarkeit von Home Use Program-Software kann jederzeit ohne Ankündigung geändert werden und hängt von Region, Angebot, Anwendung, Version und Sprache ab</w:t>
      </w:r>
      <w:r w:rsidR="006257A7">
        <w:rPr>
          <w:rFonts w:cs="Tahoma"/>
          <w:szCs w:val="18"/>
          <w:lang w:val="de-DE"/>
        </w:rPr>
        <w:t xml:space="preserve">. </w:t>
      </w:r>
    </w:p>
    <w:p w:rsidR="008D4EE5" w:rsidRPr="002A48C7" w:rsidRDefault="008D4EE5" w:rsidP="008D4EE5">
      <w:pPr>
        <w:rPr>
          <w:lang w:val="de-DE"/>
        </w:rPr>
      </w:pPr>
    </w:p>
    <w:p w:rsidR="008D4EE5" w:rsidRPr="0062435A" w:rsidRDefault="008D4EE5" w:rsidP="000D6765">
      <w:r>
        <w:rPr>
          <w:rFonts w:cs="Tahoma"/>
          <w:szCs w:val="18"/>
        </w:rPr>
        <w:t>Microsoft Office Professional Plus HUP enthält die folgenden Microsoft Office-Programme:</w:t>
      </w:r>
    </w:p>
    <w:p w:rsidR="008D4EE5" w:rsidRPr="0062435A" w:rsidRDefault="008D4EE5" w:rsidP="000D6765"/>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399"/>
        <w:gridCol w:w="38"/>
        <w:gridCol w:w="3454"/>
      </w:tblGrid>
      <w:tr w:rsidR="008D4EE5" w:rsidTr="00A67771">
        <w:trPr>
          <w:gridAfter w:val="1"/>
          <w:wAfter w:w="3454" w:type="dxa"/>
          <w:trHeight w:val="60"/>
        </w:trPr>
        <w:tc>
          <w:tcPr>
            <w:tcW w:w="4437" w:type="dxa"/>
            <w:gridSpan w:val="2"/>
            <w:shd w:val="clear" w:color="auto" w:fill="FABF8F"/>
            <w:tcMar>
              <w:top w:w="0" w:type="dxa"/>
              <w:left w:w="108" w:type="dxa"/>
              <w:bottom w:w="0" w:type="dxa"/>
              <w:right w:w="108" w:type="dxa"/>
            </w:tcMar>
            <w:vAlign w:val="center"/>
          </w:tcPr>
          <w:p w:rsidR="008D4EE5" w:rsidRPr="0062435A" w:rsidRDefault="008D4EE5" w:rsidP="000D6765">
            <w:pPr>
              <w:pStyle w:val="appendixtableheadings0"/>
            </w:pPr>
            <w:r>
              <w:rPr>
                <w:rFonts w:ascii="Tahoma" w:hAnsi="Tahoma" w:cs="Tahoma"/>
                <w:color w:val="000000"/>
                <w:sz w:val="20"/>
                <w:szCs w:val="20"/>
              </w:rPr>
              <w:t>Office Professional Plus-Komponenten für</w:t>
            </w:r>
            <w:r w:rsidR="000D6765">
              <w:rPr>
                <w:rFonts w:ascii="Tahoma" w:hAnsi="Tahoma" w:cs="Tahoma"/>
                <w:color w:val="000000"/>
                <w:sz w:val="20"/>
                <w:szCs w:val="20"/>
              </w:rPr>
              <w:t> </w:t>
            </w:r>
            <w:r>
              <w:rPr>
                <w:rFonts w:ascii="Tahoma" w:hAnsi="Tahoma" w:cs="Tahoma"/>
                <w:color w:val="000000"/>
                <w:sz w:val="20"/>
                <w:szCs w:val="20"/>
              </w:rPr>
              <w:t xml:space="preserve">HUP </w:t>
            </w:r>
          </w:p>
          <w:p w:rsidR="008D4EE5" w:rsidRDefault="008D4EE5" w:rsidP="000D6765">
            <w:pPr>
              <w:pStyle w:val="appendixtableheadings0"/>
              <w:rPr>
                <w:rFonts w:ascii="Tahoma" w:hAnsi="Tahoma" w:cs="Tahoma"/>
                <w:color w:val="000000"/>
                <w:sz w:val="20"/>
                <w:szCs w:val="20"/>
              </w:rPr>
            </w:pPr>
          </w:p>
        </w:tc>
      </w:tr>
      <w:tr w:rsidR="008D4EE5" w:rsidTr="000D6765">
        <w:trPr>
          <w:gridAfter w:val="1"/>
          <w:wAfter w:w="3454" w:type="dxa"/>
          <w:trHeight w:val="2356"/>
        </w:trPr>
        <w:tc>
          <w:tcPr>
            <w:tcW w:w="4437" w:type="dxa"/>
            <w:gridSpan w:val="2"/>
            <w:tcMar>
              <w:top w:w="0" w:type="dxa"/>
              <w:left w:w="108" w:type="dxa"/>
              <w:bottom w:w="0" w:type="dxa"/>
              <w:right w:w="108" w:type="dxa"/>
            </w:tcMar>
            <w:vAlign w:val="center"/>
          </w:tcPr>
          <w:p w:rsidR="008D4EE5" w:rsidRPr="0062435A" w:rsidRDefault="008D4EE5" w:rsidP="000D6765">
            <w:pPr>
              <w:pStyle w:val="appendixtabletext0"/>
            </w:pPr>
            <w:r>
              <w:rPr>
                <w:rFonts w:ascii="Tahoma" w:hAnsi="Tahoma" w:cs="Tahoma"/>
                <w:color w:val="000000"/>
              </w:rPr>
              <w:t>Word 2013</w:t>
            </w:r>
          </w:p>
          <w:p w:rsidR="008D4EE5" w:rsidRPr="0062435A" w:rsidRDefault="008D4EE5" w:rsidP="000D6765">
            <w:pPr>
              <w:pStyle w:val="appendixtabletext0"/>
            </w:pPr>
            <w:r>
              <w:rPr>
                <w:rFonts w:ascii="Tahoma" w:hAnsi="Tahoma" w:cs="Tahoma"/>
                <w:color w:val="000000"/>
              </w:rPr>
              <w:t>Excel</w:t>
            </w:r>
            <w:r w:rsidR="0069040B" w:rsidRPr="0069040B">
              <w:rPr>
                <w:rFonts w:ascii="Tahoma" w:hAnsi="Tahoma" w:cs="Tahoma"/>
                <w:color w:val="000000"/>
                <w:vertAlign w:val="superscript"/>
              </w:rPr>
              <w:t>®</w:t>
            </w:r>
            <w:r>
              <w:rPr>
                <w:rFonts w:ascii="Tahoma" w:hAnsi="Tahoma" w:cs="Tahoma"/>
                <w:color w:val="000000"/>
              </w:rPr>
              <w:t xml:space="preserve"> 2013</w:t>
            </w:r>
          </w:p>
          <w:p w:rsidR="008D4EE5" w:rsidRPr="0062435A" w:rsidRDefault="008D4EE5" w:rsidP="000D6765">
            <w:pPr>
              <w:pStyle w:val="appendixtabletext0"/>
            </w:pPr>
            <w:r>
              <w:rPr>
                <w:rFonts w:ascii="Tahoma" w:hAnsi="Tahoma" w:cs="Tahoma"/>
                <w:color w:val="000000"/>
              </w:rPr>
              <w:t>PowerPoint</w:t>
            </w:r>
            <w:r w:rsidR="0069040B" w:rsidRPr="0069040B">
              <w:rPr>
                <w:rFonts w:ascii="Tahoma" w:hAnsi="Tahoma" w:cs="Tahoma"/>
                <w:color w:val="000000"/>
                <w:vertAlign w:val="superscript"/>
              </w:rPr>
              <w:t>®</w:t>
            </w:r>
            <w:r>
              <w:rPr>
                <w:rFonts w:ascii="Tahoma" w:hAnsi="Tahoma" w:cs="Tahoma"/>
                <w:color w:val="000000"/>
              </w:rPr>
              <w:t xml:space="preserve"> 2013</w:t>
            </w:r>
          </w:p>
          <w:p w:rsidR="008D4EE5" w:rsidRPr="0062435A" w:rsidRDefault="008D4EE5" w:rsidP="000D6765">
            <w:pPr>
              <w:pStyle w:val="appendixtabletext0"/>
            </w:pPr>
            <w:r>
              <w:rPr>
                <w:rFonts w:ascii="Tahoma" w:hAnsi="Tahoma" w:cs="Tahoma"/>
                <w:color w:val="000000"/>
              </w:rPr>
              <w:t>Outlook</w:t>
            </w:r>
            <w:r w:rsidR="0069040B" w:rsidRPr="0069040B">
              <w:rPr>
                <w:rFonts w:ascii="Tahoma" w:hAnsi="Tahoma" w:cs="Tahoma"/>
                <w:color w:val="000000"/>
                <w:vertAlign w:val="superscript"/>
              </w:rPr>
              <w:t>®</w:t>
            </w:r>
            <w:r>
              <w:rPr>
                <w:rFonts w:ascii="Tahoma" w:hAnsi="Tahoma" w:cs="Tahoma"/>
                <w:color w:val="000000"/>
              </w:rPr>
              <w:t xml:space="preserve"> 2013</w:t>
            </w:r>
          </w:p>
          <w:p w:rsidR="008D4EE5" w:rsidRPr="0062435A" w:rsidRDefault="008D4EE5" w:rsidP="000D6765">
            <w:pPr>
              <w:pStyle w:val="appendixtabletext0"/>
            </w:pPr>
            <w:r>
              <w:rPr>
                <w:rFonts w:ascii="Tahoma" w:hAnsi="Tahoma" w:cs="Tahoma"/>
                <w:color w:val="000000"/>
              </w:rPr>
              <w:t>Publisher 2013</w:t>
            </w:r>
          </w:p>
          <w:p w:rsidR="008D4EE5" w:rsidRPr="0062435A" w:rsidRDefault="008D4EE5" w:rsidP="000D6765">
            <w:pPr>
              <w:pStyle w:val="appendixtabletext0"/>
            </w:pPr>
            <w:r>
              <w:rPr>
                <w:rFonts w:ascii="Tahoma" w:hAnsi="Tahoma" w:cs="Tahoma"/>
                <w:color w:val="000000"/>
              </w:rPr>
              <w:t>Access</w:t>
            </w:r>
            <w:r w:rsidR="0069040B" w:rsidRPr="0069040B">
              <w:rPr>
                <w:rFonts w:ascii="Tahoma" w:hAnsi="Tahoma" w:cs="Tahoma"/>
                <w:color w:val="000000"/>
                <w:vertAlign w:val="superscript"/>
              </w:rPr>
              <w:t>®</w:t>
            </w:r>
            <w:r>
              <w:rPr>
                <w:rFonts w:ascii="Tahoma" w:hAnsi="Tahoma" w:cs="Tahoma"/>
                <w:color w:val="000000"/>
              </w:rPr>
              <w:t xml:space="preserve"> 2013</w:t>
            </w:r>
          </w:p>
          <w:p w:rsidR="008D4EE5" w:rsidRPr="0062435A" w:rsidRDefault="008D4EE5" w:rsidP="000D6765">
            <w:pPr>
              <w:pStyle w:val="appendixtabletext0"/>
            </w:pPr>
            <w:r>
              <w:rPr>
                <w:rFonts w:ascii="Tahoma" w:hAnsi="Tahoma" w:cs="Tahoma"/>
                <w:color w:val="000000"/>
              </w:rPr>
              <w:t>OneNote</w:t>
            </w:r>
            <w:r w:rsidR="0069040B" w:rsidRPr="0069040B">
              <w:rPr>
                <w:rFonts w:ascii="Tahoma" w:hAnsi="Tahoma" w:cs="Tahoma"/>
                <w:color w:val="000000"/>
                <w:vertAlign w:val="superscript"/>
              </w:rPr>
              <w:t>®</w:t>
            </w:r>
            <w:r>
              <w:rPr>
                <w:rFonts w:ascii="Tahoma" w:hAnsi="Tahoma" w:cs="Tahoma"/>
                <w:color w:val="000000"/>
              </w:rPr>
              <w:t xml:space="preserve"> 2013</w:t>
            </w:r>
          </w:p>
          <w:p w:rsidR="008D4EE5" w:rsidRPr="0062435A" w:rsidRDefault="008D4EE5" w:rsidP="000D6765">
            <w:pPr>
              <w:pStyle w:val="appendixtabletext0"/>
            </w:pPr>
            <w:r>
              <w:rPr>
                <w:rFonts w:ascii="Tahoma" w:hAnsi="Tahoma" w:cs="Tahoma"/>
                <w:color w:val="000000"/>
              </w:rPr>
              <w:t>InfoPath</w:t>
            </w:r>
            <w:r w:rsidR="0069040B" w:rsidRPr="0069040B">
              <w:rPr>
                <w:rFonts w:ascii="Tahoma" w:hAnsi="Tahoma" w:cs="Tahoma"/>
                <w:color w:val="000000"/>
                <w:vertAlign w:val="superscript"/>
              </w:rPr>
              <w:t>®</w:t>
            </w:r>
            <w:r>
              <w:rPr>
                <w:rFonts w:ascii="Tahoma" w:hAnsi="Tahoma" w:cs="Tahoma"/>
                <w:color w:val="000000"/>
              </w:rPr>
              <w:t xml:space="preserve"> 2013</w:t>
            </w:r>
          </w:p>
          <w:p w:rsidR="008D4EE5" w:rsidRPr="000D6765" w:rsidRDefault="008D4EE5" w:rsidP="000D6765">
            <w:pPr>
              <w:pStyle w:val="appendixtabletext0"/>
            </w:pPr>
            <w:r>
              <w:rPr>
                <w:rFonts w:ascii="Tahoma" w:hAnsi="Tahoma" w:cs="Tahoma"/>
                <w:color w:val="000000"/>
              </w:rPr>
              <w:t>Lync 2013</w:t>
            </w:r>
          </w:p>
        </w:tc>
      </w:tr>
      <w:tr w:rsidR="008D4EE5" w:rsidRPr="00FB51BA" w:rsidTr="000D676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8"/>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8D4EE5" w:rsidRPr="00CA6072" w:rsidRDefault="008D4EE5" w:rsidP="00A67771">
            <w:pPr>
              <w:pStyle w:val="appendixtableheadings0"/>
              <w:rPr>
                <w:rFonts w:ascii="Tahoma" w:hAnsi="Tahoma" w:cs="Tahoma"/>
                <w:color w:val="000000"/>
                <w:sz w:val="20"/>
                <w:szCs w:val="20"/>
              </w:rPr>
            </w:pPr>
            <w:r>
              <w:rPr>
                <w:rFonts w:ascii="Tahoma" w:hAnsi="Tahoma" w:cs="Tahoma"/>
                <w:color w:val="000000"/>
                <w:sz w:val="20"/>
                <w:szCs w:val="20"/>
              </w:rPr>
              <w:t>Qualifizierende Desktop-Anwendung</w:t>
            </w:r>
          </w:p>
        </w:tc>
        <w:tc>
          <w:tcPr>
            <w:tcW w:w="3492" w:type="dxa"/>
            <w:gridSpan w:val="2"/>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8D4EE5" w:rsidRPr="002A48C7" w:rsidRDefault="008D4EE5" w:rsidP="00A67771">
            <w:pPr>
              <w:pStyle w:val="appendixtableheadings0"/>
              <w:rPr>
                <w:rFonts w:ascii="Tahoma" w:hAnsi="Tahoma" w:cs="Tahoma"/>
                <w:color w:val="000000"/>
                <w:sz w:val="20"/>
                <w:szCs w:val="20"/>
                <w:lang w:val="de-DE"/>
              </w:rPr>
            </w:pPr>
            <w:r w:rsidRPr="002A48C7">
              <w:rPr>
                <w:rFonts w:ascii="Tahoma" w:hAnsi="Tahoma" w:cs="Tahoma"/>
                <w:color w:val="000000"/>
                <w:sz w:val="20"/>
                <w:szCs w:val="20"/>
                <w:lang w:val="de-DE"/>
              </w:rPr>
              <w:t xml:space="preserve">Entsprechende Home Use </w:t>
            </w:r>
            <w:r w:rsidRPr="002A48C7">
              <w:rPr>
                <w:rFonts w:ascii="Tahoma" w:hAnsi="Tahoma" w:cs="Tahoma"/>
                <w:color w:val="000000"/>
                <w:sz w:val="20"/>
                <w:szCs w:val="20"/>
                <w:lang w:val="de-DE"/>
              </w:rPr>
              <w:br/>
              <w:t>Program-Lizenz</w:t>
            </w:r>
          </w:p>
        </w:tc>
      </w:tr>
      <w:tr w:rsidR="008D4EE5" w:rsidTr="00A677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D4EE5" w:rsidRPr="0062435A" w:rsidRDefault="008D4EE5" w:rsidP="00A67771">
            <w:pPr>
              <w:pStyle w:val="appendixtabletext0"/>
            </w:pPr>
            <w:r>
              <w:rPr>
                <w:rFonts w:ascii="Tahoma" w:hAnsi="Tahoma" w:cs="Tahoma"/>
                <w:color w:val="000000"/>
              </w:rPr>
              <w:t>Office Standard 2010/2013</w:t>
            </w:r>
          </w:p>
          <w:p w:rsidR="008D4EE5" w:rsidRPr="0062435A" w:rsidRDefault="008D4EE5" w:rsidP="00A67771">
            <w:pPr>
              <w:pStyle w:val="appendixtabletext0"/>
            </w:pPr>
            <w:r>
              <w:rPr>
                <w:rFonts w:ascii="Tahoma" w:hAnsi="Tahoma" w:cs="Tahoma"/>
                <w:color w:val="000000"/>
              </w:rPr>
              <w:t>Office Professional Plus 2010/2013</w:t>
            </w:r>
          </w:p>
          <w:p w:rsidR="008D4EE5" w:rsidRPr="0034219A" w:rsidRDefault="008D4EE5" w:rsidP="00A67771">
            <w:pPr>
              <w:pStyle w:val="appendixtabletext0"/>
              <w:rPr>
                <w:rFonts w:ascii="Tahoma" w:hAnsi="Tahoma" w:cs="Tahoma"/>
                <w:color w:val="000000"/>
              </w:rPr>
            </w:pPr>
            <w:r>
              <w:rPr>
                <w:rFonts w:ascii="Tahoma" w:hAnsi="Tahoma" w:cs="Tahoma"/>
                <w:color w:val="000000"/>
              </w:rPr>
              <w:t xml:space="preserve">Office für Mac 2008/Office für Mac Standard 2011 </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8D4EE5" w:rsidRPr="0062435A" w:rsidRDefault="008D4EE5" w:rsidP="00A67771">
            <w:pPr>
              <w:pStyle w:val="appendixtabletext0"/>
            </w:pPr>
            <w:r>
              <w:rPr>
                <w:rFonts w:ascii="Tahoma" w:hAnsi="Tahoma" w:cs="Tahoma"/>
                <w:color w:val="000000"/>
              </w:rPr>
              <w:t>Office Professional Plus 2013 HUP</w:t>
            </w:r>
          </w:p>
          <w:p w:rsidR="008D4EE5" w:rsidRPr="0062435A" w:rsidRDefault="008D4EE5" w:rsidP="00A67771">
            <w:pPr>
              <w:pStyle w:val="appendixtabletext0"/>
            </w:pPr>
            <w:r>
              <w:rPr>
                <w:rFonts w:ascii="Tahoma" w:hAnsi="Tahoma" w:cs="Tahoma"/>
                <w:color w:val="000000"/>
              </w:rPr>
              <w:t>oder</w:t>
            </w:r>
          </w:p>
          <w:p w:rsidR="008D4EE5" w:rsidRPr="0034219A" w:rsidRDefault="008D4EE5" w:rsidP="000D6765">
            <w:pPr>
              <w:pStyle w:val="appendixtabletext0"/>
              <w:rPr>
                <w:rFonts w:ascii="Tahoma" w:hAnsi="Tahoma" w:cs="Tahoma"/>
                <w:color w:val="000000"/>
              </w:rPr>
            </w:pPr>
            <w:r>
              <w:rPr>
                <w:rFonts w:ascii="Tahoma" w:hAnsi="Tahoma" w:cs="Tahoma"/>
                <w:color w:val="000000"/>
              </w:rPr>
              <w:t>Office für Mac Home &amp; Business 2011</w:t>
            </w:r>
            <w:r w:rsidR="000D6765">
              <w:rPr>
                <w:rFonts w:ascii="Tahoma" w:hAnsi="Tahoma" w:cs="Tahoma"/>
                <w:color w:val="000000"/>
              </w:rPr>
              <w:t> </w:t>
            </w:r>
            <w:r>
              <w:rPr>
                <w:rFonts w:ascii="Tahoma" w:hAnsi="Tahoma" w:cs="Tahoma"/>
                <w:color w:val="000000"/>
              </w:rPr>
              <w:t>HUP</w:t>
            </w:r>
          </w:p>
        </w:tc>
      </w:tr>
      <w:tr w:rsidR="008D4EE5" w:rsidTr="00A677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D4EE5" w:rsidRPr="0062435A" w:rsidRDefault="008D4EE5" w:rsidP="00A67771">
            <w:pPr>
              <w:pStyle w:val="appendixtabletext0"/>
            </w:pPr>
            <w:r>
              <w:rPr>
                <w:rFonts w:ascii="Tahoma" w:hAnsi="Tahoma" w:cs="Tahoma"/>
                <w:color w:val="000000"/>
              </w:rPr>
              <w:t>Access 2010/2013</w:t>
            </w:r>
          </w:p>
          <w:p w:rsidR="008D4EE5" w:rsidRPr="0062435A" w:rsidRDefault="008D4EE5" w:rsidP="00A67771">
            <w:pPr>
              <w:pStyle w:val="appendixtabletext0"/>
            </w:pPr>
            <w:r>
              <w:rPr>
                <w:rFonts w:ascii="Tahoma" w:hAnsi="Tahoma" w:cs="Tahoma"/>
                <w:color w:val="000000"/>
              </w:rPr>
              <w:t>Excel 2010/2013</w:t>
            </w:r>
          </w:p>
          <w:p w:rsidR="008D4EE5" w:rsidRPr="0062435A" w:rsidRDefault="008D4EE5" w:rsidP="00A67771">
            <w:pPr>
              <w:pStyle w:val="appendixtabletext0"/>
            </w:pPr>
            <w:r>
              <w:rPr>
                <w:rFonts w:ascii="Tahoma" w:hAnsi="Tahoma" w:cs="Tahoma"/>
                <w:color w:val="000000"/>
              </w:rPr>
              <w:t>PowerPoint 2010/2013</w:t>
            </w:r>
          </w:p>
          <w:p w:rsidR="008D4EE5" w:rsidRPr="0062435A" w:rsidRDefault="008D4EE5" w:rsidP="00A67771">
            <w:pPr>
              <w:pStyle w:val="appendixtabletext0"/>
            </w:pPr>
            <w:r>
              <w:rPr>
                <w:rFonts w:ascii="Tahoma" w:hAnsi="Tahoma" w:cs="Tahoma"/>
                <w:color w:val="000000"/>
              </w:rPr>
              <w:t>InfoPath 2010/2013</w:t>
            </w:r>
          </w:p>
          <w:p w:rsidR="008D4EE5" w:rsidRPr="0062435A" w:rsidRDefault="008D4EE5" w:rsidP="00A67771">
            <w:pPr>
              <w:pStyle w:val="appendixtabletext0"/>
            </w:pPr>
            <w:r>
              <w:rPr>
                <w:rFonts w:ascii="Tahoma" w:hAnsi="Tahoma" w:cs="Tahoma"/>
                <w:color w:val="000000"/>
              </w:rPr>
              <w:t>OneNote 2010/2013</w:t>
            </w:r>
          </w:p>
          <w:p w:rsidR="008D4EE5" w:rsidRPr="0062435A" w:rsidRDefault="008D4EE5" w:rsidP="00A67771">
            <w:pPr>
              <w:pStyle w:val="appendixtabletext0"/>
            </w:pPr>
            <w:r>
              <w:rPr>
                <w:rFonts w:ascii="Tahoma" w:hAnsi="Tahoma" w:cs="Tahoma"/>
                <w:color w:val="000000"/>
              </w:rPr>
              <w:t>Outlook 2010/2013</w:t>
            </w:r>
          </w:p>
          <w:p w:rsidR="008D4EE5" w:rsidRPr="0062435A" w:rsidRDefault="008D4EE5" w:rsidP="00A67771">
            <w:pPr>
              <w:pStyle w:val="appendixtabletext0"/>
            </w:pPr>
            <w:r>
              <w:rPr>
                <w:rFonts w:ascii="Tahoma" w:hAnsi="Tahoma" w:cs="Tahoma"/>
                <w:color w:val="000000"/>
              </w:rPr>
              <w:t>Publisher 2010/2013</w:t>
            </w:r>
          </w:p>
          <w:p w:rsidR="008D4EE5" w:rsidRPr="0062435A" w:rsidRDefault="008D4EE5" w:rsidP="00A67771">
            <w:pPr>
              <w:pStyle w:val="appendixtabletext0"/>
            </w:pPr>
            <w:r>
              <w:rPr>
                <w:rFonts w:ascii="Tahoma" w:hAnsi="Tahoma" w:cs="Tahoma"/>
                <w:color w:val="000000"/>
              </w:rPr>
              <w:t>Word 2010/2013</w:t>
            </w:r>
          </w:p>
          <w:p w:rsidR="008D4EE5" w:rsidRPr="000F76E5" w:rsidRDefault="008D4EE5" w:rsidP="00A67771">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8D4EE5" w:rsidRPr="0062435A" w:rsidRDefault="008D4EE5" w:rsidP="00A67771">
            <w:pPr>
              <w:pStyle w:val="appendixtabletext0"/>
            </w:pPr>
            <w:r>
              <w:rPr>
                <w:rFonts w:ascii="Tahoma" w:hAnsi="Tahoma" w:cs="Tahoma"/>
                <w:color w:val="000000"/>
              </w:rPr>
              <w:t>Office Professional Plus 2013 HUP</w:t>
            </w:r>
          </w:p>
          <w:p w:rsidR="008D4EE5" w:rsidRPr="0062435A" w:rsidRDefault="008D4EE5" w:rsidP="00A67771">
            <w:pPr>
              <w:pStyle w:val="appendixtabletext0"/>
            </w:pPr>
            <w:r>
              <w:rPr>
                <w:rFonts w:ascii="Tahoma" w:hAnsi="Tahoma" w:cs="Tahoma"/>
                <w:color w:val="000000"/>
              </w:rPr>
              <w:t>oder</w:t>
            </w:r>
          </w:p>
          <w:p w:rsidR="008D4EE5" w:rsidRPr="0034219A" w:rsidRDefault="008D4EE5" w:rsidP="000D6765">
            <w:pPr>
              <w:pStyle w:val="appendixtabletext0"/>
              <w:rPr>
                <w:rFonts w:ascii="Tahoma" w:hAnsi="Tahoma" w:cs="Tahoma"/>
                <w:color w:val="000000"/>
              </w:rPr>
            </w:pPr>
            <w:r>
              <w:rPr>
                <w:rFonts w:ascii="Tahoma" w:hAnsi="Tahoma" w:cs="Tahoma"/>
                <w:color w:val="000000"/>
              </w:rPr>
              <w:t>Office für Mac Home &amp; Business 2011</w:t>
            </w:r>
            <w:r w:rsidR="000D6765">
              <w:rPr>
                <w:rFonts w:ascii="Tahoma" w:hAnsi="Tahoma" w:cs="Tahoma"/>
                <w:color w:val="000000"/>
              </w:rPr>
              <w:t> </w:t>
            </w:r>
            <w:r>
              <w:rPr>
                <w:rFonts w:ascii="Tahoma" w:hAnsi="Tahoma" w:cs="Tahoma"/>
                <w:color w:val="000000"/>
              </w:rPr>
              <w:t>HUP</w:t>
            </w:r>
          </w:p>
        </w:tc>
      </w:tr>
      <w:tr w:rsidR="008D4EE5" w:rsidTr="00A677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D4EE5" w:rsidRPr="0062435A" w:rsidRDefault="008D4EE5" w:rsidP="00A67771">
            <w:pPr>
              <w:pStyle w:val="appendixtabletext0"/>
            </w:pPr>
            <w:r>
              <w:rPr>
                <w:rFonts w:ascii="Tahoma" w:hAnsi="Tahoma" w:cs="Tahoma"/>
                <w:color w:val="000000"/>
              </w:rPr>
              <w:t xml:space="preserve">Visio Standard 2010/2013 </w:t>
            </w:r>
          </w:p>
          <w:p w:rsidR="008D4EE5" w:rsidRPr="0062435A" w:rsidRDefault="008D4EE5" w:rsidP="00A67771">
            <w:pPr>
              <w:pStyle w:val="appendixtabletext0"/>
            </w:pPr>
            <w:r>
              <w:rPr>
                <w:rFonts w:ascii="Tahoma" w:hAnsi="Tahoma" w:cs="Tahoma"/>
                <w:color w:val="000000"/>
              </w:rPr>
              <w:t>Visio Professional 2010/2013</w:t>
            </w:r>
            <w:r>
              <w:rPr>
                <w:rFonts w:ascii="Tahoma" w:hAnsi="Tahoma" w:cs="Tahoma"/>
                <w:strike/>
                <w:color w:val="000000"/>
              </w:rPr>
              <w:t xml:space="preserve"> </w:t>
            </w:r>
          </w:p>
          <w:p w:rsidR="008D4EE5" w:rsidRPr="0034219A" w:rsidRDefault="008D4EE5" w:rsidP="00A67771">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8D4EE5" w:rsidRPr="0062435A" w:rsidRDefault="008D4EE5" w:rsidP="00A67771">
            <w:pPr>
              <w:pStyle w:val="appendixtabletext0"/>
            </w:pPr>
            <w:r>
              <w:rPr>
                <w:rFonts w:ascii="Tahoma" w:hAnsi="Tahoma" w:cs="Tahoma"/>
                <w:color w:val="000000"/>
              </w:rPr>
              <w:t>Visio Professional 2013 HUP</w:t>
            </w:r>
          </w:p>
          <w:p w:rsidR="008D4EE5" w:rsidRPr="0034219A" w:rsidRDefault="008D4EE5" w:rsidP="00A67771">
            <w:pPr>
              <w:pStyle w:val="appendixtabletext0"/>
              <w:rPr>
                <w:rFonts w:ascii="Tahoma" w:hAnsi="Tahoma" w:cs="Tahoma"/>
                <w:color w:val="000000"/>
              </w:rPr>
            </w:pPr>
          </w:p>
        </w:tc>
      </w:tr>
      <w:tr w:rsidR="008D4EE5" w:rsidTr="00A677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D4EE5" w:rsidRPr="0062435A" w:rsidRDefault="008D4EE5" w:rsidP="00A67771">
            <w:pPr>
              <w:pStyle w:val="appendixtabletext0"/>
            </w:pPr>
            <w:r>
              <w:rPr>
                <w:rFonts w:ascii="Tahoma" w:hAnsi="Tahoma" w:cs="Tahoma"/>
                <w:color w:val="000000"/>
              </w:rPr>
              <w:t>Project Standard 2010/2013</w:t>
            </w:r>
          </w:p>
          <w:p w:rsidR="008D4EE5" w:rsidRPr="0062435A" w:rsidRDefault="008D4EE5" w:rsidP="00A67771">
            <w:pPr>
              <w:pStyle w:val="appendixtabletext0"/>
            </w:pPr>
            <w:r>
              <w:rPr>
                <w:rFonts w:ascii="Tahoma" w:hAnsi="Tahoma" w:cs="Tahoma"/>
                <w:color w:val="000000"/>
              </w:rPr>
              <w:t>Project Professional 2010/2013</w:t>
            </w:r>
          </w:p>
          <w:p w:rsidR="008D4EE5" w:rsidRDefault="008D4EE5" w:rsidP="00A67771">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8D4EE5" w:rsidRPr="0062435A" w:rsidRDefault="008D4EE5" w:rsidP="00A67771">
            <w:pPr>
              <w:pStyle w:val="appendixtabletext0"/>
            </w:pPr>
            <w:r>
              <w:rPr>
                <w:rFonts w:ascii="Tahoma" w:hAnsi="Tahoma" w:cs="Tahoma"/>
                <w:color w:val="000000"/>
              </w:rPr>
              <w:t>Project Standard 2013 HUP</w:t>
            </w:r>
          </w:p>
          <w:p w:rsidR="008D4EE5" w:rsidRDefault="008D4EE5" w:rsidP="00A67771">
            <w:pPr>
              <w:pStyle w:val="appendixtabletext0"/>
              <w:rPr>
                <w:rFonts w:ascii="Tahoma" w:hAnsi="Tahoma" w:cs="Tahoma"/>
                <w:color w:val="000000"/>
              </w:rPr>
            </w:pPr>
            <w:r>
              <w:rPr>
                <w:rFonts w:ascii="Tahoma" w:hAnsi="Tahoma" w:cs="Tahoma"/>
                <w:color w:val="000000"/>
              </w:rPr>
              <w:t xml:space="preserve"> </w:t>
            </w:r>
          </w:p>
        </w:tc>
      </w:tr>
    </w:tbl>
    <w:p w:rsidR="008D4EE5" w:rsidRPr="002A48C7" w:rsidRDefault="008D4EE5" w:rsidP="008D4EE5">
      <w:pPr>
        <w:pStyle w:val="AppendixBodyText"/>
        <w:ind w:left="630"/>
        <w:rPr>
          <w:lang w:val="de-DE"/>
        </w:rPr>
      </w:pPr>
      <w:r w:rsidRPr="002A48C7">
        <w:rPr>
          <w:rFonts w:ascii="Tahoma" w:hAnsi="Tahoma" w:cs="Tahoma"/>
          <w:b/>
          <w:i/>
          <w:sz w:val="16"/>
          <w:szCs w:val="16"/>
          <w:lang w:val="de-DE"/>
        </w:rPr>
        <w:t>*</w:t>
      </w:r>
      <w:r w:rsidR="000D6765">
        <w:rPr>
          <w:rFonts w:ascii="Tahoma" w:hAnsi="Tahoma" w:cs="Tahoma"/>
          <w:b/>
          <w:i/>
          <w:sz w:val="16"/>
          <w:szCs w:val="16"/>
          <w:lang w:val="de-DE"/>
        </w:rPr>
        <w:t xml:space="preserve"> </w:t>
      </w:r>
      <w:r w:rsidRPr="002A48C7">
        <w:rPr>
          <w:rFonts w:ascii="Tahoma" w:hAnsi="Tahoma" w:cs="Tahoma"/>
          <w:i/>
          <w:sz w:val="16"/>
          <w:szCs w:val="16"/>
          <w:lang w:val="de-DE"/>
        </w:rPr>
        <w:t>Die Verfügbarkeit von Home Use Program-Software hängt von der Region, dem Angebot und der Sprache ab</w:t>
      </w:r>
      <w:r w:rsidR="006257A7">
        <w:rPr>
          <w:rFonts w:ascii="Tahoma" w:hAnsi="Tahoma" w:cs="Tahoma"/>
          <w:i/>
          <w:sz w:val="16"/>
          <w:szCs w:val="16"/>
          <w:lang w:val="de-DE"/>
        </w:rPr>
        <w:t xml:space="preserve">. </w:t>
      </w:r>
    </w:p>
    <w:p w:rsidR="008D4EE5" w:rsidRPr="002A48C7" w:rsidRDefault="008D4EE5" w:rsidP="008D4EE5">
      <w:pPr>
        <w:pStyle w:val="AppendixBodyText"/>
        <w:ind w:left="630"/>
        <w:rPr>
          <w:lang w:val="de-DE"/>
        </w:rPr>
      </w:pPr>
      <w:r w:rsidRPr="002A48C7">
        <w:rPr>
          <w:rFonts w:ascii="Tahoma" w:hAnsi="Tahoma" w:cs="Tahoma"/>
          <w:i/>
          <w:sz w:val="16"/>
          <w:szCs w:val="16"/>
          <w:lang w:val="de-DE"/>
        </w:rPr>
        <w:t xml:space="preserve">Weitere Informationen, einschließlich Informationen zur zukünftigen Verfügbarkeit von zusätzlicher Home Use Program-Software, finden Sie unter </w:t>
      </w:r>
      <w:hyperlink r:id="rId22" w:history="1">
        <w:r w:rsidR="00E869D6" w:rsidRPr="00420E1C">
          <w:rPr>
            <w:rStyle w:val="Hyperlink"/>
            <w:rFonts w:ascii="Tahoma" w:hAnsi="Tahoma" w:cs="Tahoma"/>
            <w:i/>
            <w:sz w:val="16"/>
            <w:szCs w:val="16"/>
            <w:lang w:val="de-DE"/>
          </w:rPr>
          <w:t>http://www.microsoft.com/licensing</w:t>
        </w:r>
      </w:hyperlink>
      <w:r w:rsidR="006257A7">
        <w:rPr>
          <w:rFonts w:ascii="Tahoma" w:hAnsi="Tahoma" w:cs="Tahoma"/>
          <w:i/>
          <w:sz w:val="16"/>
          <w:szCs w:val="16"/>
          <w:lang w:val="de-DE"/>
        </w:rPr>
        <w:t xml:space="preserve">. </w:t>
      </w:r>
    </w:p>
    <w:p w:rsidR="008D4EE5" w:rsidRPr="002A48C7" w:rsidRDefault="008D4EE5" w:rsidP="008D4EE5">
      <w:pPr>
        <w:pStyle w:val="AppendixBodyText"/>
        <w:ind w:left="630"/>
        <w:rPr>
          <w:lang w:val="de-DE"/>
        </w:rPr>
      </w:pPr>
      <w:r w:rsidRPr="002A48C7">
        <w:rPr>
          <w:rFonts w:ascii="Tahoma" w:hAnsi="Tahoma" w:cs="Tahoma"/>
          <w:i/>
          <w:sz w:val="16"/>
          <w:szCs w:val="16"/>
          <w:lang w:val="de-DE"/>
        </w:rPr>
        <w:t>** Hinweis für Kunden mit Campus- und School-Vertrag und Open Value Subscription – Bildungslösungen: Zusätzliche programmspezifische Bestimmungen finden Sie in Ihrem Campus- und School-Vertrag (ab 3</w:t>
      </w:r>
      <w:r w:rsidR="00844B7C">
        <w:rPr>
          <w:rFonts w:ascii="Tahoma" w:hAnsi="Tahoma" w:cs="Tahoma"/>
          <w:i/>
          <w:sz w:val="16"/>
          <w:szCs w:val="16"/>
          <w:lang w:val="de-DE"/>
        </w:rPr>
        <w:t>.</w:t>
      </w:r>
      <w:r w:rsidRPr="002A48C7">
        <w:rPr>
          <w:rFonts w:ascii="Tahoma" w:hAnsi="Tahoma" w:cs="Tahoma"/>
          <w:i/>
          <w:sz w:val="16"/>
          <w:szCs w:val="16"/>
          <w:lang w:val="de-DE"/>
        </w:rPr>
        <w:t>5) oder in Ihrem OVS-ES-Vertrag</w:t>
      </w:r>
      <w:r w:rsidR="006257A7">
        <w:rPr>
          <w:rFonts w:ascii="Tahoma" w:hAnsi="Tahoma" w:cs="Tahoma"/>
          <w:i/>
          <w:sz w:val="16"/>
          <w:szCs w:val="16"/>
          <w:lang w:val="de-DE"/>
        </w:rPr>
        <w:t xml:space="preserve">. </w:t>
      </w:r>
    </w:p>
    <w:p w:rsidR="008D4EE5" w:rsidRPr="002A48C7" w:rsidRDefault="008D4EE5" w:rsidP="008D4EE5">
      <w:pPr>
        <w:ind w:left="630"/>
        <w:rPr>
          <w:lang w:val="de-DE"/>
        </w:rPr>
      </w:pPr>
      <w:r w:rsidRPr="002A48C7">
        <w:rPr>
          <w:rFonts w:cs="Tahoma"/>
          <w:i/>
          <w:sz w:val="16"/>
          <w:szCs w:val="16"/>
          <w:lang w:val="de-DE"/>
        </w:rPr>
        <w:t xml:space="preserve">*** Beachten Sie, dass SharePoint Designer jetzt ein kostenloses Produkt ist, das über folgenden Link heruntergeladen werden kann </w:t>
      </w:r>
      <w:hyperlink r:id="rId23" w:history="1">
        <w:r w:rsidR="00E869D6" w:rsidRPr="00420E1C">
          <w:rPr>
            <w:rStyle w:val="Hyperlink"/>
            <w:rFonts w:cs="Tahoma"/>
            <w:i/>
            <w:sz w:val="16"/>
            <w:szCs w:val="16"/>
            <w:lang w:val="de-DE"/>
          </w:rPr>
          <w:t>http://www.microsoft.com/spd</w:t>
        </w:r>
      </w:hyperlink>
    </w:p>
    <w:p w:rsidR="008D4EE5" w:rsidRPr="002A48C7" w:rsidRDefault="008D4EE5" w:rsidP="008D4EE5">
      <w:pPr>
        <w:outlineLvl w:val="2"/>
        <w:rPr>
          <w:lang w:val="de-DE"/>
        </w:rPr>
      </w:pPr>
      <w:bookmarkStart w:id="740" w:name="_Toc281378922"/>
    </w:p>
    <w:p w:rsidR="008D4EE5" w:rsidRPr="002A48C7" w:rsidRDefault="008D4EE5" w:rsidP="008D4EE5">
      <w:pPr>
        <w:outlineLvl w:val="2"/>
        <w:rPr>
          <w:lang w:val="de-DE"/>
        </w:rPr>
      </w:pPr>
      <w:r w:rsidRPr="002A48C7">
        <w:rPr>
          <w:rFonts w:eastAsia="Calibri" w:cs="Tahoma"/>
          <w:b/>
          <w:bCs/>
          <w:sz w:val="24"/>
          <w:szCs w:val="20"/>
          <w:lang w:val="de-DE"/>
        </w:rPr>
        <w:t>Enterprise Source Licensing Program</w:t>
      </w:r>
      <w:bookmarkEnd w:id="740"/>
      <w:r w:rsidRPr="002A48C7">
        <w:rPr>
          <w:rFonts w:eastAsia="Calibri" w:cs="Tahoma"/>
          <w:b/>
          <w:bCs/>
          <w:sz w:val="24"/>
          <w:szCs w:val="20"/>
          <w:lang w:val="de-DE"/>
        </w:rPr>
        <w:t xml:space="preserve"> </w:t>
      </w:r>
    </w:p>
    <w:p w:rsidR="008D4EE5" w:rsidRPr="002A48C7" w:rsidRDefault="008D4EE5" w:rsidP="008D4EE5">
      <w:pPr>
        <w:outlineLvl w:val="2"/>
        <w:rPr>
          <w:lang w:val="de-DE"/>
        </w:rPr>
      </w:pPr>
    </w:p>
    <w:p w:rsidR="008D4EE5" w:rsidRPr="002A48C7" w:rsidRDefault="008D4EE5" w:rsidP="008D4EE5">
      <w:pPr>
        <w:rPr>
          <w:lang w:val="de-DE"/>
        </w:rPr>
      </w:pPr>
      <w:r w:rsidRPr="002A48C7">
        <w:rPr>
          <w:rFonts w:eastAsia="Calibri" w:cs="Tahoma"/>
          <w:szCs w:val="18"/>
          <w:lang w:val="de-DE"/>
        </w:rPr>
        <w:t>Kunden mit einer Mitgliedschaft bei Software Assurance und mindestens 1</w:t>
      </w:r>
      <w:r w:rsidR="00844B7C">
        <w:rPr>
          <w:rFonts w:eastAsia="Calibri" w:cs="Tahoma"/>
          <w:szCs w:val="18"/>
          <w:lang w:val="de-DE"/>
        </w:rPr>
        <w:t>.</w:t>
      </w:r>
      <w:r w:rsidRPr="002A48C7">
        <w:rPr>
          <w:rFonts w:eastAsia="Calibri" w:cs="Tahoma"/>
          <w:szCs w:val="18"/>
          <w:lang w:val="de-DE"/>
        </w:rPr>
        <w:t>500 lizenzierten Desktops im System-Pool sind berechtigt, während der Software Assurance-Laufzeit am Enterprise Source Licensing Program (ESLP) teilzunehmen</w:t>
      </w:r>
      <w:r w:rsidR="006257A7">
        <w:rPr>
          <w:rFonts w:eastAsia="Calibri" w:cs="Tahoma"/>
          <w:szCs w:val="18"/>
          <w:lang w:val="de-DE"/>
        </w:rPr>
        <w:t xml:space="preserve">. </w:t>
      </w:r>
      <w:r w:rsidRPr="002A48C7">
        <w:rPr>
          <w:rFonts w:eastAsia="Calibri" w:cs="Tahoma"/>
          <w:szCs w:val="18"/>
          <w:lang w:val="de-DE"/>
        </w:rPr>
        <w:t>ESLP gewährt Zugriff auf den Microsoft Windows-Quellcode für interne Entwicklung und internen Support</w:t>
      </w:r>
      <w:r w:rsidR="006257A7">
        <w:rPr>
          <w:rFonts w:eastAsia="Calibri" w:cs="Tahoma"/>
          <w:szCs w:val="18"/>
          <w:lang w:val="de-DE"/>
        </w:rPr>
        <w:t xml:space="preserve">. </w:t>
      </w:r>
      <w:r w:rsidRPr="002A48C7">
        <w:rPr>
          <w:rFonts w:eastAsia="Calibri" w:cs="Tahoma"/>
          <w:szCs w:val="18"/>
          <w:lang w:val="de-DE"/>
        </w:rPr>
        <w:t>ESLP steht nicht in allen Ländern zur Verfügung, und die Vergünstigung wird pro Vertrag/Beitritt gewährt</w:t>
      </w:r>
      <w:r w:rsidR="006257A7">
        <w:rPr>
          <w:rFonts w:eastAsia="Calibri" w:cs="Tahoma"/>
          <w:szCs w:val="18"/>
          <w:lang w:val="de-DE"/>
        </w:rPr>
        <w:t xml:space="preserve">. </w:t>
      </w:r>
    </w:p>
    <w:p w:rsidR="008D4EE5" w:rsidRPr="002A48C7" w:rsidRDefault="008D4EE5" w:rsidP="008D4EE5">
      <w:pPr>
        <w:rPr>
          <w:lang w:val="de-DE"/>
        </w:rPr>
      </w:pPr>
    </w:p>
    <w:p w:rsidR="008D4EE5" w:rsidRPr="002A48C7" w:rsidRDefault="008D4EE5" w:rsidP="000D6765">
      <w:pPr>
        <w:rPr>
          <w:lang w:val="de-DE"/>
        </w:rPr>
      </w:pPr>
      <w:r w:rsidRPr="002A48C7">
        <w:rPr>
          <w:rFonts w:eastAsia="Calibri" w:cs="Tahoma"/>
          <w:szCs w:val="18"/>
          <w:lang w:val="de-DE"/>
        </w:rPr>
        <w:t>Das Registrierungsformular kann vom Center für Volumenlizenz-Services (VLSC) heruntergeladen werden</w:t>
      </w:r>
      <w:r w:rsidR="006257A7">
        <w:rPr>
          <w:rFonts w:eastAsia="Calibri" w:cs="Tahoma"/>
          <w:szCs w:val="18"/>
          <w:lang w:val="de-DE"/>
        </w:rPr>
        <w:t xml:space="preserve">. </w:t>
      </w:r>
      <w:r w:rsidRPr="002A48C7">
        <w:rPr>
          <w:rFonts w:eastAsia="Calibri" w:cs="Tahoma"/>
          <w:szCs w:val="18"/>
          <w:lang w:val="de-DE"/>
        </w:rPr>
        <w:t>Die</w:t>
      </w:r>
      <w:r w:rsidR="000D6765">
        <w:rPr>
          <w:rFonts w:eastAsia="Calibri" w:cs="Tahoma"/>
          <w:szCs w:val="18"/>
          <w:lang w:val="de-DE"/>
        </w:rPr>
        <w:t> </w:t>
      </w:r>
      <w:r w:rsidRPr="002A48C7">
        <w:rPr>
          <w:rFonts w:eastAsia="Calibri" w:cs="Tahoma"/>
          <w:szCs w:val="18"/>
          <w:lang w:val="de-DE"/>
        </w:rPr>
        <w:t>Teilnahmeberechtigung und die Verfügbarkeitsbereiche unterliegen den Bestimmungen von Microsoft (weitere</w:t>
      </w:r>
      <w:r w:rsidR="000D6765">
        <w:rPr>
          <w:rFonts w:eastAsia="Calibri" w:cs="Tahoma"/>
          <w:szCs w:val="18"/>
          <w:lang w:val="de-DE"/>
        </w:rPr>
        <w:t> </w:t>
      </w:r>
      <w:r w:rsidRPr="002A48C7">
        <w:rPr>
          <w:rFonts w:eastAsia="Calibri" w:cs="Tahoma"/>
          <w:szCs w:val="18"/>
          <w:lang w:val="de-DE"/>
        </w:rPr>
        <w:t xml:space="preserve">Informationen finden Sie unter </w:t>
      </w:r>
      <w:hyperlink r:id="rId24" w:history="1">
        <w:r w:rsidR="00E869D6" w:rsidRPr="00420E1C">
          <w:rPr>
            <w:rStyle w:val="Hyperlink"/>
            <w:rFonts w:eastAsia="Calibri" w:cs="Tahoma"/>
            <w:szCs w:val="18"/>
            <w:lang w:val="de-DE"/>
          </w:rPr>
          <w:t>www.microsoft.com/resources/sharedsource/Licensing/Enterprise.mspx</w:t>
        </w:r>
      </w:hyperlink>
      <w:r w:rsidRPr="002A48C7">
        <w:rPr>
          <w:rFonts w:eastAsia="Calibri" w:cs="Tahoma"/>
          <w:szCs w:val="18"/>
          <w:lang w:val="de-DE"/>
        </w:rPr>
        <w:t>)</w:t>
      </w:r>
      <w:r w:rsidR="006257A7">
        <w:rPr>
          <w:rFonts w:eastAsia="Calibri" w:cs="Tahoma"/>
          <w:szCs w:val="18"/>
          <w:lang w:val="de-DE"/>
        </w:rPr>
        <w:t xml:space="preserve">. </w:t>
      </w:r>
      <w:r w:rsidRPr="002A48C7">
        <w:rPr>
          <w:rFonts w:eastAsia="Calibri" w:cs="Tahoma"/>
          <w:szCs w:val="18"/>
          <w:lang w:val="de-DE"/>
        </w:rPr>
        <w:t>Programme für Forschung &amp; Lehre sind zur Teilnahme am Microsoft Research Source Licensing Program berechtigt</w:t>
      </w:r>
      <w:r w:rsidR="006257A7">
        <w:rPr>
          <w:rFonts w:eastAsia="Calibri" w:cs="Tahoma"/>
          <w:szCs w:val="18"/>
          <w:lang w:val="de-DE"/>
        </w:rPr>
        <w:t xml:space="preserve">. </w:t>
      </w:r>
    </w:p>
    <w:p w:rsidR="008D4EE5" w:rsidRPr="002A48C7" w:rsidRDefault="008D4EE5" w:rsidP="008D4EE5">
      <w:pPr>
        <w:pStyle w:val="Heading3"/>
        <w:rPr>
          <w:lang w:val="de-DE"/>
        </w:rPr>
      </w:pPr>
    </w:p>
    <w:p w:rsidR="008D4EE5" w:rsidRPr="002A48C7" w:rsidRDefault="008D4EE5" w:rsidP="008D4EE5">
      <w:pPr>
        <w:pStyle w:val="Heading3"/>
        <w:rPr>
          <w:lang w:val="de-DE"/>
        </w:rPr>
      </w:pPr>
      <w:bookmarkStart w:id="741" w:name="_Toc336338236"/>
      <w:bookmarkStart w:id="742" w:name="_Toc363998974"/>
      <w:r w:rsidRPr="002A48C7">
        <w:rPr>
          <w:rFonts w:ascii="Tahoma" w:hAnsi="Tahoma" w:cs="Tahoma"/>
          <w:sz w:val="24"/>
          <w:lang w:val="de-DE"/>
        </w:rPr>
        <w:t>24x7 Problembehebungssupport</w:t>
      </w:r>
      <w:bookmarkEnd w:id="741"/>
      <w:bookmarkEnd w:id="742"/>
    </w:p>
    <w:p w:rsidR="008D4EE5" w:rsidRPr="002A48C7" w:rsidRDefault="008D4EE5" w:rsidP="008D4EE5">
      <w:pPr>
        <w:rPr>
          <w:lang w:val="de-DE"/>
        </w:rPr>
      </w:pPr>
    </w:p>
    <w:p w:rsidR="008D4EE5" w:rsidRPr="002A48C7" w:rsidRDefault="008D4EE5" w:rsidP="000D6765">
      <w:pPr>
        <w:rPr>
          <w:lang w:val="de-DE"/>
        </w:rPr>
      </w:pPr>
      <w:r w:rsidRPr="002A48C7">
        <w:rPr>
          <w:rFonts w:cs="Tahoma"/>
          <w:szCs w:val="18"/>
          <w:lang w:val="de-DE"/>
        </w:rPr>
        <w:t>Kunden (mit Ausnahme von Kunden mit Select-Lizenz für Forschung &amp; Lehre, Select Plus-Vertrag für Forschung &amp;</w:t>
      </w:r>
      <w:r w:rsidR="000D6765">
        <w:rPr>
          <w:rFonts w:cs="Tahoma"/>
          <w:szCs w:val="18"/>
          <w:lang w:val="de-DE"/>
        </w:rPr>
        <w:t> </w:t>
      </w:r>
      <w:r w:rsidRPr="002A48C7">
        <w:rPr>
          <w:rFonts w:cs="Tahoma"/>
          <w:szCs w:val="18"/>
          <w:lang w:val="de-DE"/>
        </w:rPr>
        <w:t>Lehre, Open-Lizenz für Forschung &amp; Lehre, Campus- und School-Verträgen, Open Value Subscription – Bildungslösungen) mit Software Assurance sind während der Software Assurance-Laufzeit zum 24x7-Problembehebungssupport berechtigt</w:t>
      </w:r>
      <w:r w:rsidR="006257A7">
        <w:rPr>
          <w:rFonts w:cs="Tahoma"/>
          <w:szCs w:val="18"/>
          <w:lang w:val="de-DE"/>
        </w:rPr>
        <w:t xml:space="preserve">. </w:t>
      </w:r>
    </w:p>
    <w:p w:rsidR="008D4EE5" w:rsidRPr="002A48C7" w:rsidRDefault="008D4EE5" w:rsidP="008D4EE5">
      <w:pPr>
        <w:pStyle w:val="AppendixBodyText"/>
        <w:spacing w:after="0"/>
        <w:rPr>
          <w:lang w:val="de-DE"/>
        </w:rPr>
      </w:pPr>
    </w:p>
    <w:p w:rsidR="008D4EE5" w:rsidRPr="002A48C7" w:rsidRDefault="008D4EE5" w:rsidP="008D4EE5">
      <w:pPr>
        <w:pStyle w:val="AppendixBodyText"/>
        <w:spacing w:after="0"/>
        <w:rPr>
          <w:lang w:val="de-DE"/>
        </w:rPr>
      </w:pPr>
      <w:r w:rsidRPr="002A48C7">
        <w:rPr>
          <w:rFonts w:ascii="Tahoma" w:hAnsi="Tahoma" w:cs="Tahoma"/>
          <w:sz w:val="18"/>
          <w:szCs w:val="18"/>
          <w:lang w:val="de-DE"/>
        </w:rPr>
        <w:t>24x7-Problembehebungssupport bietet Unterstützung für Probleme mit bestimmten Symptomen, die bei der Verwendung von Microsoft-Produkten aufgetreten sind, wenn eine vernünftige Erwartung besteht, dass die Probleme von Microsoft-Produkten verursacht werden</w:t>
      </w:r>
      <w:r w:rsidR="006257A7">
        <w:rPr>
          <w:rFonts w:ascii="Tahoma" w:hAnsi="Tahoma" w:cs="Tahoma"/>
          <w:sz w:val="18"/>
          <w:szCs w:val="18"/>
          <w:lang w:val="de-DE"/>
        </w:rPr>
        <w:t xml:space="preserve">. </w:t>
      </w:r>
      <w:r w:rsidRPr="002A48C7">
        <w:rPr>
          <w:rFonts w:ascii="Tahoma" w:hAnsi="Tahoma" w:cs="Tahoma"/>
          <w:sz w:val="18"/>
          <w:szCs w:val="18"/>
          <w:lang w:val="de-DE"/>
        </w:rPr>
        <w:t>Microsoft wird angemessene Maßnahmen zur Unterstützung der Kunden mit Supportbedarf ergreifen, die den Microsoft-Produktsupportrichtlinien entsprechen</w:t>
      </w:r>
      <w:r w:rsidR="006257A7">
        <w:rPr>
          <w:rFonts w:ascii="Tahoma" w:hAnsi="Tahoma" w:cs="Tahoma"/>
          <w:sz w:val="18"/>
          <w:szCs w:val="18"/>
          <w:lang w:val="de-DE"/>
        </w:rPr>
        <w:t xml:space="preserve">. </w:t>
      </w:r>
      <w:r w:rsidRPr="002A48C7">
        <w:rPr>
          <w:rFonts w:ascii="Tahoma" w:hAnsi="Tahoma" w:cs="Tahoma"/>
          <w:sz w:val="18"/>
          <w:szCs w:val="18"/>
          <w:lang w:val="de-DE"/>
        </w:rPr>
        <w:t>Microsoft behält sich das Recht vor, unangemessene Forderungen nach Supportservices abzulehnen und Kunden jederzeit auf einen zusätzlichen Servicelevel-Vertrag zu verweisen, in dessen Rahmen zusätzliche Kosten anfallen können</w:t>
      </w:r>
      <w:r w:rsidR="006257A7">
        <w:rPr>
          <w:rFonts w:ascii="Tahoma" w:hAnsi="Tahoma" w:cs="Tahoma"/>
          <w:sz w:val="18"/>
          <w:szCs w:val="18"/>
          <w:lang w:val="de-DE"/>
        </w:rPr>
        <w:t xml:space="preserve">. </w:t>
      </w:r>
    </w:p>
    <w:p w:rsidR="008D4EE5" w:rsidRPr="002A48C7" w:rsidRDefault="008D4EE5" w:rsidP="000D6765">
      <w:pPr>
        <w:pStyle w:val="AppendixBodyText"/>
        <w:spacing w:after="0"/>
        <w:rPr>
          <w:lang w:val="de-DE"/>
        </w:rPr>
      </w:pPr>
      <w:r w:rsidRPr="002A48C7">
        <w:rPr>
          <w:rFonts w:ascii="Tahoma" w:hAnsi="Tahoma" w:cs="Tahoma"/>
          <w:sz w:val="18"/>
          <w:szCs w:val="18"/>
          <w:lang w:val="de-DE"/>
        </w:rPr>
        <w:t>Microsoft kann Support auf neue Produkte ausdehnen oder Support für bestehende Produkte einstellen</w:t>
      </w:r>
      <w:r w:rsidR="006257A7">
        <w:rPr>
          <w:rFonts w:ascii="Tahoma" w:hAnsi="Tahoma" w:cs="Tahoma"/>
          <w:sz w:val="18"/>
          <w:szCs w:val="18"/>
          <w:lang w:val="de-DE"/>
        </w:rPr>
        <w:t xml:space="preserve">. </w:t>
      </w:r>
      <w:r w:rsidRPr="002A48C7">
        <w:rPr>
          <w:rFonts w:ascii="Tahoma" w:hAnsi="Tahoma" w:cs="Tahoma"/>
          <w:sz w:val="18"/>
          <w:szCs w:val="18"/>
          <w:lang w:val="de-DE"/>
        </w:rPr>
        <w:t>Möglicherweise kann für eine Implementierung von Microsoft-Produkten durch den Kunden nicht effektiv Support geleistet werden</w:t>
      </w:r>
      <w:r w:rsidR="006257A7">
        <w:rPr>
          <w:rFonts w:ascii="Tahoma" w:hAnsi="Tahoma" w:cs="Tahoma"/>
          <w:sz w:val="18"/>
          <w:szCs w:val="18"/>
          <w:lang w:val="de-DE"/>
        </w:rPr>
        <w:t xml:space="preserve">. </w:t>
      </w:r>
      <w:r w:rsidRPr="002A48C7">
        <w:rPr>
          <w:rFonts w:ascii="Tahoma" w:hAnsi="Tahoma" w:cs="Tahoma"/>
          <w:sz w:val="18"/>
          <w:szCs w:val="18"/>
          <w:lang w:val="de-DE"/>
        </w:rPr>
        <w:t>Im Rahmen der Erbringung von Supportservices wird Microsoft den Kunden davon unterrichten, falls Microsoft zu diesem Ergebnis gelangen sollte</w:t>
      </w:r>
      <w:r w:rsidR="006257A7">
        <w:rPr>
          <w:rFonts w:ascii="Tahoma" w:hAnsi="Tahoma" w:cs="Tahoma"/>
          <w:sz w:val="18"/>
          <w:szCs w:val="18"/>
          <w:lang w:val="de-DE"/>
        </w:rPr>
        <w:t xml:space="preserve">. </w:t>
      </w:r>
      <w:r w:rsidRPr="002A48C7">
        <w:rPr>
          <w:rFonts w:ascii="Tahoma" w:hAnsi="Tahoma" w:cs="Tahoma"/>
          <w:sz w:val="18"/>
          <w:szCs w:val="18"/>
          <w:lang w:val="de-DE"/>
        </w:rPr>
        <w:t>Sofern der Kunde die Implementierung nicht innerhalb von 30</w:t>
      </w:r>
      <w:r w:rsidR="000D6765">
        <w:rPr>
          <w:rFonts w:ascii="Tahoma" w:hAnsi="Tahoma" w:cs="Tahoma"/>
          <w:sz w:val="18"/>
          <w:szCs w:val="18"/>
          <w:lang w:val="de-DE"/>
        </w:rPr>
        <w:t> </w:t>
      </w:r>
      <w:r w:rsidRPr="002A48C7">
        <w:rPr>
          <w:rFonts w:ascii="Tahoma" w:hAnsi="Tahoma" w:cs="Tahoma"/>
          <w:sz w:val="18"/>
          <w:szCs w:val="18"/>
          <w:lang w:val="de-DE"/>
        </w:rPr>
        <w:t>Kalendertagen nach dem Hinweis von Microsoft so ändert, dass es möglich ist, für sie effektiv Support zu leisten, ist Microsoft nicht zur Erbringung von zusätzlichen Supportservices für diese Implementierung verpflichtet</w:t>
      </w:r>
      <w:r w:rsidR="006257A7">
        <w:rPr>
          <w:rFonts w:ascii="Tahoma" w:hAnsi="Tahoma" w:cs="Tahoma"/>
          <w:sz w:val="18"/>
          <w:szCs w:val="18"/>
          <w:lang w:val="de-DE"/>
        </w:rPr>
        <w:t xml:space="preserve">. </w:t>
      </w:r>
      <w:r w:rsidRPr="002A48C7">
        <w:rPr>
          <w:rFonts w:ascii="Tahoma" w:hAnsi="Tahoma" w:cs="Tahoma"/>
          <w:sz w:val="18"/>
          <w:szCs w:val="18"/>
          <w:lang w:val="de-DE"/>
        </w:rPr>
        <w:t>Microsoft wird jedoch weiterhin Support für die supportfähigen Implementierungen des Kunden, die Gegenstand dieser Bestimmungen sind, erbringen</w:t>
      </w:r>
      <w:r w:rsidR="006257A7">
        <w:rPr>
          <w:rFonts w:ascii="Tahoma" w:hAnsi="Tahoma" w:cs="Tahoma"/>
          <w:sz w:val="18"/>
          <w:szCs w:val="18"/>
          <w:lang w:val="de-DE"/>
        </w:rPr>
        <w:t xml:space="preserve">. </w:t>
      </w:r>
    </w:p>
    <w:p w:rsidR="008D4EE5" w:rsidRPr="000D6765" w:rsidRDefault="008D4EE5" w:rsidP="000D6765">
      <w:pPr>
        <w:pStyle w:val="AppendixBodyText"/>
        <w:spacing w:after="0" w:line="216" w:lineRule="auto"/>
        <w:rPr>
          <w:sz w:val="18"/>
          <w:szCs w:val="18"/>
          <w:lang w:val="de-DE"/>
        </w:rPr>
      </w:pPr>
    </w:p>
    <w:p w:rsidR="008D4EE5" w:rsidRPr="002A48C7" w:rsidRDefault="008D4EE5" w:rsidP="000D6765">
      <w:pPr>
        <w:pStyle w:val="AppendixBodyText"/>
        <w:spacing w:after="0"/>
        <w:rPr>
          <w:lang w:val="de-DE"/>
        </w:rPr>
      </w:pPr>
      <w:r w:rsidRPr="002A48C7">
        <w:rPr>
          <w:rFonts w:ascii="Tahoma" w:hAnsi="Tahoma" w:cs="Tahoma"/>
          <w:sz w:val="18"/>
          <w:szCs w:val="18"/>
          <w:lang w:val="de-DE"/>
        </w:rPr>
        <w:t>Eine unterstützte Break-Fix-Supportanfrage, auch als Fall bezeichnet, wird als ein einzelnes Supportproblem und die</w:t>
      </w:r>
      <w:r w:rsidR="000D6765">
        <w:rPr>
          <w:rFonts w:ascii="Tahoma" w:hAnsi="Tahoma" w:cs="Tahoma"/>
          <w:sz w:val="18"/>
          <w:szCs w:val="18"/>
          <w:lang w:val="de-DE"/>
        </w:rPr>
        <w:t> </w:t>
      </w:r>
      <w:r w:rsidRPr="002A48C7">
        <w:rPr>
          <w:rFonts w:ascii="Tahoma" w:hAnsi="Tahoma" w:cs="Tahoma"/>
          <w:sz w:val="18"/>
          <w:szCs w:val="18"/>
          <w:lang w:val="de-DE"/>
        </w:rPr>
        <w:t>angemessenen Bemühungen zu seiner Behebung definiert</w:t>
      </w:r>
      <w:r w:rsidR="006257A7">
        <w:rPr>
          <w:rFonts w:ascii="Tahoma" w:hAnsi="Tahoma" w:cs="Tahoma"/>
          <w:sz w:val="18"/>
          <w:szCs w:val="18"/>
          <w:lang w:val="de-DE"/>
        </w:rPr>
        <w:t xml:space="preserve">. </w:t>
      </w:r>
      <w:r w:rsidRPr="002A48C7">
        <w:rPr>
          <w:rFonts w:ascii="Tahoma" w:hAnsi="Tahoma" w:cs="Tahoma"/>
          <w:sz w:val="18"/>
          <w:szCs w:val="18"/>
          <w:lang w:val="de-DE"/>
        </w:rPr>
        <w:t>Ein einzelnes Supportproblem ist ein Problem, das nicht in untergeordnete Probleme aufgeteilt werden kann</w:t>
      </w:r>
      <w:r w:rsidR="006257A7">
        <w:rPr>
          <w:rFonts w:ascii="Tahoma" w:hAnsi="Tahoma" w:cs="Tahoma"/>
          <w:sz w:val="18"/>
          <w:szCs w:val="18"/>
          <w:lang w:val="de-DE"/>
        </w:rPr>
        <w:t xml:space="preserve">. </w:t>
      </w:r>
      <w:r w:rsidRPr="002A48C7">
        <w:rPr>
          <w:rFonts w:ascii="Tahoma" w:hAnsi="Tahoma" w:cs="Tahoma"/>
          <w:sz w:val="18"/>
          <w:szCs w:val="18"/>
          <w:lang w:val="de-DE"/>
        </w:rPr>
        <w:t>Wenn ein Problem aus untergeordneten Problemen besteht, wird jedes von ihnen als separater Fall betrachtet</w:t>
      </w:r>
      <w:r w:rsidR="006257A7">
        <w:rPr>
          <w:rFonts w:ascii="Tahoma" w:hAnsi="Tahoma" w:cs="Tahoma"/>
          <w:sz w:val="18"/>
          <w:szCs w:val="18"/>
          <w:lang w:val="de-DE"/>
        </w:rPr>
        <w:t xml:space="preserve">. </w:t>
      </w:r>
      <w:r w:rsidRPr="002A48C7">
        <w:rPr>
          <w:rFonts w:ascii="Tahoma" w:hAnsi="Tahoma" w:cs="Tahoma"/>
          <w:sz w:val="18"/>
          <w:szCs w:val="18"/>
          <w:lang w:val="de-DE"/>
        </w:rP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6257A7">
        <w:rPr>
          <w:rFonts w:ascii="Tahoma" w:hAnsi="Tahoma" w:cs="Tahoma"/>
          <w:sz w:val="18"/>
          <w:szCs w:val="18"/>
          <w:lang w:val="de-DE"/>
        </w:rPr>
        <w:t xml:space="preserve">. </w:t>
      </w:r>
      <w:r w:rsidRPr="002A48C7">
        <w:rPr>
          <w:rFonts w:ascii="Tahoma" w:hAnsi="Tahoma" w:cs="Tahoma"/>
          <w:sz w:val="18"/>
          <w:szCs w:val="18"/>
          <w:lang w:val="de-DE"/>
        </w:rPr>
        <w:t>Hotfixes sind dazu gedacht, bestimmte Probleme der Kunden zu beheben, und wurden keinen Regressionstests unterzogen</w:t>
      </w:r>
      <w:r w:rsidR="006257A7">
        <w:rPr>
          <w:rFonts w:ascii="Tahoma" w:hAnsi="Tahoma" w:cs="Tahoma"/>
          <w:sz w:val="18"/>
          <w:szCs w:val="18"/>
          <w:lang w:val="de-DE"/>
        </w:rPr>
        <w:t xml:space="preserve">. </w:t>
      </w:r>
      <w:r w:rsidRPr="002A48C7">
        <w:rPr>
          <w:rFonts w:ascii="Tahoma" w:hAnsi="Tahoma" w:cs="Tahoma"/>
          <w:sz w:val="18"/>
          <w:szCs w:val="18"/>
          <w:lang w:val="de-DE"/>
        </w:rPr>
        <w:t>Sofern hierin nichts anderes bestimmt ist, dürfen Hotfixes ohne ausdrückliche schriftliche Zustimmung von Microsoft nicht an nicht verbundene Dritte vertrieben werden</w:t>
      </w:r>
      <w:r w:rsidR="006257A7">
        <w:rPr>
          <w:rFonts w:ascii="Tahoma" w:hAnsi="Tahoma" w:cs="Tahoma"/>
          <w:sz w:val="18"/>
          <w:szCs w:val="18"/>
          <w:lang w:val="de-DE"/>
        </w:rPr>
        <w:t xml:space="preserve">. </w:t>
      </w:r>
    </w:p>
    <w:p w:rsidR="008D4EE5" w:rsidRPr="000D6765" w:rsidRDefault="008D4EE5" w:rsidP="000D6765">
      <w:pPr>
        <w:pStyle w:val="AppendixBodyText"/>
        <w:spacing w:after="0" w:line="216" w:lineRule="auto"/>
        <w:rPr>
          <w:sz w:val="18"/>
          <w:szCs w:val="18"/>
          <w:lang w:val="de-DE"/>
        </w:rPr>
      </w:pPr>
    </w:p>
    <w:p w:rsidR="008D4EE5" w:rsidRPr="002A48C7" w:rsidRDefault="008D4EE5" w:rsidP="000D6765">
      <w:pPr>
        <w:pStyle w:val="AppendixBodyText"/>
        <w:spacing w:after="0"/>
        <w:rPr>
          <w:lang w:val="de-DE"/>
        </w:rPr>
      </w:pPr>
      <w:r w:rsidRPr="002A48C7">
        <w:rPr>
          <w:rFonts w:ascii="Tahoma" w:hAnsi="Tahoma" w:cs="Tahoma"/>
          <w:sz w:val="18"/>
          <w:szCs w:val="18"/>
          <w:lang w:val="de-DE"/>
        </w:rPr>
        <w:t xml:space="preserve">Produkte, die über Volumenlizenzierung erhältlich sind und für die derzeit wie in </w:t>
      </w:r>
      <w:hyperlink r:id="rId25" w:history="1">
        <w:r w:rsidRPr="002A48C7">
          <w:rPr>
            <w:rStyle w:val="Hyperlink"/>
            <w:rFonts w:ascii="Tahoma" w:hAnsi="Tahoma" w:cs="Tahoma"/>
            <w:sz w:val="18"/>
            <w:szCs w:val="18"/>
            <w:lang w:val="de-DE"/>
          </w:rPr>
          <w:t>Microsoft's Support Lifecycle Policy</w:t>
        </w:r>
      </w:hyperlink>
      <w:r w:rsidRPr="002A48C7">
        <w:rPr>
          <w:rFonts w:ascii="Tahoma" w:hAnsi="Tahoma" w:cs="Tahoma"/>
          <w:sz w:val="18"/>
          <w:szCs w:val="18"/>
          <w:lang w:val="de-DE"/>
        </w:rPr>
        <w:t xml:space="preserve"> </w:t>
      </w:r>
      <w:r w:rsidRPr="002A48C7">
        <w:rPr>
          <w:rFonts w:ascii="Tahoma" w:hAnsi="Tahoma" w:cs="Tahoma"/>
          <w:color w:val="000000"/>
          <w:sz w:val="18"/>
          <w:szCs w:val="18"/>
          <w:lang w:val="de-DE"/>
        </w:rPr>
        <w:t>aufgeführt Mainstream-Support geleistet wird, sind mit einer Berechtigung zu 24x7-Problembehebungssupport verbunden</w:t>
      </w:r>
      <w:r w:rsidR="006257A7">
        <w:rPr>
          <w:rFonts w:ascii="Tahoma" w:hAnsi="Tahoma" w:cs="Tahoma"/>
          <w:color w:val="000000"/>
          <w:sz w:val="18"/>
          <w:szCs w:val="18"/>
          <w:lang w:val="de-DE"/>
        </w:rPr>
        <w:t xml:space="preserve">. </w:t>
      </w:r>
      <w:r w:rsidRPr="002A48C7">
        <w:rPr>
          <w:rFonts w:ascii="Tahoma" w:hAnsi="Tahoma" w:cs="Tahoma"/>
          <w:color w:val="000000"/>
          <w:sz w:val="18"/>
          <w:szCs w:val="18"/>
          <w:lang w:val="de-DE"/>
        </w:rPr>
        <w:t>Die Berechtigung zu telefonischem Support für ein Produkt ist an die Verfügbarkeit des Software Assurance-Angebots für dieses Produkt gebunden</w:t>
      </w:r>
      <w:r w:rsidR="006257A7">
        <w:rPr>
          <w:rFonts w:ascii="Tahoma" w:hAnsi="Tahoma" w:cs="Tahoma"/>
          <w:color w:val="000000"/>
          <w:sz w:val="18"/>
          <w:szCs w:val="18"/>
          <w:lang w:val="de-DE"/>
        </w:rPr>
        <w:t xml:space="preserve">. </w:t>
      </w:r>
      <w:r w:rsidRPr="002A48C7">
        <w:rPr>
          <w:rFonts w:ascii="Tahoma" w:hAnsi="Tahoma" w:cs="Tahoma"/>
          <w:color w:val="000000"/>
          <w:sz w:val="18"/>
          <w:szCs w:val="18"/>
          <w:lang w:val="de-DE"/>
        </w:rPr>
        <w:t>Bei Produkten, für die keine Software Assurance-Option für den</w:t>
      </w:r>
      <w:r w:rsidR="000D6765">
        <w:rPr>
          <w:rFonts w:ascii="Tahoma" w:hAnsi="Tahoma" w:cs="Tahoma"/>
          <w:color w:val="000000"/>
          <w:sz w:val="18"/>
          <w:szCs w:val="18"/>
          <w:lang w:val="de-DE"/>
        </w:rPr>
        <w:t> </w:t>
      </w:r>
      <w:r w:rsidRPr="002A48C7">
        <w:rPr>
          <w:rFonts w:ascii="Tahoma" w:hAnsi="Tahoma" w:cs="Tahoma"/>
          <w:color w:val="000000"/>
          <w:sz w:val="18"/>
          <w:szCs w:val="18"/>
          <w:lang w:val="de-DE"/>
        </w:rPr>
        <w:t>Server, sondern für die CALs zur Verfügung steht, zählt die auf ihre CALs angewendete SA für Anfragen, die für</w:t>
      </w:r>
      <w:r w:rsidR="000D6765">
        <w:rPr>
          <w:rFonts w:ascii="Tahoma" w:hAnsi="Tahoma" w:cs="Tahoma"/>
          <w:color w:val="000000"/>
          <w:sz w:val="18"/>
          <w:szCs w:val="18"/>
          <w:lang w:val="de-DE"/>
        </w:rPr>
        <w:t> </w:t>
      </w:r>
      <w:r w:rsidRPr="002A48C7">
        <w:rPr>
          <w:rFonts w:ascii="Tahoma" w:hAnsi="Tahoma" w:cs="Tahoma"/>
          <w:color w:val="000000"/>
          <w:sz w:val="18"/>
          <w:szCs w:val="18"/>
          <w:lang w:val="de-DE"/>
        </w:rPr>
        <w:t>andere berechtigte Produkte zu verwenden sind, wie nachstehend im Abschnitt „Gewährung von telefonischen Supportanfragen“ beschrieben</w:t>
      </w:r>
      <w:r w:rsidR="006257A7">
        <w:rPr>
          <w:rFonts w:ascii="Tahoma" w:hAnsi="Tahoma" w:cs="Tahoma"/>
          <w:color w:val="000000"/>
          <w:sz w:val="18"/>
          <w:szCs w:val="18"/>
          <w:lang w:val="de-DE"/>
        </w:rPr>
        <w:t xml:space="preserve">. </w:t>
      </w:r>
      <w:r w:rsidRPr="002A48C7">
        <w:rPr>
          <w:rFonts w:ascii="Tahoma" w:hAnsi="Tahoma" w:cs="Tahoma"/>
          <w:color w:val="000000"/>
          <w:sz w:val="18"/>
          <w:szCs w:val="18"/>
          <w:lang w:val="de-DE"/>
        </w:rPr>
        <w:t>Mehr Informationen über die Service- und Supportrichtlinien finden Sie im jeweiligen Abschnitt für dieses Produkt in diesem Dokument</w:t>
      </w:r>
      <w:r w:rsidR="006257A7">
        <w:rPr>
          <w:rFonts w:ascii="Tahoma" w:hAnsi="Tahoma" w:cs="Tahoma"/>
          <w:color w:val="000000"/>
          <w:sz w:val="18"/>
          <w:szCs w:val="18"/>
          <w:lang w:val="de-DE"/>
        </w:rPr>
        <w:t xml:space="preserve">. </w:t>
      </w:r>
      <w:r w:rsidRPr="002A48C7">
        <w:rPr>
          <w:rFonts w:ascii="Tahoma" w:hAnsi="Tahoma" w:cs="Tahoma"/>
          <w:color w:val="000000"/>
          <w:sz w:val="18"/>
          <w:szCs w:val="18"/>
          <w:lang w:val="de-DE"/>
        </w:rPr>
        <w:t>Frühere Versionen des Produktes, für die derzeit Mainstream-Support geleistet wird und die die Kunden anstelle der aktuell lizenzierten Version nutzen möchten, sind ebenfalls mit</w:t>
      </w:r>
      <w:r w:rsidR="000D6765">
        <w:rPr>
          <w:rFonts w:ascii="Tahoma" w:hAnsi="Tahoma" w:cs="Tahoma"/>
          <w:color w:val="000000"/>
          <w:sz w:val="18"/>
          <w:szCs w:val="18"/>
          <w:lang w:val="de-DE"/>
        </w:rPr>
        <w:t> </w:t>
      </w:r>
      <w:r w:rsidRPr="002A48C7">
        <w:rPr>
          <w:rFonts w:ascii="Tahoma" w:hAnsi="Tahoma" w:cs="Tahoma"/>
          <w:color w:val="000000"/>
          <w:sz w:val="18"/>
          <w:szCs w:val="18"/>
          <w:lang w:val="de-DE"/>
        </w:rPr>
        <w:t>einer Berechtigung verbunden</w:t>
      </w:r>
      <w:r w:rsidR="006257A7">
        <w:rPr>
          <w:rFonts w:ascii="Tahoma" w:hAnsi="Tahoma" w:cs="Tahoma"/>
          <w:color w:val="000000"/>
          <w:sz w:val="18"/>
          <w:szCs w:val="18"/>
          <w:lang w:val="de-DE"/>
        </w:rPr>
        <w:t xml:space="preserve">. </w:t>
      </w:r>
      <w:r w:rsidRPr="002A48C7">
        <w:rPr>
          <w:rFonts w:ascii="Tahoma" w:hAnsi="Tahoma" w:cs="Tahoma"/>
          <w:color w:val="000000"/>
          <w:sz w:val="18"/>
          <w:szCs w:val="18"/>
          <w:lang w:val="de-DE"/>
        </w:rPr>
        <w:t>Die Developer Edition aller Server, HED-Produkte und MSDN-Abonnements sind ausgeschlossen</w:t>
      </w:r>
      <w:r w:rsidR="006257A7">
        <w:rPr>
          <w:rFonts w:ascii="Tahoma" w:hAnsi="Tahoma" w:cs="Tahoma"/>
          <w:color w:val="000000"/>
          <w:sz w:val="18"/>
          <w:szCs w:val="18"/>
          <w:lang w:val="de-DE"/>
        </w:rPr>
        <w:t xml:space="preserve">. </w:t>
      </w:r>
    </w:p>
    <w:p w:rsidR="008D4EE5" w:rsidRPr="000D6765" w:rsidRDefault="008D4EE5" w:rsidP="000D6765">
      <w:pPr>
        <w:pStyle w:val="AppendixBodyText"/>
        <w:spacing w:after="0" w:line="216" w:lineRule="auto"/>
        <w:rPr>
          <w:sz w:val="18"/>
          <w:szCs w:val="18"/>
          <w:lang w:val="de-DE"/>
        </w:rPr>
      </w:pPr>
    </w:p>
    <w:p w:rsidR="008D4EE5" w:rsidRPr="002A48C7" w:rsidRDefault="008D4EE5" w:rsidP="000D6765">
      <w:pPr>
        <w:pStyle w:val="AppendixBodyText"/>
        <w:spacing w:after="0"/>
        <w:rPr>
          <w:lang w:val="de-DE"/>
        </w:rPr>
      </w:pPr>
      <w:r w:rsidRPr="002A48C7">
        <w:rPr>
          <w:rFonts w:ascii="Tahoma" w:hAnsi="Tahoma" w:cs="Tahoma"/>
          <w:sz w:val="18"/>
          <w:szCs w:val="18"/>
          <w:lang w:val="de-DE"/>
        </w:rPr>
        <w:t>Microsoft kann sämtliche technischen Informationen, die sie im Rahmen der für ihre Produkte geleisteten Services in</w:t>
      </w:r>
      <w:r w:rsidR="000D6765">
        <w:rPr>
          <w:rFonts w:ascii="Tahoma" w:hAnsi="Tahoma" w:cs="Tahoma"/>
          <w:sz w:val="18"/>
          <w:szCs w:val="18"/>
          <w:lang w:val="de-DE"/>
        </w:rPr>
        <w:t> </w:t>
      </w:r>
      <w:r w:rsidRPr="002A48C7">
        <w:rPr>
          <w:rFonts w:ascii="Tahoma" w:hAnsi="Tahoma" w:cs="Tahoma"/>
          <w:sz w:val="18"/>
          <w:szCs w:val="18"/>
          <w:lang w:val="de-DE"/>
        </w:rPr>
        <w:t>Bezug auf Problemlösung, Troubleshooting, Erweiterungen von Produktfunktionalitäten und Fixes erhält, für die Knowledge Base von Microsoft nutzen</w:t>
      </w:r>
      <w:r w:rsidR="006257A7">
        <w:rPr>
          <w:rFonts w:ascii="Tahoma" w:hAnsi="Tahoma" w:cs="Tahoma"/>
          <w:sz w:val="18"/>
          <w:szCs w:val="18"/>
          <w:lang w:val="de-DE"/>
        </w:rPr>
        <w:t xml:space="preserve">. </w:t>
      </w:r>
      <w:r w:rsidRPr="002A48C7">
        <w:rPr>
          <w:rFonts w:ascii="Tahoma" w:hAnsi="Tahoma" w:cs="Tahoma"/>
          <w:sz w:val="18"/>
          <w:szCs w:val="18"/>
          <w:lang w:val="de-DE"/>
        </w:rPr>
        <w:t>Microsoft verpflichtet sich, bei den Artikeln in der Knowledge Base den Kunden nicht zu identifizieren und keine vertraulichen Informationen des Kunden offenzulegen</w:t>
      </w:r>
      <w:r w:rsidR="006257A7">
        <w:rPr>
          <w:rFonts w:ascii="Tahoma" w:hAnsi="Tahoma" w:cs="Tahoma"/>
          <w:sz w:val="18"/>
          <w:szCs w:val="18"/>
          <w:lang w:val="de-DE"/>
        </w:rPr>
        <w:t xml:space="preserve">. </w:t>
      </w:r>
      <w:r w:rsidRPr="002A48C7">
        <w:rPr>
          <w:rFonts w:ascii="Tahoma" w:hAnsi="Tahoma" w:cs="Tahoma"/>
          <w:sz w:val="18"/>
          <w:szCs w:val="18"/>
          <w:lang w:val="de-DE"/>
        </w:rPr>
        <w:t>Microsoft ist nicht verpflichtet, künftige Arbeitsaufträge von Personen zu beschränken, die Zugriff auf vertrauliche Informationen des Kunden hatten</w:t>
      </w:r>
      <w:r w:rsidR="006257A7">
        <w:rPr>
          <w:rFonts w:ascii="Tahoma" w:hAnsi="Tahoma" w:cs="Tahoma"/>
          <w:sz w:val="18"/>
          <w:szCs w:val="18"/>
          <w:lang w:val="de-DE"/>
        </w:rPr>
        <w:t xml:space="preserve">. </w:t>
      </w:r>
      <w:r w:rsidRPr="002A48C7">
        <w:rPr>
          <w:rFonts w:ascii="Tahoma" w:hAnsi="Tahoma" w:cs="Tahoma"/>
          <w:sz w:val="18"/>
          <w:szCs w:val="18"/>
          <w:lang w:val="de-DE"/>
        </w:rPr>
        <w:t>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r w:rsidR="006257A7">
        <w:rPr>
          <w:rFonts w:ascii="Tahoma" w:hAnsi="Tahoma" w:cs="Tahoma"/>
          <w:sz w:val="18"/>
          <w:szCs w:val="18"/>
          <w:lang w:val="de-DE"/>
        </w:rPr>
        <w:t xml:space="preserve">. </w:t>
      </w:r>
    </w:p>
    <w:p w:rsidR="008D4EE5" w:rsidRPr="000D6765" w:rsidRDefault="008D4EE5" w:rsidP="000D6765">
      <w:pPr>
        <w:pStyle w:val="AppendixBodyText"/>
        <w:spacing w:after="0" w:line="216" w:lineRule="auto"/>
        <w:rPr>
          <w:sz w:val="18"/>
          <w:szCs w:val="18"/>
          <w:lang w:val="de-DE"/>
        </w:rPr>
      </w:pPr>
    </w:p>
    <w:p w:rsidR="008D4EE5" w:rsidRPr="002A48C7" w:rsidRDefault="008D4EE5" w:rsidP="008D4EE5">
      <w:pPr>
        <w:pStyle w:val="AppendixBodyText"/>
        <w:spacing w:after="0"/>
        <w:rPr>
          <w:lang w:val="de-DE"/>
        </w:rPr>
      </w:pPr>
      <w:r w:rsidRPr="002A48C7">
        <w:rPr>
          <w:rFonts w:ascii="Tahoma" w:hAnsi="Tahoma" w:cs="Tahoma"/>
          <w:sz w:val="18"/>
          <w:szCs w:val="18"/>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w:t>
      </w:r>
      <w:r w:rsidR="006257A7">
        <w:rPr>
          <w:rFonts w:ascii="Tahoma" w:hAnsi="Tahoma" w:cs="Tahoma"/>
          <w:sz w:val="18"/>
          <w:szCs w:val="18"/>
          <w:lang w:val="de-DE"/>
        </w:rPr>
        <w:t xml:space="preserve">. </w:t>
      </w:r>
      <w:r w:rsidRPr="002A48C7">
        <w:rPr>
          <w:rFonts w:ascii="Tahoma" w:hAnsi="Tahoma" w:cs="Tahoma"/>
          <w:sz w:val="18"/>
          <w:szCs w:val="18"/>
          <w:lang w:val="de-DE"/>
        </w:rPr>
        <w:t>Sämtliche bereitgestellten Fixes werden an den Kunden lizenziert</w:t>
      </w:r>
      <w:r w:rsidR="006257A7">
        <w:rPr>
          <w:rFonts w:ascii="Tahoma" w:hAnsi="Tahoma" w:cs="Tahoma"/>
          <w:sz w:val="18"/>
          <w:szCs w:val="18"/>
          <w:lang w:val="de-DE"/>
        </w:rPr>
        <w:t xml:space="preserve">. </w:t>
      </w:r>
    </w:p>
    <w:p w:rsidR="008D4EE5" w:rsidRPr="000D6765" w:rsidRDefault="008D4EE5" w:rsidP="000D6765">
      <w:pPr>
        <w:pStyle w:val="AppendixBodyText"/>
        <w:spacing w:after="0" w:line="216" w:lineRule="auto"/>
        <w:rPr>
          <w:sz w:val="18"/>
          <w:szCs w:val="18"/>
          <w:lang w:val="de-DE"/>
        </w:rPr>
      </w:pPr>
    </w:p>
    <w:p w:rsidR="008D4EE5" w:rsidRPr="002A48C7" w:rsidRDefault="008D4EE5" w:rsidP="008D4EE5">
      <w:pPr>
        <w:pStyle w:val="AppendixBodyText"/>
        <w:spacing w:after="0"/>
        <w:rPr>
          <w:lang w:val="de-DE"/>
        </w:rPr>
      </w:pPr>
      <w:r w:rsidRPr="002A48C7">
        <w:rPr>
          <w:rFonts w:ascii="Tahoma" w:hAnsi="Tahoma" w:cs="Tahoma"/>
          <w:sz w:val="18"/>
          <w:szCs w:val="18"/>
          <w:lang w:val="de-DE"/>
        </w:rPr>
        <w:t>Support kann durch entweder elektronisches Einreichen von Anfragen über das Internet oder telefonisch veranlasst werden</w:t>
      </w:r>
      <w:r w:rsidR="006257A7">
        <w:rPr>
          <w:rFonts w:ascii="Tahoma" w:hAnsi="Tahoma" w:cs="Tahoma"/>
          <w:sz w:val="18"/>
          <w:szCs w:val="18"/>
          <w:lang w:val="de-DE"/>
        </w:rPr>
        <w:t xml:space="preserve">. </w:t>
      </w:r>
      <w:r w:rsidRPr="002A48C7">
        <w:rPr>
          <w:rFonts w:ascii="Tahoma" w:hAnsi="Tahoma" w:cs="Tahoma"/>
          <w:sz w:val="18"/>
          <w:szCs w:val="18"/>
          <w:lang w:val="de-DE"/>
        </w:rPr>
        <w:t>Für jede Art von Medium gelten unterschiedliche Bestimmungen</w:t>
      </w:r>
      <w:r w:rsidR="006257A7">
        <w:rPr>
          <w:rFonts w:ascii="Tahoma" w:hAnsi="Tahoma" w:cs="Tahoma"/>
          <w:sz w:val="18"/>
          <w:szCs w:val="18"/>
          <w:lang w:val="de-DE"/>
        </w:rPr>
        <w:t xml:space="preserve">. </w:t>
      </w:r>
      <w:r w:rsidRPr="002A48C7">
        <w:rPr>
          <w:rFonts w:ascii="Tahoma" w:hAnsi="Tahoma" w:cs="Tahoma"/>
          <w:sz w:val="18"/>
          <w:szCs w:val="18"/>
          <w:lang w:val="de-DE"/>
        </w:rPr>
        <w:t>Der 24x7-Problembehebungssupport stellt den Kunden eine Anzahl von Anfragen und Kontaktpersonen zum Melden dieser Anfragen wie nachstehend beschrieben zur Verfügung</w:t>
      </w:r>
      <w:r w:rsidR="006257A7">
        <w:rPr>
          <w:rFonts w:ascii="Tahoma" w:hAnsi="Tahoma" w:cs="Tahoma"/>
          <w:sz w:val="18"/>
          <w:szCs w:val="18"/>
          <w:lang w:val="de-DE"/>
        </w:rPr>
        <w:t xml:space="preserve">. </w:t>
      </w:r>
    </w:p>
    <w:p w:rsidR="008D4EE5" w:rsidRPr="000D6765" w:rsidRDefault="008D4EE5" w:rsidP="000D6765">
      <w:pPr>
        <w:pStyle w:val="AppendixBodyText"/>
        <w:spacing w:after="0" w:line="216" w:lineRule="auto"/>
        <w:rPr>
          <w:sz w:val="18"/>
          <w:szCs w:val="18"/>
          <w:lang w:val="de-DE"/>
        </w:rPr>
      </w:pPr>
    </w:p>
    <w:p w:rsidR="008D4EE5" w:rsidRPr="002A48C7" w:rsidRDefault="008D4EE5" w:rsidP="008D4EE5">
      <w:pPr>
        <w:spacing w:after="60"/>
        <w:rPr>
          <w:lang w:val="de-DE"/>
        </w:rPr>
      </w:pPr>
      <w:bookmarkStart w:id="743" w:name="_Toc240899163"/>
      <w:r w:rsidRPr="002A48C7">
        <w:rPr>
          <w:rFonts w:cs="Tahoma"/>
          <w:b/>
          <w:szCs w:val="20"/>
          <w:lang w:val="de-DE"/>
        </w:rPr>
        <w:t>Gewährung von telefonischen Supportanfragen</w:t>
      </w:r>
      <w:bookmarkEnd w:id="743"/>
    </w:p>
    <w:p w:rsidR="008D4EE5" w:rsidRPr="002A48C7" w:rsidRDefault="008D4EE5" w:rsidP="000D6765">
      <w:pPr>
        <w:pStyle w:val="AppendixBodyText"/>
        <w:spacing w:after="0"/>
        <w:rPr>
          <w:lang w:val="de-DE"/>
        </w:rPr>
      </w:pPr>
      <w:r w:rsidRPr="002A48C7">
        <w:rPr>
          <w:rFonts w:ascii="Tahoma" w:hAnsi="Tahoma" w:cs="Tahoma"/>
          <w:sz w:val="18"/>
          <w:szCs w:val="18"/>
          <w:lang w:val="de-DE"/>
        </w:rPr>
        <w:t>Die Anzahl der zulässigen telefonischen Supportanfragen ist je nach SA-Ausgaben und Zahlungsoption des jeweiligen</w:t>
      </w:r>
      <w:r w:rsidR="000D6765">
        <w:rPr>
          <w:rFonts w:ascii="Tahoma" w:hAnsi="Tahoma" w:cs="Tahoma"/>
          <w:sz w:val="18"/>
          <w:szCs w:val="18"/>
          <w:lang w:val="de-DE"/>
        </w:rPr>
        <w:t> </w:t>
      </w:r>
      <w:r w:rsidRPr="002A48C7">
        <w:rPr>
          <w:rFonts w:ascii="Tahoma" w:hAnsi="Tahoma" w:cs="Tahoma"/>
          <w:sz w:val="18"/>
          <w:szCs w:val="18"/>
          <w:lang w:val="de-DE"/>
        </w:rPr>
        <w:t>Kunden von Kunde zu Kunde unterschiedlich</w:t>
      </w:r>
      <w:r w:rsidR="006257A7">
        <w:rPr>
          <w:rFonts w:ascii="Tahoma" w:hAnsi="Tahoma" w:cs="Tahoma"/>
          <w:sz w:val="18"/>
          <w:szCs w:val="18"/>
          <w:lang w:val="de-DE"/>
        </w:rPr>
        <w:t xml:space="preserve">. </w:t>
      </w:r>
      <w:r w:rsidRPr="002A48C7">
        <w:rPr>
          <w:rFonts w:ascii="Tahoma" w:hAnsi="Tahoma" w:cs="Tahoma"/>
          <w:sz w:val="18"/>
          <w:lang w:val="de-DE"/>
        </w:rPr>
        <w:t>In diesem Sinne sind mit „SA-Ausgaben“ nicht die tatsächlich ausgegebenen Beträge des Kunden gemeint</w:t>
      </w:r>
      <w:r w:rsidR="006257A7">
        <w:rPr>
          <w:rFonts w:ascii="Tahoma" w:hAnsi="Tahoma" w:cs="Tahoma"/>
          <w:sz w:val="18"/>
          <w:lang w:val="de-DE"/>
        </w:rPr>
        <w:t xml:space="preserve">. </w:t>
      </w:r>
      <w:r w:rsidRPr="002A48C7">
        <w:rPr>
          <w:rFonts w:ascii="Tahoma" w:hAnsi="Tahoma" w:cs="Tahoma"/>
          <w:sz w:val="18"/>
          <w:lang w:val="de-DE"/>
        </w:rPr>
        <w:t>Vielmehr handelt es sich um einen Überschlag der Ausgaben eines Kunden für Software Assurance für diese Produkte</w:t>
      </w:r>
      <w:r w:rsidR="006257A7">
        <w:rPr>
          <w:rFonts w:ascii="Tahoma" w:hAnsi="Tahoma" w:cs="Tahoma"/>
          <w:sz w:val="18"/>
          <w:lang w:val="de-DE"/>
        </w:rPr>
        <w:t xml:space="preserve">. </w:t>
      </w:r>
      <w:r w:rsidRPr="002A48C7">
        <w:rPr>
          <w:rFonts w:ascii="Tahoma" w:hAnsi="Tahoma" w:cs="Tahoma"/>
          <w:sz w:val="18"/>
          <w:lang w:val="de-DE"/>
        </w:rPr>
        <w:t>Für Ku</w:t>
      </w:r>
      <w:r w:rsidRPr="002A48C7">
        <w:rPr>
          <w:rFonts w:ascii="Tahoma" w:hAnsi="Tahoma" w:cs="Tahoma"/>
          <w:sz w:val="18"/>
          <w:szCs w:val="18"/>
          <w:lang w:val="de-DE"/>
        </w:rPr>
        <w:t>nden unter Abonnementprogrammen handelt es sich um einen Überschlag des Gesamtbetrags, den der Kunde für die Lizenzierung dieser Produkte unter seinem Beitritt bzw</w:t>
      </w:r>
      <w:r w:rsidR="006257A7">
        <w:rPr>
          <w:rFonts w:ascii="Tahoma" w:hAnsi="Tahoma" w:cs="Tahoma"/>
          <w:sz w:val="18"/>
          <w:szCs w:val="18"/>
          <w:lang w:val="de-DE"/>
        </w:rPr>
        <w:t xml:space="preserve">. </w:t>
      </w:r>
      <w:r w:rsidRPr="002A48C7">
        <w:rPr>
          <w:rFonts w:ascii="Tahoma" w:hAnsi="Tahoma" w:cs="Tahoma"/>
          <w:sz w:val="18"/>
          <w:szCs w:val="18"/>
          <w:lang w:val="de-DE"/>
        </w:rPr>
        <w:t>Vertrag ausgegeben hat</w:t>
      </w:r>
      <w:r w:rsidR="006257A7">
        <w:rPr>
          <w:rFonts w:ascii="Tahoma" w:hAnsi="Tahoma" w:cs="Tahoma"/>
          <w:sz w:val="18"/>
          <w:szCs w:val="18"/>
          <w:lang w:val="de-DE"/>
        </w:rPr>
        <w:t xml:space="preserve">. </w:t>
      </w:r>
      <w:r w:rsidRPr="002A48C7">
        <w:rPr>
          <w:rFonts w:ascii="Tahoma" w:hAnsi="Tahoma" w:cs="Tahoma"/>
          <w:sz w:val="18"/>
          <w:szCs w:val="18"/>
          <w:lang w:val="de-DE"/>
        </w:rPr>
        <w:t>Die kostenlose Anfrage wird im Rahmen eines Konzernbeitritts, Select-Beitritts, einer Select Plus-Registrierung und eines Open Value-Vertrages mit SA für mindestens ein qualifizierendes Server-Softwareprodukt gewährt</w:t>
      </w:r>
      <w:r w:rsidR="006257A7">
        <w:rPr>
          <w:rFonts w:ascii="Tahoma" w:hAnsi="Tahoma" w:cs="Tahoma"/>
          <w:sz w:val="18"/>
          <w:szCs w:val="18"/>
          <w:lang w:val="de-DE"/>
        </w:rPr>
        <w:t xml:space="preserve">. </w:t>
      </w: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890"/>
        <w:gridCol w:w="2160"/>
        <w:gridCol w:w="2151"/>
      </w:tblGrid>
      <w:tr w:rsidR="008D4EE5" w:rsidRPr="00FB51BA" w:rsidTr="00346306">
        <w:trPr>
          <w:trHeight w:val="178"/>
          <w:tblHeader/>
        </w:trPr>
        <w:tc>
          <w:tcPr>
            <w:tcW w:w="2520" w:type="dxa"/>
            <w:tcBorders>
              <w:top w:val="single" w:sz="8" w:space="0" w:color="auto"/>
              <w:left w:val="single" w:sz="8" w:space="0" w:color="auto"/>
              <w:bottom w:val="single" w:sz="8" w:space="0" w:color="auto"/>
              <w:right w:val="single" w:sz="8" w:space="0" w:color="auto"/>
            </w:tcBorders>
            <w:shd w:val="clear" w:color="auto" w:fill="FFCC99"/>
            <w:vAlign w:val="bottom"/>
          </w:tcPr>
          <w:p w:rsidR="008D4EE5" w:rsidRDefault="008D4EE5" w:rsidP="00A67771">
            <w:pPr>
              <w:pStyle w:val="AppendixBodyText"/>
              <w:rPr>
                <w:rFonts w:ascii="Tahoma" w:hAnsi="Tahoma" w:cs="Tahoma"/>
                <w:b/>
                <w:bCs/>
              </w:rPr>
            </w:pPr>
            <w:r>
              <w:rPr>
                <w:rFonts w:ascii="Tahoma" w:hAnsi="Tahoma" w:cs="Tahoma"/>
                <w:b/>
                <w:bCs/>
              </w:rPr>
              <w:t>Währungsbezeichnung</w:t>
            </w:r>
          </w:p>
        </w:tc>
        <w:tc>
          <w:tcPr>
            <w:tcW w:w="1890" w:type="dxa"/>
            <w:tcBorders>
              <w:top w:val="single" w:sz="8" w:space="0" w:color="auto"/>
              <w:left w:val="single" w:sz="8" w:space="0" w:color="auto"/>
              <w:bottom w:val="single" w:sz="8" w:space="0" w:color="auto"/>
              <w:right w:val="single" w:sz="8" w:space="0" w:color="auto"/>
            </w:tcBorders>
            <w:shd w:val="clear" w:color="auto" w:fill="FFCC99"/>
            <w:vAlign w:val="bottom"/>
          </w:tcPr>
          <w:p w:rsidR="008D4EE5" w:rsidRDefault="008D4EE5" w:rsidP="00A67771">
            <w:pPr>
              <w:pStyle w:val="AppendixBodyText"/>
              <w:rPr>
                <w:rFonts w:ascii="Tahoma" w:hAnsi="Tahoma" w:cs="Tahoma"/>
                <w:b/>
                <w:bCs/>
              </w:rPr>
            </w:pPr>
            <w:r>
              <w:rPr>
                <w:rFonts w:ascii="Tahoma" w:hAnsi="Tahoma" w:cs="Tahoma"/>
                <w:b/>
                <w:bCs/>
              </w:rPr>
              <w:t>Währungscode</w:t>
            </w:r>
          </w:p>
        </w:tc>
        <w:tc>
          <w:tcPr>
            <w:tcW w:w="2160" w:type="dxa"/>
            <w:tcBorders>
              <w:top w:val="single" w:sz="8" w:space="0" w:color="auto"/>
              <w:left w:val="single" w:sz="8" w:space="0" w:color="auto"/>
              <w:bottom w:val="single" w:sz="8" w:space="0" w:color="auto"/>
              <w:right w:val="single" w:sz="8" w:space="0" w:color="auto"/>
            </w:tcBorders>
            <w:shd w:val="clear" w:color="auto" w:fill="FFCC99"/>
            <w:vAlign w:val="bottom"/>
          </w:tcPr>
          <w:p w:rsidR="008D4EE5" w:rsidRPr="002A48C7" w:rsidRDefault="008D4EE5" w:rsidP="00A67771">
            <w:pPr>
              <w:pStyle w:val="AppendixBodyText"/>
              <w:rPr>
                <w:lang w:val="de-DE"/>
              </w:rPr>
            </w:pPr>
            <w:r w:rsidRPr="002A48C7">
              <w:rPr>
                <w:rFonts w:ascii="Tahoma" w:hAnsi="Tahoma" w:cs="Tahoma"/>
                <w:b/>
                <w:bCs/>
                <w:lang w:val="de-DE"/>
              </w:rPr>
              <w:t>Server/CAL</w:t>
            </w:r>
          </w:p>
          <w:p w:rsidR="008D4EE5" w:rsidRPr="002A48C7" w:rsidRDefault="008D4EE5" w:rsidP="00A67771">
            <w:pPr>
              <w:pStyle w:val="AppendixBodyText"/>
              <w:rPr>
                <w:rFonts w:ascii="Tahoma" w:hAnsi="Tahoma" w:cs="Tahoma"/>
                <w:b/>
                <w:bCs/>
                <w:lang w:val="de-DE"/>
              </w:rPr>
            </w:pPr>
            <w:r w:rsidRPr="002A48C7">
              <w:rPr>
                <w:rFonts w:ascii="Tahoma" w:hAnsi="Tahoma" w:cs="Tahoma"/>
                <w:b/>
                <w:bCs/>
                <w:lang w:val="de-DE"/>
              </w:rPr>
              <w:t>Stufen für gewährte Anfragen</w:t>
            </w:r>
          </w:p>
        </w:tc>
        <w:tc>
          <w:tcPr>
            <w:tcW w:w="2151" w:type="dxa"/>
            <w:tcBorders>
              <w:top w:val="single" w:sz="8" w:space="0" w:color="auto"/>
              <w:left w:val="single" w:sz="8" w:space="0" w:color="auto"/>
              <w:bottom w:val="single" w:sz="8" w:space="0" w:color="auto"/>
              <w:right w:val="single" w:sz="8" w:space="0" w:color="auto"/>
            </w:tcBorders>
            <w:shd w:val="clear" w:color="auto" w:fill="FFCC99"/>
            <w:vAlign w:val="bottom"/>
          </w:tcPr>
          <w:p w:rsidR="008D4EE5" w:rsidRPr="002A48C7" w:rsidRDefault="008D4EE5" w:rsidP="00A67771">
            <w:pPr>
              <w:pStyle w:val="AppendixBodyText"/>
              <w:rPr>
                <w:lang w:val="de-DE"/>
              </w:rPr>
            </w:pPr>
            <w:r w:rsidRPr="002A48C7">
              <w:rPr>
                <w:rFonts w:ascii="Tahoma" w:hAnsi="Tahoma" w:cs="Tahoma"/>
                <w:b/>
                <w:bCs/>
                <w:lang w:val="de-DE"/>
              </w:rPr>
              <w:t>IW/Client</w:t>
            </w:r>
          </w:p>
          <w:p w:rsidR="008D4EE5" w:rsidRPr="002A48C7" w:rsidRDefault="008D4EE5" w:rsidP="00A67771">
            <w:pPr>
              <w:pStyle w:val="AppendixBodyText"/>
              <w:rPr>
                <w:rFonts w:ascii="Tahoma" w:hAnsi="Tahoma" w:cs="Tahoma"/>
                <w:b/>
                <w:bCs/>
                <w:lang w:val="de-DE"/>
              </w:rPr>
            </w:pPr>
            <w:r w:rsidRPr="002A48C7">
              <w:rPr>
                <w:rFonts w:ascii="Tahoma" w:hAnsi="Tahoma" w:cs="Tahoma"/>
                <w:b/>
                <w:bCs/>
                <w:lang w:val="de-DE"/>
              </w:rPr>
              <w:t>Stufen für gewährte Anfragen</w:t>
            </w:r>
          </w:p>
        </w:tc>
      </w:tr>
      <w:tr w:rsidR="008D4EE5" w:rsidTr="00346306">
        <w:trPr>
          <w:trHeight w:val="236"/>
        </w:trPr>
        <w:tc>
          <w:tcPr>
            <w:tcW w:w="252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US-Dollar</w:t>
            </w:r>
          </w:p>
        </w:tc>
        <w:tc>
          <w:tcPr>
            <w:tcW w:w="189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USD</w:t>
            </w:r>
          </w:p>
        </w:tc>
        <w:tc>
          <w:tcPr>
            <w:tcW w:w="2160" w:type="dxa"/>
            <w:vAlign w:val="bottom"/>
          </w:tcPr>
          <w:p w:rsidR="008D4EE5" w:rsidRDefault="008D4EE5" w:rsidP="00346306">
            <w:pPr>
              <w:pStyle w:val="AppendixBodyText"/>
              <w:rPr>
                <w:rFonts w:ascii="Tahoma" w:hAnsi="Tahoma" w:cs="Tahoma"/>
                <w:sz w:val="18"/>
                <w:szCs w:val="18"/>
              </w:rPr>
            </w:pPr>
            <w:r>
              <w:rPr>
                <w:rFonts w:ascii="Tahoma" w:hAnsi="Tahoma" w:cs="Tahoma"/>
                <w:sz w:val="18"/>
                <w:szCs w:val="18"/>
              </w:rPr>
              <w:t>$20</w:t>
            </w:r>
            <w:r w:rsidR="00C10CDD">
              <w:rPr>
                <w:rFonts w:ascii="Tahoma" w:hAnsi="Tahoma" w:cs="Tahoma"/>
                <w:sz w:val="18"/>
                <w:szCs w:val="18"/>
              </w:rPr>
              <w:t>.</w:t>
            </w:r>
            <w:r>
              <w:rPr>
                <w:rFonts w:ascii="Tahoma" w:hAnsi="Tahoma" w:cs="Tahoma"/>
                <w:sz w:val="18"/>
                <w:szCs w:val="18"/>
              </w:rPr>
              <w:t>000</w:t>
            </w:r>
          </w:p>
        </w:tc>
        <w:tc>
          <w:tcPr>
            <w:tcW w:w="2151" w:type="dxa"/>
            <w:vAlign w:val="bottom"/>
          </w:tcPr>
          <w:p w:rsidR="008D4EE5" w:rsidRDefault="008D4EE5" w:rsidP="00346306">
            <w:pPr>
              <w:pStyle w:val="AppendixBodyText"/>
              <w:rPr>
                <w:rFonts w:ascii="Tahoma" w:hAnsi="Tahoma" w:cs="Tahoma"/>
                <w:sz w:val="18"/>
                <w:szCs w:val="18"/>
              </w:rPr>
            </w:pPr>
            <w:r>
              <w:rPr>
                <w:rFonts w:ascii="Tahoma" w:hAnsi="Tahoma" w:cs="Tahoma"/>
                <w:sz w:val="18"/>
                <w:szCs w:val="18"/>
              </w:rPr>
              <w:t>$200</w:t>
            </w:r>
            <w:r w:rsidR="00C10CDD">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Australischer Dollar</w:t>
            </w:r>
          </w:p>
        </w:tc>
        <w:tc>
          <w:tcPr>
            <w:tcW w:w="189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AUD</w:t>
            </w:r>
          </w:p>
        </w:tc>
        <w:tc>
          <w:tcPr>
            <w:tcW w:w="2160" w:type="dxa"/>
            <w:vAlign w:val="bottom"/>
          </w:tcPr>
          <w:p w:rsidR="008D4EE5" w:rsidRDefault="008D4EE5" w:rsidP="00346306">
            <w:pPr>
              <w:pStyle w:val="AppendixBodyText"/>
              <w:rPr>
                <w:rFonts w:ascii="Tahoma" w:hAnsi="Tahoma" w:cs="Tahoma"/>
                <w:sz w:val="18"/>
                <w:szCs w:val="18"/>
              </w:rPr>
            </w:pPr>
            <w:r>
              <w:rPr>
                <w:rFonts w:ascii="Tahoma" w:hAnsi="Tahoma" w:cs="Tahoma"/>
                <w:sz w:val="18"/>
                <w:szCs w:val="18"/>
              </w:rPr>
              <w:t>30</w:t>
            </w:r>
            <w:r w:rsidR="00C10CDD">
              <w:rPr>
                <w:rFonts w:ascii="Tahoma" w:hAnsi="Tahoma" w:cs="Tahoma"/>
                <w:sz w:val="18"/>
                <w:szCs w:val="18"/>
              </w:rPr>
              <w:t>.</w:t>
            </w:r>
            <w:r>
              <w:rPr>
                <w:rFonts w:ascii="Tahoma" w:hAnsi="Tahoma" w:cs="Tahoma"/>
                <w:sz w:val="18"/>
                <w:szCs w:val="18"/>
              </w:rPr>
              <w:t>000</w:t>
            </w:r>
          </w:p>
        </w:tc>
        <w:tc>
          <w:tcPr>
            <w:tcW w:w="2151" w:type="dxa"/>
            <w:vAlign w:val="bottom"/>
          </w:tcPr>
          <w:p w:rsidR="008D4EE5" w:rsidRDefault="008D4EE5" w:rsidP="00346306">
            <w:pPr>
              <w:pStyle w:val="AppendixBodyText"/>
              <w:rPr>
                <w:rFonts w:ascii="Tahoma" w:hAnsi="Tahoma" w:cs="Tahoma"/>
                <w:sz w:val="18"/>
                <w:szCs w:val="18"/>
              </w:rPr>
            </w:pPr>
            <w:r>
              <w:rPr>
                <w:rFonts w:ascii="Tahoma" w:hAnsi="Tahoma" w:cs="Tahoma"/>
                <w:sz w:val="18"/>
                <w:szCs w:val="18"/>
              </w:rPr>
              <w:t>300</w:t>
            </w:r>
            <w:r w:rsidR="00C10CDD">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Kanadischer Dollar</w:t>
            </w:r>
          </w:p>
        </w:tc>
        <w:tc>
          <w:tcPr>
            <w:tcW w:w="189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CAD</w:t>
            </w:r>
          </w:p>
        </w:tc>
        <w:tc>
          <w:tcPr>
            <w:tcW w:w="2160" w:type="dxa"/>
            <w:vAlign w:val="bottom"/>
          </w:tcPr>
          <w:p w:rsidR="008D4EE5" w:rsidRDefault="008D4EE5" w:rsidP="00346306">
            <w:pPr>
              <w:pStyle w:val="AppendixBodyText"/>
              <w:rPr>
                <w:rFonts w:ascii="Tahoma" w:hAnsi="Tahoma" w:cs="Tahoma"/>
                <w:sz w:val="18"/>
                <w:szCs w:val="18"/>
              </w:rPr>
            </w:pPr>
            <w:r>
              <w:rPr>
                <w:rFonts w:ascii="Tahoma" w:hAnsi="Tahoma" w:cs="Tahoma"/>
                <w:sz w:val="18"/>
                <w:szCs w:val="18"/>
              </w:rPr>
              <w:t>27</w:t>
            </w:r>
            <w:r w:rsidR="00C10CDD">
              <w:rPr>
                <w:rFonts w:ascii="Tahoma" w:hAnsi="Tahoma" w:cs="Tahoma"/>
                <w:sz w:val="18"/>
                <w:szCs w:val="18"/>
              </w:rPr>
              <w:t>.</w:t>
            </w:r>
            <w:r>
              <w:rPr>
                <w:rFonts w:ascii="Tahoma" w:hAnsi="Tahoma" w:cs="Tahoma"/>
                <w:sz w:val="18"/>
                <w:szCs w:val="18"/>
              </w:rPr>
              <w:t>000</w:t>
            </w:r>
          </w:p>
        </w:tc>
        <w:tc>
          <w:tcPr>
            <w:tcW w:w="2151" w:type="dxa"/>
            <w:vAlign w:val="bottom"/>
          </w:tcPr>
          <w:p w:rsidR="008D4EE5" w:rsidRDefault="008D4EE5" w:rsidP="00346306">
            <w:pPr>
              <w:pStyle w:val="AppendixBodyText"/>
              <w:rPr>
                <w:rFonts w:ascii="Tahoma" w:hAnsi="Tahoma" w:cs="Tahoma"/>
                <w:sz w:val="18"/>
                <w:szCs w:val="18"/>
              </w:rPr>
            </w:pPr>
            <w:r>
              <w:rPr>
                <w:rFonts w:ascii="Tahoma" w:hAnsi="Tahoma" w:cs="Tahoma"/>
                <w:sz w:val="18"/>
                <w:szCs w:val="18"/>
              </w:rPr>
              <w:t>270</w:t>
            </w:r>
            <w:r w:rsidR="00C10CDD">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Schweizer Franken</w:t>
            </w:r>
          </w:p>
        </w:tc>
        <w:tc>
          <w:tcPr>
            <w:tcW w:w="189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CHF</w:t>
            </w:r>
          </w:p>
        </w:tc>
        <w:tc>
          <w:tcPr>
            <w:tcW w:w="2160" w:type="dxa"/>
            <w:vAlign w:val="bottom"/>
          </w:tcPr>
          <w:p w:rsidR="008D4EE5" w:rsidRDefault="008D4EE5" w:rsidP="00346306">
            <w:pPr>
              <w:pStyle w:val="AppendixBodyText"/>
              <w:rPr>
                <w:rFonts w:ascii="Tahoma" w:hAnsi="Tahoma" w:cs="Tahoma"/>
                <w:sz w:val="18"/>
                <w:szCs w:val="18"/>
              </w:rPr>
            </w:pPr>
            <w:r>
              <w:rPr>
                <w:rFonts w:ascii="Tahoma" w:hAnsi="Tahoma" w:cs="Tahoma"/>
                <w:sz w:val="18"/>
                <w:szCs w:val="18"/>
              </w:rPr>
              <w:t>S Fr</w:t>
            </w:r>
            <w:r w:rsidR="006257A7">
              <w:rPr>
                <w:rFonts w:ascii="Tahoma" w:hAnsi="Tahoma" w:cs="Tahoma"/>
                <w:sz w:val="18"/>
                <w:szCs w:val="18"/>
              </w:rPr>
              <w:t xml:space="preserve">. </w:t>
            </w:r>
            <w:r>
              <w:rPr>
                <w:rFonts w:ascii="Tahoma" w:hAnsi="Tahoma" w:cs="Tahoma"/>
                <w:sz w:val="18"/>
                <w:szCs w:val="18"/>
              </w:rPr>
              <w:t>33</w:t>
            </w:r>
            <w:r w:rsidR="00C10CDD">
              <w:rPr>
                <w:rFonts w:ascii="Tahoma" w:hAnsi="Tahoma" w:cs="Tahoma"/>
                <w:sz w:val="18"/>
                <w:szCs w:val="18"/>
              </w:rPr>
              <w:t>.</w:t>
            </w:r>
            <w:r>
              <w:rPr>
                <w:rFonts w:ascii="Tahoma" w:hAnsi="Tahoma" w:cs="Tahoma"/>
                <w:sz w:val="18"/>
                <w:szCs w:val="18"/>
              </w:rPr>
              <w:t>000</w:t>
            </w:r>
          </w:p>
        </w:tc>
        <w:tc>
          <w:tcPr>
            <w:tcW w:w="2151" w:type="dxa"/>
            <w:vAlign w:val="bottom"/>
          </w:tcPr>
          <w:p w:rsidR="008D4EE5" w:rsidRDefault="008D4EE5" w:rsidP="00346306">
            <w:pPr>
              <w:pStyle w:val="AppendixBodyText"/>
              <w:rPr>
                <w:rFonts w:ascii="Tahoma" w:hAnsi="Tahoma" w:cs="Tahoma"/>
                <w:sz w:val="18"/>
                <w:szCs w:val="18"/>
              </w:rPr>
            </w:pPr>
            <w:r>
              <w:rPr>
                <w:rFonts w:ascii="Tahoma" w:hAnsi="Tahoma" w:cs="Tahoma"/>
                <w:sz w:val="18"/>
                <w:szCs w:val="18"/>
              </w:rPr>
              <w:t>S Fr</w:t>
            </w:r>
            <w:r w:rsidR="006257A7">
              <w:rPr>
                <w:rFonts w:ascii="Tahoma" w:hAnsi="Tahoma" w:cs="Tahoma"/>
                <w:sz w:val="18"/>
                <w:szCs w:val="18"/>
              </w:rPr>
              <w:t xml:space="preserve">. </w:t>
            </w:r>
            <w:r>
              <w:rPr>
                <w:rFonts w:ascii="Tahoma" w:hAnsi="Tahoma" w:cs="Tahoma"/>
                <w:sz w:val="18"/>
                <w:szCs w:val="18"/>
              </w:rPr>
              <w:t>330</w:t>
            </w:r>
            <w:r w:rsidR="00C10CDD">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Chinesischer Renminbi</w:t>
            </w:r>
          </w:p>
        </w:tc>
        <w:tc>
          <w:tcPr>
            <w:tcW w:w="189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CNY</w:t>
            </w:r>
          </w:p>
        </w:tc>
        <w:tc>
          <w:tcPr>
            <w:tcW w:w="216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CRC 165</w:t>
            </w:r>
            <w:r w:rsidR="00C10CDD">
              <w:rPr>
                <w:rFonts w:ascii="Tahoma" w:hAnsi="Tahoma" w:cs="Tahoma"/>
                <w:sz w:val="18"/>
                <w:szCs w:val="18"/>
              </w:rPr>
              <w:t>.</w:t>
            </w:r>
            <w:r>
              <w:rPr>
                <w:rFonts w:ascii="Tahoma" w:hAnsi="Tahoma" w:cs="Tahoma"/>
                <w:sz w:val="18"/>
                <w:szCs w:val="18"/>
              </w:rPr>
              <w:t>000</w:t>
            </w:r>
          </w:p>
        </w:tc>
        <w:tc>
          <w:tcPr>
            <w:tcW w:w="2151"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CRC 1</w:t>
            </w:r>
            <w:r w:rsidR="00C10CDD">
              <w:rPr>
                <w:rFonts w:ascii="Tahoma" w:hAnsi="Tahoma" w:cs="Tahoma"/>
                <w:sz w:val="18"/>
                <w:szCs w:val="18"/>
              </w:rPr>
              <w:t>.</w:t>
            </w:r>
            <w:r>
              <w:rPr>
                <w:rFonts w:ascii="Tahoma" w:hAnsi="Tahoma" w:cs="Tahoma"/>
                <w:sz w:val="18"/>
                <w:szCs w:val="18"/>
              </w:rPr>
              <w:t>650</w:t>
            </w:r>
            <w:r w:rsidR="00C10CDD">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Dänische Krone</w:t>
            </w:r>
          </w:p>
        </w:tc>
        <w:tc>
          <w:tcPr>
            <w:tcW w:w="189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DKK</w:t>
            </w:r>
          </w:p>
        </w:tc>
        <w:tc>
          <w:tcPr>
            <w:tcW w:w="216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kr 160</w:t>
            </w:r>
            <w:r w:rsidR="00C10CDD">
              <w:rPr>
                <w:rFonts w:ascii="Tahoma" w:hAnsi="Tahoma" w:cs="Tahoma"/>
                <w:sz w:val="18"/>
                <w:szCs w:val="18"/>
              </w:rPr>
              <w:t>.</w:t>
            </w:r>
            <w:r>
              <w:rPr>
                <w:rFonts w:ascii="Tahoma" w:hAnsi="Tahoma" w:cs="Tahoma"/>
                <w:sz w:val="18"/>
                <w:szCs w:val="18"/>
              </w:rPr>
              <w:t>000</w:t>
            </w:r>
          </w:p>
        </w:tc>
        <w:tc>
          <w:tcPr>
            <w:tcW w:w="2151"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kr 1</w:t>
            </w:r>
            <w:r w:rsidR="00C10CDD">
              <w:rPr>
                <w:rFonts w:ascii="Tahoma" w:hAnsi="Tahoma" w:cs="Tahoma"/>
                <w:sz w:val="18"/>
                <w:szCs w:val="18"/>
              </w:rPr>
              <w:t>.</w:t>
            </w:r>
            <w:r>
              <w:rPr>
                <w:rFonts w:ascii="Tahoma" w:hAnsi="Tahoma" w:cs="Tahoma"/>
                <w:sz w:val="18"/>
                <w:szCs w:val="18"/>
              </w:rPr>
              <w:t>600</w:t>
            </w:r>
            <w:r w:rsidR="00C10CDD">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EURO</w:t>
            </w:r>
          </w:p>
        </w:tc>
        <w:tc>
          <w:tcPr>
            <w:tcW w:w="189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EUR</w:t>
            </w:r>
          </w:p>
        </w:tc>
        <w:tc>
          <w:tcPr>
            <w:tcW w:w="2160" w:type="dxa"/>
            <w:vAlign w:val="bottom"/>
          </w:tcPr>
          <w:p w:rsidR="008D4EE5" w:rsidRDefault="008D4EE5" w:rsidP="00346306">
            <w:pPr>
              <w:pStyle w:val="AppendixBodyText"/>
              <w:rPr>
                <w:rFonts w:ascii="Tahoma" w:hAnsi="Tahoma" w:cs="Tahoma"/>
                <w:sz w:val="18"/>
                <w:szCs w:val="18"/>
              </w:rPr>
            </w:pPr>
            <w:r>
              <w:rPr>
                <w:rFonts w:ascii="Tahoma" w:hAnsi="Tahoma" w:cs="Tahoma"/>
                <w:sz w:val="18"/>
                <w:szCs w:val="18"/>
              </w:rPr>
              <w:t>21</w:t>
            </w:r>
            <w:r w:rsidR="00C10CDD">
              <w:rPr>
                <w:rFonts w:ascii="Tahoma" w:hAnsi="Tahoma" w:cs="Tahoma"/>
                <w:sz w:val="18"/>
                <w:szCs w:val="18"/>
              </w:rPr>
              <w:t>.</w:t>
            </w:r>
            <w:r>
              <w:rPr>
                <w:rFonts w:ascii="Tahoma" w:hAnsi="Tahoma" w:cs="Tahoma"/>
                <w:sz w:val="18"/>
                <w:szCs w:val="18"/>
              </w:rPr>
              <w:t>500</w:t>
            </w:r>
          </w:p>
        </w:tc>
        <w:tc>
          <w:tcPr>
            <w:tcW w:w="2151" w:type="dxa"/>
            <w:vAlign w:val="bottom"/>
          </w:tcPr>
          <w:p w:rsidR="008D4EE5" w:rsidRDefault="008D4EE5" w:rsidP="00346306">
            <w:pPr>
              <w:pStyle w:val="AppendixBodyText"/>
              <w:rPr>
                <w:rFonts w:ascii="Tahoma" w:hAnsi="Tahoma" w:cs="Tahoma"/>
                <w:sz w:val="18"/>
                <w:szCs w:val="18"/>
              </w:rPr>
            </w:pPr>
            <w:r>
              <w:rPr>
                <w:rFonts w:ascii="Tahoma" w:hAnsi="Tahoma" w:cs="Tahoma"/>
                <w:sz w:val="18"/>
                <w:szCs w:val="18"/>
              </w:rPr>
              <w:t>215</w:t>
            </w:r>
            <w:r w:rsidR="00C10CDD">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Britisches Pfund</w:t>
            </w:r>
          </w:p>
        </w:tc>
        <w:tc>
          <w:tcPr>
            <w:tcW w:w="189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GBP</w:t>
            </w:r>
          </w:p>
        </w:tc>
        <w:tc>
          <w:tcPr>
            <w:tcW w:w="2160" w:type="dxa"/>
            <w:vAlign w:val="bottom"/>
          </w:tcPr>
          <w:p w:rsidR="008D4EE5" w:rsidRDefault="008D4EE5" w:rsidP="00346306">
            <w:pPr>
              <w:pStyle w:val="AppendixBodyText"/>
              <w:rPr>
                <w:rFonts w:ascii="Tahoma" w:hAnsi="Tahoma" w:cs="Tahoma"/>
                <w:sz w:val="18"/>
                <w:szCs w:val="18"/>
              </w:rPr>
            </w:pPr>
            <w:r>
              <w:rPr>
                <w:rFonts w:ascii="Tahoma" w:hAnsi="Tahoma" w:cs="Tahoma"/>
                <w:sz w:val="18"/>
                <w:szCs w:val="18"/>
              </w:rPr>
              <w:t>£13</w:t>
            </w:r>
            <w:r w:rsidR="00C10CDD">
              <w:rPr>
                <w:rFonts w:ascii="Tahoma" w:hAnsi="Tahoma" w:cs="Tahoma"/>
                <w:sz w:val="18"/>
                <w:szCs w:val="18"/>
              </w:rPr>
              <w:t>.</w:t>
            </w:r>
            <w:r>
              <w:rPr>
                <w:rFonts w:ascii="Tahoma" w:hAnsi="Tahoma" w:cs="Tahoma"/>
                <w:sz w:val="18"/>
                <w:szCs w:val="18"/>
              </w:rPr>
              <w:t>500</w:t>
            </w:r>
          </w:p>
        </w:tc>
        <w:tc>
          <w:tcPr>
            <w:tcW w:w="2151" w:type="dxa"/>
            <w:vAlign w:val="bottom"/>
          </w:tcPr>
          <w:p w:rsidR="008D4EE5" w:rsidRDefault="008D4EE5" w:rsidP="00346306">
            <w:pPr>
              <w:pStyle w:val="AppendixBodyText"/>
              <w:rPr>
                <w:rFonts w:ascii="Tahoma" w:hAnsi="Tahoma" w:cs="Tahoma"/>
                <w:sz w:val="18"/>
                <w:szCs w:val="18"/>
              </w:rPr>
            </w:pPr>
            <w:r>
              <w:rPr>
                <w:rFonts w:ascii="Tahoma" w:hAnsi="Tahoma" w:cs="Tahoma"/>
                <w:sz w:val="18"/>
                <w:szCs w:val="18"/>
              </w:rPr>
              <w:t>£135</w:t>
            </w:r>
            <w:r w:rsidR="006257A7">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Japanischer Yen</w:t>
            </w:r>
          </w:p>
        </w:tc>
        <w:tc>
          <w:tcPr>
            <w:tcW w:w="189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JPY</w:t>
            </w:r>
          </w:p>
        </w:tc>
        <w:tc>
          <w:tcPr>
            <w:tcW w:w="216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JPY 2</w:t>
            </w:r>
            <w:r w:rsidR="00844B7C">
              <w:rPr>
                <w:rFonts w:ascii="Tahoma" w:hAnsi="Tahoma" w:cs="Tahoma"/>
                <w:sz w:val="18"/>
                <w:szCs w:val="18"/>
              </w:rPr>
              <w:t>.</w:t>
            </w:r>
            <w:r>
              <w:rPr>
                <w:rFonts w:ascii="Tahoma" w:hAnsi="Tahoma" w:cs="Tahoma"/>
                <w:sz w:val="18"/>
                <w:szCs w:val="18"/>
              </w:rPr>
              <w:t>400</w:t>
            </w:r>
            <w:r w:rsidR="00C10CDD">
              <w:rPr>
                <w:rFonts w:ascii="Tahoma" w:hAnsi="Tahoma" w:cs="Tahoma"/>
                <w:sz w:val="18"/>
                <w:szCs w:val="18"/>
              </w:rPr>
              <w:t>.</w:t>
            </w:r>
            <w:r>
              <w:rPr>
                <w:rFonts w:ascii="Tahoma" w:hAnsi="Tahoma" w:cs="Tahoma"/>
                <w:sz w:val="18"/>
                <w:szCs w:val="18"/>
              </w:rPr>
              <w:t>000</w:t>
            </w:r>
          </w:p>
        </w:tc>
        <w:tc>
          <w:tcPr>
            <w:tcW w:w="2151"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JPY 24</w:t>
            </w:r>
            <w:r w:rsidR="00C10CDD">
              <w:rPr>
                <w:rFonts w:ascii="Tahoma" w:hAnsi="Tahoma" w:cs="Tahoma"/>
                <w:sz w:val="18"/>
                <w:szCs w:val="18"/>
              </w:rPr>
              <w:t>.</w:t>
            </w:r>
            <w:r>
              <w:rPr>
                <w:rFonts w:ascii="Tahoma" w:hAnsi="Tahoma" w:cs="Tahoma"/>
                <w:sz w:val="18"/>
                <w:szCs w:val="18"/>
              </w:rPr>
              <w:t>000</w:t>
            </w:r>
            <w:r w:rsidR="00C10CDD">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Koreanischer Won</w:t>
            </w:r>
          </w:p>
        </w:tc>
        <w:tc>
          <w:tcPr>
            <w:tcW w:w="189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KRW</w:t>
            </w:r>
          </w:p>
        </w:tc>
        <w:tc>
          <w:tcPr>
            <w:tcW w:w="216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KWD 24</w:t>
            </w:r>
            <w:r w:rsidR="00844B7C">
              <w:rPr>
                <w:rFonts w:ascii="Tahoma" w:hAnsi="Tahoma" w:cs="Tahoma"/>
                <w:sz w:val="18"/>
                <w:szCs w:val="18"/>
              </w:rPr>
              <w:t>.</w:t>
            </w:r>
            <w:r>
              <w:rPr>
                <w:rFonts w:ascii="Tahoma" w:hAnsi="Tahoma" w:cs="Tahoma"/>
                <w:sz w:val="18"/>
                <w:szCs w:val="18"/>
              </w:rPr>
              <w:t>000</w:t>
            </w:r>
            <w:r w:rsidR="00C10CDD">
              <w:rPr>
                <w:rFonts w:ascii="Tahoma" w:hAnsi="Tahoma" w:cs="Tahoma"/>
                <w:sz w:val="18"/>
                <w:szCs w:val="18"/>
              </w:rPr>
              <w:t>.</w:t>
            </w:r>
            <w:r>
              <w:rPr>
                <w:rFonts w:ascii="Tahoma" w:hAnsi="Tahoma" w:cs="Tahoma"/>
                <w:sz w:val="18"/>
                <w:szCs w:val="18"/>
              </w:rPr>
              <w:t>000</w:t>
            </w:r>
          </w:p>
        </w:tc>
        <w:tc>
          <w:tcPr>
            <w:tcW w:w="2151"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KWD 240</w:t>
            </w:r>
            <w:r w:rsidR="00C10CDD">
              <w:rPr>
                <w:rFonts w:ascii="Tahoma" w:hAnsi="Tahoma" w:cs="Tahoma"/>
                <w:sz w:val="18"/>
                <w:szCs w:val="18"/>
              </w:rPr>
              <w:t>.</w:t>
            </w:r>
            <w:r>
              <w:rPr>
                <w:rFonts w:ascii="Tahoma" w:hAnsi="Tahoma" w:cs="Tahoma"/>
                <w:sz w:val="18"/>
                <w:szCs w:val="18"/>
              </w:rPr>
              <w:t>000</w:t>
            </w:r>
            <w:r w:rsidR="00C10CDD">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Norwegische Krone</w:t>
            </w:r>
          </w:p>
        </w:tc>
        <w:tc>
          <w:tcPr>
            <w:tcW w:w="189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NOK</w:t>
            </w:r>
          </w:p>
        </w:tc>
        <w:tc>
          <w:tcPr>
            <w:tcW w:w="216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kr 165</w:t>
            </w:r>
            <w:r w:rsidR="00C10CDD">
              <w:rPr>
                <w:rFonts w:ascii="Tahoma" w:hAnsi="Tahoma" w:cs="Tahoma"/>
                <w:sz w:val="18"/>
                <w:szCs w:val="18"/>
              </w:rPr>
              <w:t>.</w:t>
            </w:r>
            <w:r>
              <w:rPr>
                <w:rFonts w:ascii="Tahoma" w:hAnsi="Tahoma" w:cs="Tahoma"/>
                <w:sz w:val="18"/>
                <w:szCs w:val="18"/>
              </w:rPr>
              <w:t>000</w:t>
            </w:r>
          </w:p>
        </w:tc>
        <w:tc>
          <w:tcPr>
            <w:tcW w:w="2151"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kr 1</w:t>
            </w:r>
            <w:r w:rsidR="00C10CDD">
              <w:rPr>
                <w:rFonts w:ascii="Tahoma" w:hAnsi="Tahoma" w:cs="Tahoma"/>
                <w:sz w:val="18"/>
                <w:szCs w:val="18"/>
              </w:rPr>
              <w:t>.</w:t>
            </w:r>
            <w:r>
              <w:rPr>
                <w:rFonts w:ascii="Tahoma" w:hAnsi="Tahoma" w:cs="Tahoma"/>
                <w:sz w:val="18"/>
                <w:szCs w:val="18"/>
              </w:rPr>
              <w:t>650</w:t>
            </w:r>
            <w:r w:rsidR="00C10CDD">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Neuseeländischer Dollar</w:t>
            </w:r>
          </w:p>
        </w:tc>
        <w:tc>
          <w:tcPr>
            <w:tcW w:w="189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NZD</w:t>
            </w:r>
          </w:p>
        </w:tc>
        <w:tc>
          <w:tcPr>
            <w:tcW w:w="2160" w:type="dxa"/>
            <w:vAlign w:val="bottom"/>
          </w:tcPr>
          <w:p w:rsidR="008D4EE5" w:rsidRDefault="008D4EE5" w:rsidP="00346306">
            <w:pPr>
              <w:pStyle w:val="AppendixBodyText"/>
              <w:rPr>
                <w:rFonts w:ascii="Tahoma" w:hAnsi="Tahoma" w:cs="Tahoma"/>
                <w:sz w:val="18"/>
                <w:szCs w:val="18"/>
              </w:rPr>
            </w:pPr>
            <w:r>
              <w:rPr>
                <w:rFonts w:ascii="Tahoma" w:hAnsi="Tahoma" w:cs="Tahoma"/>
                <w:sz w:val="18"/>
                <w:szCs w:val="18"/>
              </w:rPr>
              <w:t>35</w:t>
            </w:r>
            <w:r w:rsidR="00C10CDD">
              <w:rPr>
                <w:rFonts w:ascii="Tahoma" w:hAnsi="Tahoma" w:cs="Tahoma"/>
                <w:sz w:val="18"/>
                <w:szCs w:val="18"/>
              </w:rPr>
              <w:t>.</w:t>
            </w:r>
            <w:r>
              <w:rPr>
                <w:rFonts w:ascii="Tahoma" w:hAnsi="Tahoma" w:cs="Tahoma"/>
                <w:sz w:val="18"/>
                <w:szCs w:val="18"/>
              </w:rPr>
              <w:t>000</w:t>
            </w:r>
          </w:p>
        </w:tc>
        <w:tc>
          <w:tcPr>
            <w:tcW w:w="2151" w:type="dxa"/>
            <w:vAlign w:val="bottom"/>
          </w:tcPr>
          <w:p w:rsidR="008D4EE5" w:rsidRDefault="008D4EE5" w:rsidP="00346306">
            <w:pPr>
              <w:pStyle w:val="AppendixBodyText"/>
              <w:rPr>
                <w:rFonts w:ascii="Tahoma" w:hAnsi="Tahoma" w:cs="Tahoma"/>
                <w:sz w:val="18"/>
                <w:szCs w:val="18"/>
              </w:rPr>
            </w:pPr>
            <w:r>
              <w:rPr>
                <w:rFonts w:ascii="Tahoma" w:hAnsi="Tahoma" w:cs="Tahoma"/>
                <w:sz w:val="18"/>
                <w:szCs w:val="18"/>
              </w:rPr>
              <w:t>350</w:t>
            </w:r>
            <w:r w:rsidR="00C10CDD">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Schwedische Krone</w:t>
            </w:r>
          </w:p>
        </w:tc>
        <w:tc>
          <w:tcPr>
            <w:tcW w:w="189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SEK</w:t>
            </w:r>
          </w:p>
        </w:tc>
        <w:tc>
          <w:tcPr>
            <w:tcW w:w="2160"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kr 200</w:t>
            </w:r>
            <w:r w:rsidR="00C10CDD">
              <w:rPr>
                <w:rFonts w:ascii="Tahoma" w:hAnsi="Tahoma" w:cs="Tahoma"/>
                <w:sz w:val="18"/>
                <w:szCs w:val="18"/>
              </w:rPr>
              <w:t>.</w:t>
            </w:r>
            <w:r>
              <w:rPr>
                <w:rFonts w:ascii="Tahoma" w:hAnsi="Tahoma" w:cs="Tahoma"/>
                <w:sz w:val="18"/>
                <w:szCs w:val="18"/>
              </w:rPr>
              <w:t>000</w:t>
            </w:r>
          </w:p>
        </w:tc>
        <w:tc>
          <w:tcPr>
            <w:tcW w:w="2151"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kr 2</w:t>
            </w:r>
            <w:r w:rsidR="00C10CDD">
              <w:rPr>
                <w:rFonts w:ascii="Tahoma" w:hAnsi="Tahoma" w:cs="Tahoma"/>
                <w:sz w:val="18"/>
                <w:szCs w:val="18"/>
              </w:rPr>
              <w:t>.</w:t>
            </w:r>
            <w:r>
              <w:rPr>
                <w:rFonts w:ascii="Tahoma" w:hAnsi="Tahoma" w:cs="Tahoma"/>
                <w:sz w:val="18"/>
                <w:szCs w:val="18"/>
              </w:rPr>
              <w:t>000</w:t>
            </w:r>
            <w:r w:rsidR="00C10CDD">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vAlign w:val="bottom"/>
          </w:tcPr>
          <w:p w:rsidR="008D4EE5" w:rsidRPr="004B4C79" w:rsidRDefault="008D4EE5" w:rsidP="00A67771">
            <w:pPr>
              <w:pStyle w:val="AppendixBodyText"/>
              <w:rPr>
                <w:rFonts w:ascii="Tahoma" w:hAnsi="Tahoma" w:cs="Tahoma"/>
                <w:sz w:val="18"/>
                <w:szCs w:val="18"/>
              </w:rPr>
            </w:pPr>
            <w:r>
              <w:rPr>
                <w:rFonts w:ascii="Tahoma" w:hAnsi="Tahoma" w:cs="Tahoma"/>
                <w:sz w:val="18"/>
                <w:szCs w:val="18"/>
              </w:rPr>
              <w:t>Neuer Taiwan-Dollar</w:t>
            </w:r>
          </w:p>
        </w:tc>
        <w:tc>
          <w:tcPr>
            <w:tcW w:w="1890" w:type="dxa"/>
            <w:vAlign w:val="bottom"/>
          </w:tcPr>
          <w:p w:rsidR="008D4EE5" w:rsidRPr="00913B84" w:rsidRDefault="008D4EE5" w:rsidP="00A67771">
            <w:pPr>
              <w:pStyle w:val="AppendixBodyText"/>
              <w:rPr>
                <w:rFonts w:ascii="Tahoma" w:hAnsi="Tahoma" w:cs="Tahoma"/>
                <w:sz w:val="18"/>
                <w:szCs w:val="18"/>
              </w:rPr>
            </w:pPr>
            <w:r>
              <w:rPr>
                <w:rFonts w:ascii="Tahoma" w:hAnsi="Tahoma" w:cs="Tahoma"/>
                <w:sz w:val="18"/>
                <w:szCs w:val="18"/>
              </w:rPr>
              <w:t>TWD</w:t>
            </w:r>
          </w:p>
        </w:tc>
        <w:tc>
          <w:tcPr>
            <w:tcW w:w="2160" w:type="dxa"/>
            <w:vAlign w:val="bottom"/>
          </w:tcPr>
          <w:p w:rsidR="008D4EE5" w:rsidRPr="00B27F12" w:rsidRDefault="008D4EE5" w:rsidP="00A67771">
            <w:pPr>
              <w:pStyle w:val="AppendixBodyText"/>
              <w:rPr>
                <w:rFonts w:ascii="Tahoma" w:hAnsi="Tahoma" w:cs="Tahoma"/>
                <w:sz w:val="18"/>
                <w:szCs w:val="18"/>
              </w:rPr>
            </w:pPr>
            <w:r>
              <w:rPr>
                <w:rFonts w:ascii="Tahoma" w:hAnsi="Tahoma" w:cs="Tahoma"/>
                <w:sz w:val="18"/>
                <w:szCs w:val="18"/>
              </w:rPr>
              <w:t>NTD 700</w:t>
            </w:r>
            <w:r w:rsidR="00C10CDD">
              <w:rPr>
                <w:rFonts w:ascii="Tahoma" w:hAnsi="Tahoma" w:cs="Tahoma"/>
                <w:sz w:val="18"/>
                <w:szCs w:val="18"/>
              </w:rPr>
              <w:t>.</w:t>
            </w:r>
            <w:r>
              <w:rPr>
                <w:rFonts w:ascii="Tahoma" w:hAnsi="Tahoma" w:cs="Tahoma"/>
                <w:sz w:val="18"/>
                <w:szCs w:val="18"/>
              </w:rPr>
              <w:t>000</w:t>
            </w:r>
          </w:p>
        </w:tc>
        <w:tc>
          <w:tcPr>
            <w:tcW w:w="2151" w:type="dxa"/>
            <w:vAlign w:val="bottom"/>
          </w:tcPr>
          <w:p w:rsidR="008D4EE5" w:rsidRPr="000773D2" w:rsidRDefault="008D4EE5" w:rsidP="00A67771">
            <w:pPr>
              <w:pStyle w:val="AppendixBodyText"/>
              <w:rPr>
                <w:rFonts w:ascii="Tahoma" w:hAnsi="Tahoma" w:cs="Tahoma"/>
                <w:sz w:val="18"/>
                <w:szCs w:val="18"/>
              </w:rPr>
            </w:pPr>
            <w:r>
              <w:rPr>
                <w:rFonts w:ascii="Tahoma" w:hAnsi="Tahoma" w:cs="Tahoma"/>
                <w:sz w:val="18"/>
                <w:szCs w:val="18"/>
              </w:rPr>
              <w:t>NTD 7</w:t>
            </w:r>
            <w:r w:rsidR="00C10CDD">
              <w:rPr>
                <w:rFonts w:ascii="Tahoma" w:hAnsi="Tahoma" w:cs="Tahoma"/>
                <w:sz w:val="18"/>
                <w:szCs w:val="18"/>
              </w:rPr>
              <w:t>.</w:t>
            </w:r>
            <w:r>
              <w:rPr>
                <w:rFonts w:ascii="Tahoma" w:hAnsi="Tahoma" w:cs="Tahoma"/>
                <w:sz w:val="18"/>
                <w:szCs w:val="18"/>
              </w:rPr>
              <w:t>000</w:t>
            </w:r>
            <w:r w:rsidR="00C10CDD">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tcPr>
          <w:p w:rsidR="008D4EE5" w:rsidRPr="004B4C79" w:rsidRDefault="008D4EE5" w:rsidP="00A67771">
            <w:pPr>
              <w:pStyle w:val="AppendixBodyText"/>
              <w:rPr>
                <w:rFonts w:ascii="Tahoma" w:hAnsi="Tahoma" w:cs="Tahoma"/>
                <w:sz w:val="18"/>
                <w:szCs w:val="18"/>
              </w:rPr>
            </w:pPr>
            <w:r>
              <w:rPr>
                <w:rFonts w:ascii="Tahoma" w:hAnsi="Tahoma" w:cs="Tahoma"/>
                <w:sz w:val="18"/>
                <w:szCs w:val="18"/>
              </w:rPr>
              <w:t>Indische Rupie</w:t>
            </w:r>
          </w:p>
        </w:tc>
        <w:tc>
          <w:tcPr>
            <w:tcW w:w="1890" w:type="dxa"/>
          </w:tcPr>
          <w:p w:rsidR="008D4EE5" w:rsidRPr="004B4C79" w:rsidRDefault="008D4EE5" w:rsidP="00A67771">
            <w:pPr>
              <w:pStyle w:val="AppendixBodyText"/>
              <w:rPr>
                <w:rFonts w:ascii="Tahoma" w:hAnsi="Tahoma" w:cs="Tahoma"/>
                <w:sz w:val="18"/>
                <w:szCs w:val="18"/>
              </w:rPr>
            </w:pPr>
            <w:r>
              <w:rPr>
                <w:rFonts w:ascii="Tahoma" w:hAnsi="Tahoma" w:cs="Tahoma"/>
                <w:sz w:val="18"/>
                <w:szCs w:val="18"/>
              </w:rPr>
              <w:t>INR</w:t>
            </w:r>
          </w:p>
        </w:tc>
        <w:tc>
          <w:tcPr>
            <w:tcW w:w="2160" w:type="dxa"/>
          </w:tcPr>
          <w:p w:rsidR="008D4EE5" w:rsidRPr="004B4C79" w:rsidRDefault="008D4EE5" w:rsidP="00A67771">
            <w:pPr>
              <w:pStyle w:val="AppendixBodyText"/>
              <w:rPr>
                <w:rFonts w:ascii="Tahoma" w:hAnsi="Tahoma" w:cs="Tahoma"/>
                <w:sz w:val="18"/>
                <w:szCs w:val="18"/>
              </w:rPr>
            </w:pPr>
            <w:r>
              <w:rPr>
                <w:rFonts w:ascii="Tahoma" w:hAnsi="Tahoma" w:cs="Tahoma"/>
                <w:sz w:val="18"/>
                <w:szCs w:val="18"/>
              </w:rPr>
              <w:t>INR 1</w:t>
            </w:r>
            <w:r w:rsidR="00C10CDD">
              <w:rPr>
                <w:rFonts w:ascii="Tahoma" w:hAnsi="Tahoma" w:cs="Tahoma"/>
                <w:sz w:val="18"/>
                <w:szCs w:val="18"/>
              </w:rPr>
              <w:t>.</w:t>
            </w:r>
            <w:r>
              <w:rPr>
                <w:rFonts w:ascii="Tahoma" w:hAnsi="Tahoma" w:cs="Tahoma"/>
                <w:sz w:val="18"/>
                <w:szCs w:val="18"/>
              </w:rPr>
              <w:t>000</w:t>
            </w:r>
            <w:r w:rsidR="00C10CDD">
              <w:rPr>
                <w:rFonts w:ascii="Tahoma" w:hAnsi="Tahoma" w:cs="Tahoma"/>
                <w:sz w:val="18"/>
                <w:szCs w:val="18"/>
              </w:rPr>
              <w:t>.</w:t>
            </w:r>
            <w:r>
              <w:rPr>
                <w:rFonts w:ascii="Tahoma" w:hAnsi="Tahoma" w:cs="Tahoma"/>
                <w:sz w:val="18"/>
                <w:szCs w:val="18"/>
              </w:rPr>
              <w:t>000</w:t>
            </w:r>
          </w:p>
        </w:tc>
        <w:tc>
          <w:tcPr>
            <w:tcW w:w="2151" w:type="dxa"/>
          </w:tcPr>
          <w:p w:rsidR="008D4EE5" w:rsidRPr="004B4C79" w:rsidRDefault="008D4EE5" w:rsidP="00A67771">
            <w:pPr>
              <w:pStyle w:val="AppendixBodyText"/>
              <w:rPr>
                <w:rFonts w:ascii="Tahoma" w:hAnsi="Tahoma" w:cs="Tahoma"/>
                <w:sz w:val="18"/>
                <w:szCs w:val="18"/>
              </w:rPr>
            </w:pPr>
            <w:r>
              <w:rPr>
                <w:rFonts w:ascii="Tahoma" w:hAnsi="Tahoma" w:cs="Tahoma"/>
                <w:sz w:val="18"/>
                <w:szCs w:val="18"/>
              </w:rPr>
              <w:t>INR 10</w:t>
            </w:r>
            <w:r w:rsidR="00C10CDD">
              <w:rPr>
                <w:rFonts w:ascii="Tahoma" w:hAnsi="Tahoma" w:cs="Tahoma"/>
                <w:sz w:val="18"/>
                <w:szCs w:val="18"/>
              </w:rPr>
              <w:t>.</w:t>
            </w:r>
            <w:r>
              <w:rPr>
                <w:rFonts w:ascii="Tahoma" w:hAnsi="Tahoma" w:cs="Tahoma"/>
                <w:sz w:val="18"/>
                <w:szCs w:val="18"/>
              </w:rPr>
              <w:t>000</w:t>
            </w:r>
            <w:r w:rsidR="00844B7C">
              <w:rPr>
                <w:rFonts w:ascii="Tahoma" w:hAnsi="Tahoma" w:cs="Tahoma"/>
                <w:sz w:val="18"/>
                <w:szCs w:val="18"/>
              </w:rPr>
              <w:t>.</w:t>
            </w:r>
            <w:r>
              <w:rPr>
                <w:rFonts w:ascii="Tahoma" w:hAnsi="Tahoma" w:cs="Tahoma"/>
                <w:sz w:val="18"/>
                <w:szCs w:val="18"/>
              </w:rPr>
              <w:t>000</w:t>
            </w:r>
          </w:p>
        </w:tc>
      </w:tr>
      <w:tr w:rsidR="008D4EE5" w:rsidTr="00346306">
        <w:trPr>
          <w:trHeight w:val="236"/>
        </w:trPr>
        <w:tc>
          <w:tcPr>
            <w:tcW w:w="2520" w:type="dxa"/>
          </w:tcPr>
          <w:p w:rsidR="008D4EE5" w:rsidRPr="004B4C79" w:rsidRDefault="008D4EE5" w:rsidP="00A67771">
            <w:pPr>
              <w:pStyle w:val="AppendixBodyText"/>
              <w:rPr>
                <w:rFonts w:ascii="Tahoma" w:hAnsi="Tahoma" w:cs="Tahoma"/>
                <w:sz w:val="18"/>
                <w:szCs w:val="18"/>
              </w:rPr>
            </w:pPr>
            <w:r>
              <w:rPr>
                <w:rFonts w:ascii="Tahoma" w:hAnsi="Tahoma" w:cs="Tahoma"/>
                <w:sz w:val="18"/>
                <w:szCs w:val="18"/>
              </w:rPr>
              <w:t>Russischer Rubel</w:t>
            </w:r>
          </w:p>
        </w:tc>
        <w:tc>
          <w:tcPr>
            <w:tcW w:w="1890" w:type="dxa"/>
          </w:tcPr>
          <w:p w:rsidR="008D4EE5" w:rsidRPr="004B4C79" w:rsidRDefault="008D4EE5" w:rsidP="00A67771">
            <w:pPr>
              <w:pStyle w:val="AppendixBodyText"/>
              <w:rPr>
                <w:rFonts w:ascii="Tahoma" w:hAnsi="Tahoma" w:cs="Tahoma"/>
                <w:sz w:val="18"/>
                <w:szCs w:val="18"/>
              </w:rPr>
            </w:pPr>
            <w:r>
              <w:rPr>
                <w:rFonts w:ascii="Tahoma" w:hAnsi="Tahoma" w:cs="Tahoma"/>
                <w:sz w:val="18"/>
                <w:szCs w:val="18"/>
              </w:rPr>
              <w:t>RUB</w:t>
            </w:r>
          </w:p>
        </w:tc>
        <w:tc>
          <w:tcPr>
            <w:tcW w:w="2160" w:type="dxa"/>
          </w:tcPr>
          <w:p w:rsidR="008D4EE5" w:rsidRPr="004B4C79" w:rsidRDefault="008D4EE5" w:rsidP="00A67771">
            <w:pPr>
              <w:pStyle w:val="AppendixBodyText"/>
              <w:rPr>
                <w:rFonts w:ascii="Tahoma" w:hAnsi="Tahoma" w:cs="Tahoma"/>
                <w:sz w:val="18"/>
                <w:szCs w:val="18"/>
              </w:rPr>
            </w:pPr>
            <w:r>
              <w:rPr>
                <w:rFonts w:ascii="Tahoma" w:hAnsi="Tahoma" w:cs="Tahoma"/>
                <w:sz w:val="18"/>
                <w:szCs w:val="18"/>
              </w:rPr>
              <w:t>RUB 660</w:t>
            </w:r>
            <w:r w:rsidR="00C10CDD">
              <w:rPr>
                <w:rFonts w:ascii="Tahoma" w:hAnsi="Tahoma" w:cs="Tahoma"/>
                <w:sz w:val="18"/>
                <w:szCs w:val="18"/>
              </w:rPr>
              <w:t>.</w:t>
            </w:r>
            <w:r>
              <w:rPr>
                <w:rFonts w:ascii="Tahoma" w:hAnsi="Tahoma" w:cs="Tahoma"/>
                <w:sz w:val="18"/>
                <w:szCs w:val="18"/>
              </w:rPr>
              <w:t>000</w:t>
            </w:r>
          </w:p>
        </w:tc>
        <w:tc>
          <w:tcPr>
            <w:tcW w:w="2151" w:type="dxa"/>
          </w:tcPr>
          <w:p w:rsidR="008D4EE5" w:rsidRPr="004B4C79" w:rsidRDefault="008D4EE5" w:rsidP="00A67771">
            <w:pPr>
              <w:pStyle w:val="AppendixBodyText"/>
              <w:rPr>
                <w:rFonts w:ascii="Tahoma" w:hAnsi="Tahoma" w:cs="Tahoma"/>
                <w:sz w:val="18"/>
                <w:szCs w:val="18"/>
              </w:rPr>
            </w:pPr>
            <w:r>
              <w:rPr>
                <w:rFonts w:ascii="Tahoma" w:hAnsi="Tahoma" w:cs="Tahoma"/>
                <w:sz w:val="18"/>
                <w:szCs w:val="18"/>
              </w:rPr>
              <w:t>RUB 6</w:t>
            </w:r>
            <w:r w:rsidR="00C10CDD">
              <w:rPr>
                <w:rFonts w:ascii="Tahoma" w:hAnsi="Tahoma" w:cs="Tahoma"/>
                <w:sz w:val="18"/>
                <w:szCs w:val="18"/>
              </w:rPr>
              <w:t>.</w:t>
            </w:r>
            <w:r>
              <w:rPr>
                <w:rFonts w:ascii="Tahoma" w:hAnsi="Tahoma" w:cs="Tahoma"/>
                <w:sz w:val="18"/>
                <w:szCs w:val="18"/>
              </w:rPr>
              <w:t>600</w:t>
            </w:r>
            <w:r w:rsidR="00844B7C">
              <w:rPr>
                <w:rFonts w:ascii="Tahoma" w:hAnsi="Tahoma" w:cs="Tahoma"/>
                <w:sz w:val="18"/>
                <w:szCs w:val="18"/>
              </w:rPr>
              <w:t>.</w:t>
            </w:r>
            <w:r>
              <w:rPr>
                <w:rFonts w:ascii="Tahoma" w:hAnsi="Tahoma" w:cs="Tahoma"/>
                <w:sz w:val="18"/>
                <w:szCs w:val="18"/>
              </w:rPr>
              <w:t>000</w:t>
            </w:r>
          </w:p>
        </w:tc>
      </w:tr>
    </w:tbl>
    <w:p w:rsidR="008D4EE5" w:rsidRPr="00346306" w:rsidRDefault="008D4EE5" w:rsidP="001742B1">
      <w:pPr>
        <w:pStyle w:val="AppendixBodyText"/>
        <w:spacing w:after="0"/>
        <w:rPr>
          <w:sz w:val="18"/>
          <w:szCs w:val="18"/>
        </w:rPr>
      </w:pPr>
    </w:p>
    <w:p w:rsidR="008D4EE5" w:rsidRPr="002A48C7" w:rsidRDefault="008D4EE5" w:rsidP="00346306">
      <w:pPr>
        <w:pStyle w:val="AppendixBodyText"/>
        <w:spacing w:after="0"/>
        <w:rPr>
          <w:lang w:val="de-DE"/>
        </w:rPr>
      </w:pPr>
      <w:r w:rsidRPr="002A48C7">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 Open-Lizenz-Autorisierungsnummer gewährt</w:t>
      </w:r>
      <w:r w:rsidR="006257A7">
        <w:rPr>
          <w:rFonts w:ascii="Tahoma" w:hAnsi="Tahoma" w:cs="Tahoma"/>
          <w:sz w:val="18"/>
          <w:szCs w:val="18"/>
          <w:lang w:val="de-DE"/>
        </w:rPr>
        <w:t xml:space="preserve">. </w:t>
      </w:r>
      <w:r w:rsidRPr="002A48C7">
        <w:rPr>
          <w:rFonts w:ascii="Tahoma" w:hAnsi="Tahoma" w:cs="Tahoma"/>
          <w:sz w:val="18"/>
          <w:szCs w:val="18"/>
          <w:lang w:val="de-DE"/>
        </w:rPr>
        <w:t>Für SA-Ausgaben in Höhe von etwa 20</w:t>
      </w:r>
      <w:r w:rsidR="00844B7C">
        <w:rPr>
          <w:rFonts w:ascii="Tahoma" w:hAnsi="Tahoma" w:cs="Tahoma"/>
          <w:sz w:val="18"/>
          <w:szCs w:val="18"/>
          <w:lang w:val="de-DE"/>
        </w:rPr>
        <w:t>.</w:t>
      </w:r>
      <w:r w:rsidRPr="002A48C7">
        <w:rPr>
          <w:rFonts w:ascii="Tahoma" w:hAnsi="Tahoma" w:cs="Tahoma"/>
          <w:sz w:val="18"/>
          <w:szCs w:val="18"/>
          <w:lang w:val="de-DE"/>
        </w:rPr>
        <w:t>000 US-Dollar für Server und CAL gewähren wir eine Anfrage</w:t>
      </w:r>
      <w:r w:rsidR="006257A7">
        <w:rPr>
          <w:rFonts w:ascii="Tahoma" w:hAnsi="Tahoma" w:cs="Tahoma"/>
          <w:sz w:val="18"/>
          <w:szCs w:val="18"/>
          <w:lang w:val="de-DE"/>
        </w:rPr>
        <w:t xml:space="preserve">. </w:t>
      </w:r>
      <w:r w:rsidRPr="002A48C7">
        <w:rPr>
          <w:rFonts w:ascii="Tahoma" w:hAnsi="Tahoma" w:cs="Tahoma"/>
          <w:sz w:val="18"/>
          <w:szCs w:val="18"/>
          <w:lang w:val="de-DE"/>
        </w:rPr>
        <w:t>Für SA-Ausgaben in Höhe von etwa 200</w:t>
      </w:r>
      <w:r w:rsidR="00844B7C">
        <w:rPr>
          <w:rFonts w:ascii="Tahoma" w:hAnsi="Tahoma" w:cs="Tahoma"/>
          <w:sz w:val="18"/>
          <w:szCs w:val="18"/>
          <w:lang w:val="de-DE"/>
        </w:rPr>
        <w:t>.</w:t>
      </w:r>
      <w:r w:rsidRPr="002A48C7">
        <w:rPr>
          <w:rFonts w:ascii="Tahoma" w:hAnsi="Tahoma" w:cs="Tahoma"/>
          <w:sz w:val="18"/>
          <w:szCs w:val="18"/>
          <w:lang w:val="de-DE"/>
        </w:rPr>
        <w:t>000 US-Dollar innerhalb der System- und Anwendungs-Pools gewähren wir eine Anfrage</w:t>
      </w:r>
      <w:r w:rsidR="006257A7">
        <w:rPr>
          <w:rFonts w:ascii="Tahoma" w:hAnsi="Tahoma" w:cs="Tahoma"/>
          <w:sz w:val="18"/>
          <w:szCs w:val="18"/>
          <w:lang w:val="de-DE"/>
        </w:rPr>
        <w:t xml:space="preserve">. </w:t>
      </w:r>
      <w:r w:rsidRPr="002A48C7">
        <w:rPr>
          <w:rFonts w:ascii="Tahoma" w:hAnsi="Tahoma" w:cs="Tahoma"/>
          <w:sz w:val="18"/>
          <w:szCs w:val="18"/>
          <w:lang w:val="de-DE"/>
        </w:rPr>
        <w:t>Die folgende Tabelle enthält die ungefähren Währungsäquivalente für</w:t>
      </w:r>
      <w:r w:rsidR="00346306">
        <w:rPr>
          <w:rFonts w:ascii="Tahoma" w:hAnsi="Tahoma" w:cs="Tahoma"/>
          <w:sz w:val="18"/>
          <w:szCs w:val="18"/>
          <w:lang w:val="de-DE"/>
        </w:rPr>
        <w:t> </w:t>
      </w:r>
      <w:r w:rsidRPr="002A48C7">
        <w:rPr>
          <w:rFonts w:ascii="Tahoma" w:hAnsi="Tahoma" w:cs="Tahoma"/>
          <w:sz w:val="18"/>
          <w:szCs w:val="18"/>
          <w:lang w:val="de-DE"/>
        </w:rPr>
        <w:t>auf Grundlage von SA-Ausgaben gewährten Anfragen für Verträge, die nicht auf US-Dollar lauten</w:t>
      </w:r>
      <w:r w:rsidR="006257A7">
        <w:rPr>
          <w:rFonts w:ascii="Tahoma" w:hAnsi="Tahoma" w:cs="Tahoma"/>
          <w:sz w:val="18"/>
          <w:szCs w:val="18"/>
          <w:lang w:val="de-DE"/>
        </w:rPr>
        <w:t xml:space="preserve">. </w:t>
      </w:r>
      <w:r w:rsidRPr="002A48C7">
        <w:rPr>
          <w:rFonts w:ascii="Tahoma" w:hAnsi="Tahoma" w:cs="Tahoma"/>
          <w:sz w:val="18"/>
          <w:szCs w:val="18"/>
          <w:lang w:val="de-DE"/>
        </w:rPr>
        <w:t>Aufgrund der Wechselkursschwankungen sind Änderungen an dieser Tabelle vorbehalten</w:t>
      </w:r>
      <w:r w:rsidR="006257A7">
        <w:rPr>
          <w:rFonts w:ascii="Tahoma" w:hAnsi="Tahoma" w:cs="Tahoma"/>
          <w:sz w:val="18"/>
          <w:szCs w:val="18"/>
          <w:lang w:val="de-DE"/>
        </w:rPr>
        <w:t xml:space="preserve">. </w:t>
      </w:r>
    </w:p>
    <w:p w:rsidR="008D4EE5" w:rsidRPr="00346306" w:rsidRDefault="008D4EE5" w:rsidP="001742B1">
      <w:pPr>
        <w:pStyle w:val="AppendixBodyText"/>
        <w:spacing w:after="0"/>
        <w:rPr>
          <w:sz w:val="18"/>
          <w:szCs w:val="18"/>
          <w:lang w:val="de-DE"/>
        </w:rPr>
      </w:pPr>
    </w:p>
    <w:p w:rsidR="008D4EE5" w:rsidRPr="002A48C7" w:rsidRDefault="008D4EE5" w:rsidP="00346306">
      <w:pPr>
        <w:pStyle w:val="AppendixBodyText"/>
        <w:spacing w:after="0"/>
        <w:rPr>
          <w:lang w:val="de-DE"/>
        </w:rPr>
      </w:pPr>
      <w:r w:rsidRPr="002A48C7">
        <w:rPr>
          <w:rFonts w:ascii="Tahoma" w:hAnsi="Tahoma" w:cs="Tahoma"/>
          <w:sz w:val="18"/>
          <w:szCs w:val="18"/>
          <w:lang w:val="de-DE"/>
        </w:rPr>
        <w:t>Anfragen werden in der Software Assurance-Laufzeit auf Grundlage der Zahlungsoption zugeteilt</w:t>
      </w:r>
      <w:r w:rsidR="006257A7">
        <w:rPr>
          <w:rFonts w:ascii="Tahoma" w:hAnsi="Tahoma" w:cs="Tahoma"/>
          <w:sz w:val="18"/>
          <w:szCs w:val="18"/>
          <w:lang w:val="de-DE"/>
        </w:rPr>
        <w:t xml:space="preserve">. </w:t>
      </w:r>
      <w:r w:rsidRPr="002A48C7">
        <w:rPr>
          <w:rFonts w:ascii="Tahoma" w:hAnsi="Tahoma" w:cs="Tahoma"/>
          <w:sz w:val="18"/>
          <w:szCs w:val="18"/>
          <w:lang w:val="de-DE"/>
        </w:rPr>
        <w:t>Für Verträge, die</w:t>
      </w:r>
      <w:r w:rsidR="00346306">
        <w:rPr>
          <w:rFonts w:ascii="Tahoma" w:hAnsi="Tahoma" w:cs="Tahoma"/>
          <w:sz w:val="18"/>
          <w:szCs w:val="18"/>
          <w:lang w:val="de-DE"/>
        </w:rPr>
        <w:t> </w:t>
      </w:r>
      <w:r w:rsidRPr="002A48C7">
        <w:rPr>
          <w:rFonts w:ascii="Tahoma" w:hAnsi="Tahoma" w:cs="Tahoma"/>
          <w:sz w:val="18"/>
          <w:szCs w:val="18"/>
          <w:lang w:val="de-DE"/>
        </w:rPr>
        <w:t>Ratenzahlungen entsprechen, werden die Anfragen während die Laufzeit gewährt</w:t>
      </w:r>
      <w:r w:rsidR="006257A7">
        <w:rPr>
          <w:rFonts w:ascii="Tahoma" w:hAnsi="Tahoma" w:cs="Tahoma"/>
          <w:sz w:val="18"/>
          <w:szCs w:val="18"/>
          <w:lang w:val="de-DE"/>
        </w:rPr>
        <w:t xml:space="preserve">. </w:t>
      </w:r>
      <w:r w:rsidRPr="002A48C7">
        <w:rPr>
          <w:rFonts w:ascii="Tahoma" w:hAnsi="Tahoma" w:cs="Tahoma"/>
          <w:sz w:val="18"/>
          <w:szCs w:val="18"/>
          <w:lang w:val="de-DE"/>
        </w:rPr>
        <w:t>Für Verträge, die einer Einmalzahlung entsprechen, werden sie zu Beginn gewährt</w:t>
      </w:r>
      <w:r w:rsidR="006257A7">
        <w:rPr>
          <w:rFonts w:ascii="Tahoma" w:hAnsi="Tahoma" w:cs="Tahoma"/>
          <w:sz w:val="18"/>
          <w:szCs w:val="18"/>
          <w:lang w:val="de-DE"/>
        </w:rPr>
        <w:t xml:space="preserve">. </w:t>
      </w:r>
      <w:r w:rsidRPr="002A48C7">
        <w:rPr>
          <w:rFonts w:ascii="Tahoma" w:hAnsi="Tahoma" w:cs="Tahoma"/>
          <w:sz w:val="18"/>
          <w:szCs w:val="18"/>
          <w:lang w:val="de-DE"/>
        </w:rPr>
        <w:t>Käufe, die nach der Anfangsbestellung getätigt werden, führen zu einer Neuberechnung der gewährten Anfragen und der jährlichen Zuteilung</w:t>
      </w:r>
      <w:r w:rsidR="006257A7">
        <w:rPr>
          <w:rFonts w:ascii="Tahoma" w:hAnsi="Tahoma" w:cs="Tahoma"/>
          <w:sz w:val="18"/>
          <w:szCs w:val="18"/>
          <w:lang w:val="de-DE"/>
        </w:rPr>
        <w:t xml:space="preserve">. </w:t>
      </w:r>
      <w:r w:rsidRPr="002A48C7">
        <w:rPr>
          <w:rFonts w:ascii="Tahoma" w:hAnsi="Tahoma" w:cs="Tahoma"/>
          <w:sz w:val="18"/>
          <w:szCs w:val="18"/>
          <w:lang w:val="de-DE"/>
        </w:rPr>
        <w:t>Nicht in Anspruch genommene telefonische Supportanfragen verlieren mit Ablauf von Software Assurance ihre Gültigkeit</w:t>
      </w:r>
      <w:r w:rsidR="006257A7">
        <w:rPr>
          <w:rFonts w:ascii="Tahoma" w:hAnsi="Tahoma" w:cs="Tahoma"/>
          <w:sz w:val="18"/>
          <w:szCs w:val="18"/>
          <w:lang w:val="de-DE"/>
        </w:rPr>
        <w:t xml:space="preserve">. </w:t>
      </w:r>
      <w:r w:rsidRPr="002A48C7">
        <w:rPr>
          <w:rFonts w:ascii="Tahoma" w:hAnsi="Tahoma" w:cs="Tahoma"/>
          <w:sz w:val="18"/>
          <w:szCs w:val="18"/>
          <w:lang w:val="de-DE"/>
        </w:rPr>
        <w:t>Telefonische Supportanfragen können nicht von einem Beitritt oder Vertrag auf einen anderen übertragen werden</w:t>
      </w:r>
      <w:r w:rsidR="006257A7">
        <w:rPr>
          <w:rFonts w:ascii="Tahoma" w:hAnsi="Tahoma" w:cs="Tahoma"/>
          <w:sz w:val="18"/>
          <w:szCs w:val="18"/>
          <w:lang w:val="de-DE"/>
        </w:rPr>
        <w:t xml:space="preserve">. </w:t>
      </w:r>
    </w:p>
    <w:p w:rsidR="008D4EE5" w:rsidRPr="00346306" w:rsidRDefault="008D4EE5" w:rsidP="001742B1">
      <w:pPr>
        <w:pStyle w:val="AppendixBodyText"/>
        <w:spacing w:after="0"/>
        <w:rPr>
          <w:sz w:val="18"/>
          <w:szCs w:val="18"/>
          <w:lang w:val="de-DE"/>
        </w:rPr>
      </w:pPr>
    </w:p>
    <w:p w:rsidR="008D4EE5" w:rsidRPr="002A48C7" w:rsidRDefault="008D4EE5" w:rsidP="008D4EE5">
      <w:pPr>
        <w:pStyle w:val="AppendixBodyText"/>
        <w:spacing w:after="0"/>
        <w:rPr>
          <w:lang w:val="de-DE"/>
        </w:rPr>
      </w:pPr>
      <w:r w:rsidRPr="002A48C7">
        <w:rPr>
          <w:rFonts w:ascii="Tahoma" w:hAnsi="Tahoma" w:cs="Tahoma"/>
          <w:sz w:val="18"/>
          <w:szCs w:val="18"/>
          <w:lang w:val="de-DE"/>
        </w:rPr>
        <w:t>Zugang zum lokalen telefonischen Support steht während der Geschäftszeiten*</w:t>
      </w:r>
      <w:r w:rsidRPr="002A48C7">
        <w:rPr>
          <w:rFonts w:ascii="Tahoma" w:hAnsi="Tahoma" w:cs="Tahoma"/>
          <w:sz w:val="18"/>
          <w:szCs w:val="18"/>
          <w:vertAlign w:val="superscript"/>
          <w:lang w:val="de-DE"/>
        </w:rPr>
        <w:t>(1)</w:t>
      </w:r>
      <w:r w:rsidRPr="002A48C7">
        <w:rPr>
          <w:rFonts w:ascii="Tahoma" w:hAnsi="Tahoma" w:cs="Tahoma"/>
          <w:sz w:val="18"/>
          <w:szCs w:val="18"/>
          <w:lang w:val="de-DE"/>
        </w:rPr>
        <w:t xml:space="preserve"> zur Verfügung</w:t>
      </w:r>
      <w:r w:rsidR="006257A7">
        <w:rPr>
          <w:rFonts w:ascii="Tahoma" w:hAnsi="Tahoma" w:cs="Tahoma"/>
          <w:sz w:val="18"/>
          <w:szCs w:val="18"/>
          <w:lang w:val="de-DE"/>
        </w:rPr>
        <w:t xml:space="preserve">. </w:t>
      </w:r>
      <w:r w:rsidRPr="002A48C7">
        <w:rPr>
          <w:rFonts w:ascii="Tahoma" w:hAnsi="Tahoma" w:cs="Tahoma"/>
          <w:sz w:val="18"/>
          <w:szCs w:val="18"/>
          <w:lang w:val="de-DE"/>
        </w:rPr>
        <w:t>Telefonischer Support nach den Geschäftszeiten kann über regionale und internationale Support Center geleistet werden</w:t>
      </w:r>
      <w:r w:rsidR="006257A7">
        <w:rPr>
          <w:rFonts w:ascii="Tahoma" w:hAnsi="Tahoma" w:cs="Tahoma"/>
          <w:sz w:val="18"/>
          <w:szCs w:val="18"/>
          <w:lang w:val="de-DE"/>
        </w:rPr>
        <w:t xml:space="preserve">. </w:t>
      </w:r>
      <w:r w:rsidRPr="002A48C7">
        <w:rPr>
          <w:rFonts w:ascii="Tahoma" w:hAnsi="Tahoma" w:cs="Tahoma"/>
          <w:sz w:val="18"/>
          <w:szCs w:val="18"/>
          <w:lang w:val="de-DE"/>
        </w:rPr>
        <w:t>Telefonischer Support nach den Geschäftszeiten kann nur zur Veranlassung geschäftskritischer Supportanfragen genutzt werden</w:t>
      </w:r>
      <w:r w:rsidR="006257A7">
        <w:rPr>
          <w:rFonts w:ascii="Tahoma" w:hAnsi="Tahoma" w:cs="Tahoma"/>
          <w:sz w:val="18"/>
          <w:szCs w:val="18"/>
          <w:lang w:val="de-DE"/>
        </w:rPr>
        <w:t xml:space="preserve">. </w:t>
      </w:r>
      <w:r w:rsidRPr="002A48C7">
        <w:rPr>
          <w:rFonts w:ascii="Tahoma" w:hAnsi="Tahoma" w:cs="Tahoma"/>
          <w:sz w:val="18"/>
          <w:szCs w:val="18"/>
          <w:lang w:val="de-DE"/>
        </w:rPr>
        <w:t>Die Geschäftszeiten sind von der jeweiligen Region abhängig</w:t>
      </w:r>
      <w:r w:rsidR="006257A7">
        <w:rPr>
          <w:rFonts w:ascii="Tahoma" w:hAnsi="Tahoma" w:cs="Tahoma"/>
          <w:sz w:val="18"/>
          <w:szCs w:val="18"/>
          <w:lang w:val="de-DE"/>
        </w:rPr>
        <w:t xml:space="preserve">. </w:t>
      </w:r>
      <w:r w:rsidRPr="002A48C7">
        <w:rPr>
          <w:rFonts w:ascii="Tahoma" w:hAnsi="Tahoma" w:cs="Tahoma"/>
          <w:sz w:val="18"/>
          <w:szCs w:val="18"/>
          <w:lang w:val="de-DE"/>
        </w:rPr>
        <w:t>Die Microsoft-Kundenvertreter können den Kunden die für die jeweilige Region oder das jeweilige Land festgelegten Geschäftszeiten mitteilen</w:t>
      </w:r>
      <w:r w:rsidR="006257A7">
        <w:rPr>
          <w:rFonts w:ascii="Tahoma" w:hAnsi="Tahoma" w:cs="Tahoma"/>
          <w:sz w:val="18"/>
          <w:szCs w:val="18"/>
          <w:lang w:val="de-DE"/>
        </w:rPr>
        <w:t xml:space="preserve">. </w:t>
      </w:r>
      <w:r w:rsidRPr="002A48C7">
        <w:rPr>
          <w:rFonts w:ascii="Tahoma" w:hAnsi="Tahoma" w:cs="Tahoma"/>
          <w:sz w:val="18"/>
          <w:szCs w:val="18"/>
          <w:lang w:val="de-DE"/>
        </w:rPr>
        <w:t>Telefonischer Support wird nicht in allen Regionen in allen Sprachen angeboten</w:t>
      </w:r>
      <w:r w:rsidR="006257A7">
        <w:rPr>
          <w:rFonts w:ascii="Tahoma" w:hAnsi="Tahoma" w:cs="Tahoma"/>
          <w:sz w:val="18"/>
          <w:szCs w:val="18"/>
          <w:lang w:val="de-DE"/>
        </w:rPr>
        <w:t xml:space="preserve">. </w:t>
      </w:r>
    </w:p>
    <w:p w:rsidR="008D4EE5" w:rsidRPr="00346306" w:rsidRDefault="008D4EE5" w:rsidP="001742B1">
      <w:pPr>
        <w:pStyle w:val="AppendixBodyText"/>
        <w:spacing w:after="0"/>
        <w:rPr>
          <w:sz w:val="18"/>
          <w:szCs w:val="18"/>
          <w:lang w:val="de-D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10"/>
        <w:gridCol w:w="3000"/>
      </w:tblGrid>
      <w:tr w:rsidR="008D4EE5" w:rsidRPr="00FB51BA" w:rsidTr="001742B1">
        <w:trPr>
          <w:cantSplit/>
          <w:trHeight w:val="20"/>
          <w:tblHeader/>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8D4EE5" w:rsidRPr="002A48C7" w:rsidRDefault="008D4EE5" w:rsidP="00A67771">
            <w:pPr>
              <w:pStyle w:val="AppendixBodyText"/>
              <w:rPr>
                <w:rFonts w:ascii="Tahoma" w:hAnsi="Tahoma" w:cs="Tahoma"/>
                <w:b/>
                <w:bCs/>
                <w:vertAlign w:val="superscript"/>
                <w:lang w:val="de-DE"/>
              </w:rPr>
            </w:pPr>
            <w:r w:rsidRPr="002A48C7">
              <w:rPr>
                <w:rFonts w:ascii="Tahoma" w:hAnsi="Tahoma" w:cs="Tahoma"/>
                <w:b/>
                <w:bCs/>
                <w:lang w:val="de-DE"/>
              </w:rPr>
              <w:t>*(1) Geschäftszeiten in Abhängigkeit von der Region</w:t>
            </w:r>
          </w:p>
        </w:tc>
      </w:tr>
      <w:tr w:rsidR="008D4EE5" w:rsidTr="00346306">
        <w:trPr>
          <w:cantSplit/>
          <w:trHeight w:val="20"/>
        </w:trPr>
        <w:tc>
          <w:tcPr>
            <w:tcW w:w="1710" w:type="dxa"/>
            <w:tcBorders>
              <w:top w:val="single" w:sz="8" w:space="0" w:color="auto"/>
            </w:tcBorders>
          </w:tcPr>
          <w:p w:rsidR="008D4EE5" w:rsidRDefault="008D4EE5" w:rsidP="00A67771">
            <w:pPr>
              <w:pStyle w:val="AppendixBodyText"/>
              <w:rPr>
                <w:rFonts w:ascii="Tahoma" w:hAnsi="Tahoma" w:cs="Tahoma"/>
                <w:sz w:val="18"/>
                <w:szCs w:val="18"/>
              </w:rPr>
            </w:pPr>
            <w:r>
              <w:rPr>
                <w:rFonts w:ascii="Tahoma" w:hAnsi="Tahoma" w:cs="Tahoma"/>
                <w:sz w:val="18"/>
                <w:szCs w:val="18"/>
              </w:rPr>
              <w:t>Nord-, Mittel- und Südamerika</w:t>
            </w:r>
          </w:p>
        </w:tc>
        <w:tc>
          <w:tcPr>
            <w:tcW w:w="3000" w:type="dxa"/>
            <w:tcBorders>
              <w:top w:val="single" w:sz="8" w:space="0" w:color="auto"/>
            </w:tcBorders>
          </w:tcPr>
          <w:p w:rsidR="008D4EE5" w:rsidRDefault="008D4EE5" w:rsidP="00A67771">
            <w:pPr>
              <w:pStyle w:val="AppendixBodyText"/>
              <w:rPr>
                <w:rFonts w:ascii="Tahoma" w:hAnsi="Tahoma" w:cs="Tahoma"/>
                <w:sz w:val="18"/>
                <w:szCs w:val="18"/>
              </w:rPr>
            </w:pPr>
            <w:r>
              <w:rPr>
                <w:rFonts w:ascii="Tahoma" w:hAnsi="Tahoma" w:cs="Tahoma"/>
                <w:sz w:val="18"/>
                <w:szCs w:val="18"/>
              </w:rPr>
              <w:t>Mo</w:t>
            </w:r>
            <w:r w:rsidR="006257A7">
              <w:rPr>
                <w:rFonts w:ascii="Tahoma" w:hAnsi="Tahoma" w:cs="Tahoma"/>
                <w:sz w:val="18"/>
                <w:szCs w:val="18"/>
              </w:rPr>
              <w:t xml:space="preserve">. </w:t>
            </w:r>
            <w:r>
              <w:rPr>
                <w:rFonts w:ascii="Tahoma" w:hAnsi="Tahoma" w:cs="Tahoma"/>
                <w:sz w:val="18"/>
                <w:szCs w:val="18"/>
              </w:rPr>
              <w:t>– Fr</w:t>
            </w:r>
            <w:r w:rsidR="006257A7">
              <w:rPr>
                <w:rFonts w:ascii="Tahoma" w:hAnsi="Tahoma" w:cs="Tahoma"/>
                <w:sz w:val="18"/>
                <w:szCs w:val="18"/>
              </w:rPr>
              <w:t xml:space="preserve">. </w:t>
            </w:r>
            <w:r>
              <w:rPr>
                <w:rFonts w:ascii="Tahoma" w:hAnsi="Tahoma" w:cs="Tahoma"/>
                <w:sz w:val="18"/>
                <w:szCs w:val="18"/>
              </w:rPr>
              <w:t>, 6:00 – 18:00 Uhr (PST)</w:t>
            </w:r>
          </w:p>
        </w:tc>
      </w:tr>
      <w:tr w:rsidR="008D4EE5" w:rsidTr="00346306">
        <w:trPr>
          <w:cantSplit/>
          <w:trHeight w:val="20"/>
        </w:trPr>
        <w:tc>
          <w:tcPr>
            <w:tcW w:w="1710" w:type="dxa"/>
          </w:tcPr>
          <w:p w:rsidR="008D4EE5" w:rsidRDefault="008D4EE5" w:rsidP="00A67771">
            <w:pPr>
              <w:pStyle w:val="AppendixBodyText"/>
              <w:rPr>
                <w:rFonts w:ascii="Tahoma" w:hAnsi="Tahoma" w:cs="Tahoma"/>
                <w:sz w:val="18"/>
                <w:szCs w:val="18"/>
              </w:rPr>
            </w:pPr>
            <w:r>
              <w:rPr>
                <w:rFonts w:ascii="Tahoma" w:hAnsi="Tahoma" w:cs="Tahoma"/>
                <w:sz w:val="18"/>
                <w:szCs w:val="18"/>
              </w:rPr>
              <w:t>EMEA</w:t>
            </w:r>
          </w:p>
        </w:tc>
        <w:tc>
          <w:tcPr>
            <w:tcW w:w="3000" w:type="dxa"/>
          </w:tcPr>
          <w:p w:rsidR="008D4EE5" w:rsidRDefault="008D4EE5" w:rsidP="00A67771">
            <w:pPr>
              <w:pStyle w:val="AppendixBodyText"/>
              <w:rPr>
                <w:rFonts w:ascii="Tahoma" w:hAnsi="Tahoma" w:cs="Tahoma"/>
                <w:sz w:val="18"/>
                <w:szCs w:val="18"/>
              </w:rPr>
            </w:pPr>
            <w:r>
              <w:rPr>
                <w:rFonts w:ascii="Tahoma" w:hAnsi="Tahoma" w:cs="Tahoma"/>
                <w:sz w:val="18"/>
                <w:szCs w:val="18"/>
              </w:rPr>
              <w:t>Mo</w:t>
            </w:r>
            <w:r w:rsidR="006257A7">
              <w:rPr>
                <w:rFonts w:ascii="Tahoma" w:hAnsi="Tahoma" w:cs="Tahoma"/>
                <w:sz w:val="18"/>
                <w:szCs w:val="18"/>
              </w:rPr>
              <w:t xml:space="preserve">. </w:t>
            </w:r>
            <w:r>
              <w:rPr>
                <w:rFonts w:ascii="Tahoma" w:hAnsi="Tahoma" w:cs="Tahoma"/>
                <w:sz w:val="18"/>
                <w:szCs w:val="18"/>
              </w:rPr>
              <w:t>– Fr</w:t>
            </w:r>
            <w:r w:rsidR="006257A7">
              <w:rPr>
                <w:rFonts w:ascii="Tahoma" w:hAnsi="Tahoma" w:cs="Tahoma"/>
                <w:sz w:val="18"/>
                <w:szCs w:val="18"/>
              </w:rPr>
              <w:t xml:space="preserve">. </w:t>
            </w:r>
            <w:r>
              <w:rPr>
                <w:rFonts w:ascii="Tahoma" w:hAnsi="Tahoma" w:cs="Tahoma"/>
                <w:sz w:val="18"/>
                <w:szCs w:val="18"/>
              </w:rPr>
              <w:t>, 8:00 – 18:00 Uhr (GMT)</w:t>
            </w:r>
          </w:p>
        </w:tc>
      </w:tr>
      <w:tr w:rsidR="008D4EE5" w:rsidTr="00346306">
        <w:trPr>
          <w:cantSplit/>
          <w:trHeight w:val="20"/>
        </w:trPr>
        <w:tc>
          <w:tcPr>
            <w:tcW w:w="1710" w:type="dxa"/>
          </w:tcPr>
          <w:p w:rsidR="008D4EE5" w:rsidRDefault="008D4EE5" w:rsidP="00A67771">
            <w:pPr>
              <w:pStyle w:val="AppendixBodyText"/>
              <w:rPr>
                <w:rFonts w:ascii="Tahoma" w:hAnsi="Tahoma" w:cs="Tahoma"/>
                <w:sz w:val="18"/>
                <w:szCs w:val="18"/>
              </w:rPr>
            </w:pPr>
            <w:r>
              <w:rPr>
                <w:rFonts w:ascii="Tahoma" w:hAnsi="Tahoma" w:cs="Tahoma"/>
                <w:sz w:val="18"/>
                <w:szCs w:val="18"/>
              </w:rPr>
              <w:t>Australien / Neuseeland</w:t>
            </w:r>
          </w:p>
        </w:tc>
        <w:tc>
          <w:tcPr>
            <w:tcW w:w="3000" w:type="dxa"/>
          </w:tcPr>
          <w:p w:rsidR="008D4EE5" w:rsidRDefault="008D4EE5" w:rsidP="00A67771">
            <w:pPr>
              <w:pStyle w:val="AppendixBodyText"/>
              <w:rPr>
                <w:rFonts w:ascii="Tahoma" w:hAnsi="Tahoma" w:cs="Tahoma"/>
                <w:sz w:val="18"/>
                <w:szCs w:val="18"/>
              </w:rPr>
            </w:pPr>
            <w:r>
              <w:rPr>
                <w:rFonts w:ascii="Tahoma" w:hAnsi="Tahoma" w:cs="Tahoma"/>
                <w:sz w:val="18"/>
                <w:szCs w:val="18"/>
              </w:rPr>
              <w:t>Mo</w:t>
            </w:r>
            <w:r w:rsidR="006257A7">
              <w:rPr>
                <w:rFonts w:ascii="Tahoma" w:hAnsi="Tahoma" w:cs="Tahoma"/>
                <w:sz w:val="18"/>
                <w:szCs w:val="18"/>
              </w:rPr>
              <w:t xml:space="preserve">. </w:t>
            </w:r>
            <w:r>
              <w:rPr>
                <w:rFonts w:ascii="Tahoma" w:hAnsi="Tahoma" w:cs="Tahoma"/>
                <w:sz w:val="18"/>
                <w:szCs w:val="18"/>
              </w:rPr>
              <w:t>– Fr</w:t>
            </w:r>
            <w:r w:rsidR="006257A7">
              <w:rPr>
                <w:rFonts w:ascii="Tahoma" w:hAnsi="Tahoma" w:cs="Tahoma"/>
                <w:sz w:val="18"/>
                <w:szCs w:val="18"/>
              </w:rPr>
              <w:t xml:space="preserve">. </w:t>
            </w:r>
            <w:r>
              <w:rPr>
                <w:rFonts w:ascii="Tahoma" w:hAnsi="Tahoma" w:cs="Tahoma"/>
                <w:sz w:val="18"/>
                <w:szCs w:val="18"/>
              </w:rPr>
              <w:t>, 7:00 - 18:00 (PST)</w:t>
            </w:r>
          </w:p>
        </w:tc>
      </w:tr>
      <w:tr w:rsidR="008D4EE5" w:rsidTr="00346306">
        <w:trPr>
          <w:cantSplit/>
          <w:trHeight w:val="20"/>
        </w:trPr>
        <w:tc>
          <w:tcPr>
            <w:tcW w:w="1710" w:type="dxa"/>
          </w:tcPr>
          <w:p w:rsidR="008D4EE5" w:rsidRDefault="008D4EE5" w:rsidP="001742B1">
            <w:pPr>
              <w:pStyle w:val="AppendixBodyText"/>
              <w:keepNext/>
              <w:keepLines/>
              <w:rPr>
                <w:rFonts w:ascii="Tahoma" w:hAnsi="Tahoma" w:cs="Tahoma"/>
                <w:sz w:val="18"/>
                <w:szCs w:val="18"/>
              </w:rPr>
            </w:pPr>
            <w:r>
              <w:rPr>
                <w:rFonts w:ascii="Tahoma" w:hAnsi="Tahoma" w:cs="Tahoma"/>
                <w:sz w:val="18"/>
                <w:szCs w:val="18"/>
              </w:rPr>
              <w:t>Japan</w:t>
            </w:r>
          </w:p>
        </w:tc>
        <w:tc>
          <w:tcPr>
            <w:tcW w:w="3000" w:type="dxa"/>
          </w:tcPr>
          <w:p w:rsidR="008D4EE5" w:rsidRDefault="008D4EE5" w:rsidP="001742B1">
            <w:pPr>
              <w:pStyle w:val="AppendixBodyText"/>
              <w:keepNext/>
              <w:keepLines/>
              <w:rPr>
                <w:rFonts w:ascii="Tahoma" w:hAnsi="Tahoma" w:cs="Tahoma"/>
                <w:sz w:val="18"/>
                <w:szCs w:val="18"/>
              </w:rPr>
            </w:pPr>
            <w:r>
              <w:rPr>
                <w:rFonts w:ascii="Tahoma" w:hAnsi="Tahoma" w:cs="Tahoma"/>
                <w:sz w:val="18"/>
                <w:szCs w:val="18"/>
              </w:rPr>
              <w:t>Mo</w:t>
            </w:r>
            <w:r w:rsidR="006257A7">
              <w:rPr>
                <w:rFonts w:ascii="Tahoma" w:hAnsi="Tahoma" w:cs="Tahoma"/>
                <w:sz w:val="18"/>
                <w:szCs w:val="18"/>
              </w:rPr>
              <w:t xml:space="preserve">. </w:t>
            </w:r>
            <w:r>
              <w:rPr>
                <w:rFonts w:ascii="Tahoma" w:hAnsi="Tahoma" w:cs="Tahoma"/>
                <w:sz w:val="18"/>
                <w:szCs w:val="18"/>
              </w:rPr>
              <w:t>– Fr</w:t>
            </w:r>
            <w:r w:rsidR="006257A7">
              <w:rPr>
                <w:rFonts w:ascii="Tahoma" w:hAnsi="Tahoma" w:cs="Tahoma"/>
                <w:sz w:val="18"/>
                <w:szCs w:val="18"/>
              </w:rPr>
              <w:t xml:space="preserve">. </w:t>
            </w:r>
            <w:r>
              <w:rPr>
                <w:rFonts w:ascii="Tahoma" w:hAnsi="Tahoma" w:cs="Tahoma"/>
                <w:sz w:val="18"/>
                <w:szCs w:val="18"/>
              </w:rPr>
              <w:t>, 9:30 – 19:00 Uhr</w:t>
            </w:r>
          </w:p>
        </w:tc>
      </w:tr>
      <w:tr w:rsidR="008D4EE5" w:rsidTr="00346306">
        <w:trPr>
          <w:cantSplit/>
          <w:trHeight w:val="20"/>
        </w:trPr>
        <w:tc>
          <w:tcPr>
            <w:tcW w:w="1710" w:type="dxa"/>
          </w:tcPr>
          <w:p w:rsidR="008D4EE5" w:rsidRDefault="008D4EE5" w:rsidP="00A67771">
            <w:pPr>
              <w:pStyle w:val="AppendixBodyText"/>
              <w:rPr>
                <w:rFonts w:ascii="Tahoma" w:hAnsi="Tahoma" w:cs="Tahoma"/>
                <w:sz w:val="18"/>
                <w:szCs w:val="18"/>
              </w:rPr>
            </w:pPr>
            <w:r>
              <w:rPr>
                <w:rFonts w:ascii="Tahoma" w:hAnsi="Tahoma" w:cs="Tahoma"/>
                <w:sz w:val="18"/>
                <w:szCs w:val="18"/>
              </w:rPr>
              <w:t>Asien</w:t>
            </w:r>
          </w:p>
        </w:tc>
        <w:tc>
          <w:tcPr>
            <w:tcW w:w="3000" w:type="dxa"/>
          </w:tcPr>
          <w:p w:rsidR="008D4EE5" w:rsidRDefault="008D4EE5" w:rsidP="00A67771">
            <w:pPr>
              <w:pStyle w:val="AppendixBodyText"/>
              <w:rPr>
                <w:rFonts w:ascii="Tahoma" w:hAnsi="Tahoma" w:cs="Tahoma"/>
                <w:sz w:val="18"/>
                <w:szCs w:val="18"/>
              </w:rPr>
            </w:pPr>
            <w:r>
              <w:rPr>
                <w:rFonts w:ascii="Tahoma" w:hAnsi="Tahoma" w:cs="Tahoma"/>
                <w:sz w:val="18"/>
                <w:szCs w:val="18"/>
              </w:rPr>
              <w:t>Mo</w:t>
            </w:r>
            <w:r w:rsidR="006257A7">
              <w:rPr>
                <w:rFonts w:ascii="Tahoma" w:hAnsi="Tahoma" w:cs="Tahoma"/>
                <w:sz w:val="18"/>
                <w:szCs w:val="18"/>
              </w:rPr>
              <w:t xml:space="preserve">. </w:t>
            </w:r>
            <w:r>
              <w:rPr>
                <w:rFonts w:ascii="Tahoma" w:hAnsi="Tahoma" w:cs="Tahoma"/>
                <w:sz w:val="18"/>
                <w:szCs w:val="18"/>
              </w:rPr>
              <w:t>– Fr</w:t>
            </w:r>
            <w:r w:rsidR="006257A7">
              <w:rPr>
                <w:rFonts w:ascii="Tahoma" w:hAnsi="Tahoma" w:cs="Tahoma"/>
                <w:sz w:val="18"/>
                <w:szCs w:val="18"/>
              </w:rPr>
              <w:t xml:space="preserve">. </w:t>
            </w:r>
            <w:r>
              <w:rPr>
                <w:rFonts w:ascii="Tahoma" w:hAnsi="Tahoma" w:cs="Tahoma"/>
                <w:sz w:val="18"/>
                <w:szCs w:val="18"/>
              </w:rPr>
              <w:t>, 9:00 – 18:00 Uhr (PST)</w:t>
            </w:r>
          </w:p>
        </w:tc>
      </w:tr>
    </w:tbl>
    <w:p w:rsidR="00102660" w:rsidRDefault="00102660" w:rsidP="008D4EE5">
      <w:pPr>
        <w:spacing w:after="60"/>
        <w:rPr>
          <w:rFonts w:cs="Tahoma"/>
          <w:b/>
          <w:szCs w:val="20"/>
        </w:rPr>
      </w:pPr>
      <w:bookmarkStart w:id="744" w:name="_Toc240899164"/>
    </w:p>
    <w:p w:rsidR="008D4EE5" w:rsidRPr="0062435A" w:rsidRDefault="008D4EE5" w:rsidP="008D4EE5">
      <w:pPr>
        <w:spacing w:after="60"/>
      </w:pPr>
      <w:r>
        <w:rPr>
          <w:rFonts w:cs="Tahoma"/>
          <w:b/>
          <w:szCs w:val="20"/>
        </w:rPr>
        <w:t>Web-basierte Anfragen</w:t>
      </w:r>
      <w:bookmarkEnd w:id="744"/>
      <w:r>
        <w:rPr>
          <w:rFonts w:cs="Tahoma"/>
          <w:b/>
          <w:szCs w:val="20"/>
        </w:rPr>
        <w:t xml:space="preserve"> </w:t>
      </w:r>
    </w:p>
    <w:p w:rsidR="008D4EE5" w:rsidRPr="002A48C7" w:rsidRDefault="008D4EE5" w:rsidP="008D4EE5">
      <w:pPr>
        <w:pStyle w:val="AppendixBodyText"/>
        <w:spacing w:after="0"/>
        <w:rPr>
          <w:lang w:val="de-DE"/>
        </w:rPr>
      </w:pPr>
      <w:r w:rsidRPr="006257A7">
        <w:rPr>
          <w:rFonts w:ascii="Tahoma" w:hAnsi="Tahoma" w:cs="Tahoma"/>
          <w:sz w:val="18"/>
          <w:szCs w:val="18"/>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und Enterprise Edition von Server-Softwareprodukten im Rahmen von Software Assurance haben je nach Bedarf Zugang zu elektronischen Web-basierten Problembehebungssupport-Services</w:t>
      </w:r>
      <w:r w:rsidR="006257A7" w:rsidRPr="006257A7">
        <w:rPr>
          <w:rFonts w:ascii="Tahoma" w:hAnsi="Tahoma" w:cs="Tahoma"/>
          <w:sz w:val="18"/>
          <w:szCs w:val="18"/>
        </w:rPr>
        <w:t xml:space="preserve">. </w:t>
      </w:r>
      <w:r w:rsidRPr="002A48C7">
        <w:rPr>
          <w:rFonts w:ascii="Tahoma" w:hAnsi="Tahoma" w:cs="Tahoma"/>
          <w:sz w:val="18"/>
          <w:szCs w:val="18"/>
          <w:lang w:val="de-DE"/>
        </w:rPr>
        <w:t>Der Zugang zu Websites des elektronischen Supports steht 24 Stunden am Tag und sieben Tage die Woche zur Verfügung</w:t>
      </w:r>
      <w:r w:rsidR="006257A7">
        <w:rPr>
          <w:rFonts w:ascii="Tahoma" w:hAnsi="Tahoma" w:cs="Tahoma"/>
          <w:sz w:val="18"/>
          <w:szCs w:val="18"/>
          <w:lang w:val="de-DE"/>
        </w:rPr>
        <w:t xml:space="preserve">. </w:t>
      </w:r>
      <w:r w:rsidRPr="002A48C7">
        <w:rPr>
          <w:rFonts w:ascii="Tahoma" w:hAnsi="Tahoma" w:cs="Tahoma"/>
          <w:sz w:val="18"/>
          <w:szCs w:val="18"/>
          <w:lang w:val="de-DE"/>
        </w:rPr>
        <w:t>Antworten erfolgen jedoch während der Geschäftszeiten</w:t>
      </w:r>
      <w:r w:rsidR="006257A7">
        <w:rPr>
          <w:rFonts w:ascii="Tahoma" w:hAnsi="Tahoma" w:cs="Tahoma"/>
          <w:sz w:val="18"/>
          <w:szCs w:val="18"/>
          <w:lang w:val="de-DE"/>
        </w:rPr>
        <w:t xml:space="preserve">. </w:t>
      </w:r>
      <w:r w:rsidRPr="002A48C7">
        <w:rPr>
          <w:rFonts w:ascii="Tahoma" w:hAnsi="Tahoma" w:cs="Tahoma"/>
          <w:sz w:val="18"/>
          <w:szCs w:val="18"/>
          <w:lang w:val="de-DE"/>
        </w:rPr>
        <w:t>Daher sollten Anfragen in geschäftskritischen Situationen, die unmittelbare Hilfe erfordern, nicht Web-basiert gemeldet werden</w:t>
      </w:r>
      <w:r w:rsidR="006257A7">
        <w:rPr>
          <w:rFonts w:ascii="Tahoma" w:hAnsi="Tahoma" w:cs="Tahoma"/>
          <w:sz w:val="18"/>
          <w:szCs w:val="18"/>
          <w:lang w:val="de-DE"/>
        </w:rPr>
        <w:t xml:space="preserve">. </w:t>
      </w:r>
      <w:r w:rsidRPr="002A48C7">
        <w:rPr>
          <w:rFonts w:ascii="Tahoma" w:hAnsi="Tahoma" w:cs="Tahoma"/>
          <w:sz w:val="18"/>
          <w:szCs w:val="18"/>
          <w:lang w:val="de-DE"/>
        </w:rPr>
        <w:t>Nutzen Sie die obige Tabelle zu den Geschäftszeiten in Abhängigkeit von der Region im obigen Abschnitt „Gewährung von telefonischen Supportanfragen“</w:t>
      </w:r>
      <w:r w:rsidR="006257A7">
        <w:rPr>
          <w:rFonts w:ascii="Tahoma" w:hAnsi="Tahoma" w:cs="Tahoma"/>
          <w:sz w:val="18"/>
          <w:szCs w:val="18"/>
          <w:lang w:val="de-DE"/>
        </w:rPr>
        <w:t xml:space="preserve">. </w:t>
      </w:r>
    </w:p>
    <w:p w:rsidR="008D4EE5" w:rsidRPr="002A48C7" w:rsidRDefault="008D4EE5" w:rsidP="008D4EE5">
      <w:pPr>
        <w:pStyle w:val="AppendixBodyText"/>
        <w:spacing w:after="0"/>
        <w:rPr>
          <w:lang w:val="de-DE"/>
        </w:rPr>
      </w:pPr>
    </w:p>
    <w:p w:rsidR="008D4EE5" w:rsidRPr="002A48C7" w:rsidRDefault="008D4EE5" w:rsidP="00B96F6B">
      <w:pPr>
        <w:pStyle w:val="AppendixBodyText"/>
        <w:spacing w:after="0"/>
        <w:rPr>
          <w:lang w:val="de-DE"/>
        </w:rPr>
      </w:pPr>
      <w:r w:rsidRPr="002A48C7">
        <w:rPr>
          <w:rFonts w:ascii="Tahoma" w:hAnsi="Tahoma" w:cs="Tahoma"/>
          <w:sz w:val="18"/>
          <w:szCs w:val="18"/>
          <w:lang w:val="de-DE"/>
        </w:rPr>
        <w:t>Telefonisch gemeldete Anfragen werden nach Behebung mit den verfügbaren telefonischen Supportanfragen verrechnet</w:t>
      </w:r>
      <w:r w:rsidR="006257A7">
        <w:rPr>
          <w:rFonts w:ascii="Tahoma" w:hAnsi="Tahoma" w:cs="Tahoma"/>
          <w:sz w:val="18"/>
          <w:szCs w:val="18"/>
          <w:lang w:val="de-DE"/>
        </w:rPr>
        <w:t xml:space="preserve">. </w:t>
      </w:r>
      <w:r w:rsidRPr="002A48C7">
        <w:rPr>
          <w:rFonts w:ascii="Tahoma" w:hAnsi="Tahoma" w:cs="Tahoma"/>
          <w:sz w:val="18"/>
          <w:szCs w:val="18"/>
          <w:lang w:val="de-DE"/>
        </w:rPr>
        <w:t>Über das Web gemeldete Anfragen erfolgen auf Bedarfsbasis und werden über das Web, per E-Mail und mithilfe anderer elektronischer Mittel vorgenommen</w:t>
      </w:r>
      <w:r w:rsidR="006257A7">
        <w:rPr>
          <w:rFonts w:ascii="Tahoma" w:hAnsi="Tahoma" w:cs="Tahoma"/>
          <w:sz w:val="18"/>
          <w:szCs w:val="18"/>
          <w:lang w:val="de-DE"/>
        </w:rPr>
        <w:t xml:space="preserve">. </w:t>
      </w:r>
      <w:r w:rsidRPr="002A48C7">
        <w:rPr>
          <w:rFonts w:ascii="Tahoma" w:hAnsi="Tahoma" w:cs="Tahoma"/>
          <w:sz w:val="18"/>
          <w:szCs w:val="18"/>
          <w:lang w:val="de-DE"/>
        </w:rPr>
        <w:t>Über das Web gemeldete Anfragen, die anschließend vom Kunden in eine telefonische Behebung umgewandelt werden, werden nach Behebung mit den verfügbaren telefonischen Supportanfragen verrechnet</w:t>
      </w:r>
      <w:r w:rsidR="006257A7">
        <w:rPr>
          <w:rFonts w:ascii="Tahoma" w:hAnsi="Tahoma" w:cs="Tahoma"/>
          <w:sz w:val="18"/>
          <w:szCs w:val="18"/>
          <w:lang w:val="de-DE"/>
        </w:rPr>
        <w:t xml:space="preserve">. </w:t>
      </w:r>
      <w:r w:rsidRPr="002A48C7">
        <w:rPr>
          <w:rFonts w:ascii="Tahoma" w:hAnsi="Tahoma" w:cs="Tahoma"/>
          <w:sz w:val="18"/>
          <w:szCs w:val="18"/>
          <w:lang w:val="de-DE"/>
        </w:rPr>
        <w:t>Über das Web gemeldete Anfragen, die anschließend von Microsoft telefonisch bearbeitet werden, werden nicht mit den verfügbaren telefonischen Supportanfragen verrechnet, wenn</w:t>
      </w:r>
      <w:r w:rsidR="00B96F6B">
        <w:rPr>
          <w:rFonts w:ascii="Tahoma" w:hAnsi="Tahoma" w:cs="Tahoma"/>
          <w:sz w:val="18"/>
          <w:szCs w:val="18"/>
          <w:lang w:val="de-DE"/>
        </w:rPr>
        <w:t> </w:t>
      </w:r>
      <w:r w:rsidRPr="002A48C7">
        <w:rPr>
          <w:rFonts w:ascii="Tahoma" w:hAnsi="Tahoma" w:cs="Tahoma"/>
          <w:sz w:val="18"/>
          <w:szCs w:val="18"/>
          <w:lang w:val="de-DE"/>
        </w:rPr>
        <w:t>die Behebung im Web, per E-Mail und mit anderen elektronischen Mitteln fortgesetzt wird</w:t>
      </w:r>
      <w:r w:rsidR="006257A7">
        <w:rPr>
          <w:rFonts w:ascii="Tahoma" w:hAnsi="Tahoma" w:cs="Tahoma"/>
          <w:sz w:val="18"/>
          <w:szCs w:val="18"/>
          <w:lang w:val="de-DE"/>
        </w:rPr>
        <w:t xml:space="preserve">. </w:t>
      </w:r>
    </w:p>
    <w:p w:rsidR="008D4EE5" w:rsidRPr="002A48C7" w:rsidRDefault="008D4EE5" w:rsidP="008D4EE5">
      <w:pPr>
        <w:pStyle w:val="AppendixBodyText"/>
        <w:spacing w:after="0"/>
        <w:rPr>
          <w:lang w:val="de-DE"/>
        </w:rPr>
      </w:pPr>
    </w:p>
    <w:p w:rsidR="008D4EE5" w:rsidRPr="002A48C7" w:rsidRDefault="008D4EE5" w:rsidP="008D4EE5">
      <w:pPr>
        <w:pStyle w:val="AppendixBodyText"/>
        <w:spacing w:after="0"/>
        <w:rPr>
          <w:lang w:val="de-DE"/>
        </w:rPr>
      </w:pPr>
      <w:r w:rsidRPr="002A48C7">
        <w:rPr>
          <w:rFonts w:ascii="Tahoma" w:hAnsi="Tahoma" w:cs="Tahoma"/>
          <w:sz w:val="18"/>
          <w:szCs w:val="18"/>
          <w:lang w:val="de-DE"/>
        </w:rPr>
        <w:t>Software Assurance ist für Server-Software und dazugehörige CALs für Web-basierte Supportanfragen erforderlich</w:t>
      </w:r>
      <w:r w:rsidR="006257A7">
        <w:rPr>
          <w:rFonts w:ascii="Tahoma" w:hAnsi="Tahoma" w:cs="Tahoma"/>
          <w:sz w:val="18"/>
          <w:szCs w:val="18"/>
          <w:lang w:val="de-DE"/>
        </w:rPr>
        <w:t xml:space="preserve">. </w:t>
      </w:r>
      <w:r w:rsidRPr="002A48C7">
        <w:rPr>
          <w:rFonts w:ascii="Tahoma" w:hAnsi="Tahoma" w:cs="Tahoma"/>
          <w:sz w:val="18"/>
          <w:szCs w:val="18"/>
          <w:lang w:val="de-DE"/>
        </w:rPr>
        <w:t>Kunden können nur für die lizenzierten Kopien von Server-Software Web-basierte Problembehebungssupportanfragen stellen, für die Software Assurance vorhanden ist</w:t>
      </w:r>
      <w:r w:rsidR="006257A7">
        <w:rPr>
          <w:rFonts w:ascii="Tahoma" w:hAnsi="Tahoma" w:cs="Tahoma"/>
          <w:sz w:val="18"/>
          <w:szCs w:val="18"/>
          <w:lang w:val="de-DE"/>
        </w:rPr>
        <w:t xml:space="preserve">. </w:t>
      </w:r>
    </w:p>
    <w:p w:rsidR="008D4EE5" w:rsidRPr="002A48C7" w:rsidRDefault="008D4EE5" w:rsidP="008D4EE5">
      <w:pPr>
        <w:pStyle w:val="AppendixBodyText"/>
        <w:spacing w:after="0"/>
        <w:rPr>
          <w:lang w:val="de-DE"/>
        </w:rPr>
      </w:pPr>
    </w:p>
    <w:p w:rsidR="008D4EE5" w:rsidRPr="002A48C7" w:rsidRDefault="008D4EE5" w:rsidP="008D4EE5">
      <w:pPr>
        <w:pStyle w:val="AppendixBodyText"/>
        <w:spacing w:after="0"/>
        <w:rPr>
          <w:lang w:val="de-DE"/>
        </w:rPr>
      </w:pPr>
      <w:r w:rsidRPr="002A48C7">
        <w:rPr>
          <w:rFonts w:ascii="Tahoma" w:hAnsi="Tahoma" w:cs="Tahoma"/>
          <w:sz w:val="18"/>
          <w:szCs w:val="18"/>
          <w:lang w:val="de-DE"/>
        </w:rPr>
        <w:t>Web-basierte Supportanfragen können nicht von einer Lizenz auf eine andere übertragen werden</w:t>
      </w:r>
      <w:r w:rsidR="006257A7">
        <w:rPr>
          <w:rFonts w:ascii="Tahoma" w:hAnsi="Tahoma" w:cs="Tahoma"/>
          <w:sz w:val="18"/>
          <w:szCs w:val="18"/>
          <w:lang w:val="de-DE"/>
        </w:rPr>
        <w:t xml:space="preserve">. </w:t>
      </w:r>
      <w:r w:rsidRPr="002A48C7">
        <w:rPr>
          <w:rFonts w:ascii="Tahoma" w:hAnsi="Tahoma" w:cs="Tahoma"/>
          <w:sz w:val="18"/>
          <w:szCs w:val="18"/>
          <w:lang w:val="de-DE"/>
        </w:rPr>
        <w:t>Weitere Informationen zur Zuweisung oder Neuzuweisung von Lizenzen für physische Server finden Sie in den Produktbenutzungsrechten</w:t>
      </w:r>
      <w:r w:rsidR="006257A7">
        <w:rPr>
          <w:rFonts w:ascii="Tahoma" w:hAnsi="Tahoma" w:cs="Tahoma"/>
          <w:sz w:val="18"/>
          <w:szCs w:val="18"/>
          <w:lang w:val="de-DE"/>
        </w:rPr>
        <w:t xml:space="preserve">. </w:t>
      </w:r>
    </w:p>
    <w:p w:rsidR="008D4EE5" w:rsidRPr="002A48C7" w:rsidRDefault="008D4EE5" w:rsidP="008D4EE5">
      <w:pPr>
        <w:rPr>
          <w:lang w:val="de-DE"/>
        </w:rPr>
      </w:pPr>
      <w:bookmarkStart w:id="745" w:name="_Toc240899165"/>
    </w:p>
    <w:p w:rsidR="008D4EE5" w:rsidRPr="002A48C7" w:rsidRDefault="008D4EE5" w:rsidP="008D4EE5">
      <w:pPr>
        <w:spacing w:after="60"/>
        <w:rPr>
          <w:lang w:val="de-DE"/>
        </w:rPr>
      </w:pPr>
      <w:r w:rsidRPr="002A48C7">
        <w:rPr>
          <w:rFonts w:cs="Tahoma"/>
          <w:b/>
          <w:szCs w:val="20"/>
          <w:lang w:val="de-DE"/>
        </w:rPr>
        <w:t>Supportkontakte</w:t>
      </w:r>
      <w:bookmarkEnd w:id="745"/>
    </w:p>
    <w:p w:rsidR="008D4EE5" w:rsidRPr="002A48C7" w:rsidRDefault="008D4EE5" w:rsidP="00B96F6B">
      <w:pPr>
        <w:pStyle w:val="AppendixBodyText"/>
        <w:spacing w:after="0"/>
        <w:rPr>
          <w:lang w:val="de-DE"/>
        </w:rPr>
      </w:pPr>
      <w:r w:rsidRPr="002A48C7">
        <w:rPr>
          <w:rFonts w:ascii="Tahoma" w:hAnsi="Tahoma" w:cs="Tahoma"/>
          <w:sz w:val="18"/>
          <w:szCs w:val="18"/>
          <w:lang w:val="de-DE"/>
        </w:rPr>
        <w:t>Die Anzahl der zulässigen Supportkontakte variiert je nach Volumenlizenzprogramm und Anzahl der durch Software</w:t>
      </w:r>
      <w:r w:rsidR="00B96F6B">
        <w:rPr>
          <w:rFonts w:ascii="Tahoma" w:hAnsi="Tahoma" w:cs="Tahoma"/>
          <w:sz w:val="18"/>
          <w:szCs w:val="18"/>
          <w:lang w:val="de-DE"/>
        </w:rPr>
        <w:t> </w:t>
      </w:r>
      <w:r w:rsidRPr="002A48C7">
        <w:rPr>
          <w:rFonts w:ascii="Tahoma" w:hAnsi="Tahoma" w:cs="Tahoma"/>
          <w:sz w:val="18"/>
          <w:szCs w:val="18"/>
          <w:lang w:val="de-DE"/>
        </w:rPr>
        <w:t>Assurance abgedeckten Lizenzen, wie unten dargestellt</w:t>
      </w:r>
      <w:r w:rsidR="006257A7">
        <w:rPr>
          <w:rFonts w:ascii="Tahoma" w:hAnsi="Tahoma" w:cs="Tahoma"/>
          <w:sz w:val="18"/>
          <w:szCs w:val="18"/>
          <w:lang w:val="de-DE"/>
        </w:rPr>
        <w:t xml:space="preserve">. </w:t>
      </w:r>
      <w:r w:rsidRPr="002A48C7">
        <w:rPr>
          <w:rFonts w:ascii="Tahoma" w:hAnsi="Tahoma" w:cs="Tahoma"/>
          <w:sz w:val="18"/>
          <w:szCs w:val="18"/>
          <w:lang w:val="de-DE"/>
        </w:rPr>
        <w:t>Die Kontaktpersonen müssen namentlich benannt sein und können Personen außerhalb des Unternehmens des Kunden einschließen</w:t>
      </w:r>
      <w:r w:rsidR="006257A7">
        <w:rPr>
          <w:rFonts w:ascii="Tahoma" w:hAnsi="Tahoma" w:cs="Tahoma"/>
          <w:sz w:val="18"/>
          <w:szCs w:val="18"/>
          <w:lang w:val="de-DE"/>
        </w:rPr>
        <w:t xml:space="preserve">. </w:t>
      </w:r>
      <w:r w:rsidRPr="002A48C7">
        <w:rPr>
          <w:rFonts w:ascii="Tahoma" w:hAnsi="Tahoma" w:cs="Tahoma"/>
          <w:sz w:val="18"/>
          <w:szCs w:val="18"/>
          <w:lang w:val="de-DE"/>
        </w:rPr>
        <w:t>Ein Unternehmen, eine Abteilung oder eine Gruppe kann jedoch nicht als Kontaktperson genannt werden</w:t>
      </w:r>
      <w:r w:rsidR="006257A7">
        <w:rPr>
          <w:rFonts w:ascii="Tahoma" w:hAnsi="Tahoma" w:cs="Tahoma"/>
          <w:sz w:val="18"/>
          <w:szCs w:val="18"/>
          <w:lang w:val="de-DE"/>
        </w:rPr>
        <w:t xml:space="preserve">. </w:t>
      </w:r>
    </w:p>
    <w:p w:rsidR="008D4EE5" w:rsidRPr="002A48C7" w:rsidRDefault="008D4EE5" w:rsidP="008D4EE5">
      <w:pPr>
        <w:pStyle w:val="AppendixBodyText"/>
        <w:rPr>
          <w:lang w:val="de-DE"/>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1170"/>
        <w:gridCol w:w="1170"/>
        <w:gridCol w:w="1267"/>
        <w:gridCol w:w="1170"/>
        <w:gridCol w:w="1170"/>
        <w:gridCol w:w="1170"/>
      </w:tblGrid>
      <w:tr w:rsidR="008D4EE5" w:rsidTr="00B96F6B">
        <w:trPr>
          <w:trHeight w:val="178"/>
        </w:trPr>
        <w:tc>
          <w:tcPr>
            <w:tcW w:w="2430"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Default="008D4EE5" w:rsidP="00A67771">
            <w:pPr>
              <w:pStyle w:val="AppendixBodyText"/>
              <w:rPr>
                <w:rFonts w:ascii="Tahoma" w:hAnsi="Tahoma" w:cs="Tahoma"/>
                <w:b/>
                <w:bCs/>
              </w:rPr>
            </w:pPr>
            <w:r>
              <w:rPr>
                <w:rFonts w:ascii="Tahoma" w:hAnsi="Tahoma" w:cs="Tahoma"/>
                <w:b/>
                <w:bCs/>
              </w:rPr>
              <w:t>Vergünstigungen</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Default="008D4EE5" w:rsidP="00A67771">
            <w:pPr>
              <w:pStyle w:val="AppendixBodyText"/>
              <w:rPr>
                <w:rFonts w:ascii="Tahoma" w:hAnsi="Tahoma" w:cs="Tahoma"/>
                <w:b/>
                <w:bCs/>
              </w:rPr>
            </w:pPr>
            <w:r>
              <w:rPr>
                <w:rFonts w:ascii="Tahoma" w:hAnsi="Tahoma" w:cs="Tahoma"/>
                <w:b/>
                <w:bCs/>
              </w:rPr>
              <w:t>Open-Lizenz</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Default="008D4EE5" w:rsidP="00A67771">
            <w:pPr>
              <w:pStyle w:val="AppendixBodyText"/>
              <w:spacing w:before="120" w:after="120"/>
              <w:rPr>
                <w:rFonts w:ascii="Tahoma" w:hAnsi="Tahoma" w:cs="Tahoma"/>
                <w:b/>
              </w:rPr>
            </w:pPr>
            <w:r>
              <w:rPr>
                <w:rFonts w:ascii="Tahoma" w:hAnsi="Tahoma" w:cs="Tahoma"/>
                <w:b/>
                <w:bCs/>
              </w:rPr>
              <w:t>Open Value(1)</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Pr="0062435A" w:rsidRDefault="008D4EE5" w:rsidP="00A67771">
            <w:pPr>
              <w:pStyle w:val="AppendixBodyText"/>
            </w:pPr>
            <w:r>
              <w:rPr>
                <w:rFonts w:ascii="Tahoma" w:hAnsi="Tahoma" w:cs="Tahoma"/>
                <w:b/>
                <w:bCs/>
              </w:rPr>
              <w:t>Select-Lizenz/</w:t>
            </w:r>
            <w:r w:rsidR="00B96F6B">
              <w:rPr>
                <w:rFonts w:ascii="Tahoma" w:hAnsi="Tahoma" w:cs="Tahoma"/>
                <w:b/>
                <w:bCs/>
              </w:rPr>
              <w:br/>
            </w:r>
            <w:r>
              <w:rPr>
                <w:rFonts w:ascii="Tahoma" w:hAnsi="Tahoma" w:cs="Tahoma"/>
                <w:b/>
                <w:bCs/>
              </w:rPr>
              <w:t>Select Plus/EA</w:t>
            </w:r>
          </w:p>
          <w:p w:rsidR="008D4EE5" w:rsidRDefault="008D4EE5" w:rsidP="00A67771">
            <w:pPr>
              <w:pStyle w:val="AppendixBodyText"/>
              <w:rPr>
                <w:rFonts w:ascii="Tahoma" w:hAnsi="Tahoma" w:cs="Tahoma"/>
                <w:b/>
                <w:bCs/>
              </w:rPr>
            </w:pPr>
            <w:r>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Pr="0062435A" w:rsidRDefault="008D4EE5" w:rsidP="00A67771">
            <w:pPr>
              <w:pStyle w:val="AppendixBodyText"/>
            </w:pPr>
            <w:r>
              <w:rPr>
                <w:rFonts w:ascii="Tahoma" w:hAnsi="Tahoma" w:cs="Tahoma"/>
                <w:b/>
                <w:bCs/>
              </w:rPr>
              <w:t>Select-Lizenz/</w:t>
            </w:r>
            <w:r w:rsidR="00B96F6B">
              <w:rPr>
                <w:rFonts w:ascii="Tahoma" w:hAnsi="Tahoma" w:cs="Tahoma"/>
                <w:b/>
                <w:bCs/>
              </w:rPr>
              <w:br/>
            </w:r>
            <w:r>
              <w:rPr>
                <w:rFonts w:ascii="Tahoma" w:hAnsi="Tahoma" w:cs="Tahoma"/>
                <w:b/>
                <w:bCs/>
              </w:rPr>
              <w:t>Select Plus/EA</w:t>
            </w:r>
          </w:p>
          <w:p w:rsidR="008D4EE5" w:rsidRDefault="008D4EE5" w:rsidP="00A67771">
            <w:pPr>
              <w:pStyle w:val="AppendixBodyText"/>
              <w:rPr>
                <w:rFonts w:ascii="Tahoma" w:hAnsi="Tahoma" w:cs="Tahoma"/>
                <w:b/>
                <w:bCs/>
              </w:rPr>
            </w:pPr>
            <w:r>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Pr="0062435A" w:rsidRDefault="008D4EE5" w:rsidP="00A67771">
            <w:pPr>
              <w:pStyle w:val="AppendixBodyText"/>
            </w:pPr>
            <w:r>
              <w:rPr>
                <w:rFonts w:ascii="Tahoma" w:hAnsi="Tahoma" w:cs="Tahoma"/>
                <w:b/>
                <w:bCs/>
              </w:rPr>
              <w:t>Select-Lizenz/</w:t>
            </w:r>
            <w:r w:rsidR="00B96F6B">
              <w:rPr>
                <w:rFonts w:ascii="Tahoma" w:hAnsi="Tahoma" w:cs="Tahoma"/>
                <w:b/>
                <w:bCs/>
              </w:rPr>
              <w:br/>
            </w:r>
            <w:r>
              <w:rPr>
                <w:rFonts w:ascii="Tahoma" w:hAnsi="Tahoma" w:cs="Tahoma"/>
                <w:b/>
                <w:bCs/>
              </w:rPr>
              <w:t>Select Plus/EA</w:t>
            </w:r>
          </w:p>
          <w:p w:rsidR="008D4EE5" w:rsidRDefault="008D4EE5" w:rsidP="00A67771">
            <w:pPr>
              <w:pStyle w:val="AppendixBodyText"/>
              <w:rPr>
                <w:rFonts w:ascii="Tahoma" w:hAnsi="Tahoma" w:cs="Tahoma"/>
                <w:b/>
                <w:bCs/>
              </w:rPr>
            </w:pPr>
            <w:r>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Pr="0062435A" w:rsidRDefault="008D4EE5" w:rsidP="00A67771">
            <w:pPr>
              <w:pStyle w:val="AppendixBodyText"/>
            </w:pPr>
            <w:r>
              <w:rPr>
                <w:rFonts w:ascii="Tahoma" w:hAnsi="Tahoma" w:cs="Tahoma"/>
                <w:b/>
                <w:bCs/>
              </w:rPr>
              <w:t>Select-Lizenz/</w:t>
            </w:r>
            <w:r w:rsidR="00B96F6B">
              <w:rPr>
                <w:rFonts w:ascii="Tahoma" w:hAnsi="Tahoma" w:cs="Tahoma"/>
                <w:b/>
                <w:bCs/>
              </w:rPr>
              <w:br/>
            </w:r>
            <w:r>
              <w:rPr>
                <w:rFonts w:ascii="Tahoma" w:hAnsi="Tahoma" w:cs="Tahoma"/>
                <w:b/>
                <w:bCs/>
              </w:rPr>
              <w:t>Select Plus/EA</w:t>
            </w:r>
          </w:p>
          <w:p w:rsidR="008D4EE5" w:rsidRDefault="008D4EE5" w:rsidP="00A67771">
            <w:pPr>
              <w:pStyle w:val="AppendixBodyText"/>
              <w:rPr>
                <w:rFonts w:ascii="Tahoma" w:hAnsi="Tahoma" w:cs="Tahoma"/>
                <w:b/>
                <w:bCs/>
              </w:rPr>
            </w:pPr>
            <w:r>
              <w:rPr>
                <w:rFonts w:ascii="Tahoma" w:hAnsi="Tahoma" w:cs="Tahoma"/>
                <w:b/>
                <w:bCs/>
              </w:rPr>
              <w:t>Level D</w:t>
            </w:r>
          </w:p>
        </w:tc>
      </w:tr>
      <w:tr w:rsidR="008D4EE5" w:rsidTr="00B96F6B">
        <w:trPr>
          <w:trHeight w:val="236"/>
        </w:trPr>
        <w:tc>
          <w:tcPr>
            <w:tcW w:w="2430" w:type="dxa"/>
            <w:vAlign w:val="center"/>
          </w:tcPr>
          <w:p w:rsidR="008D4EE5" w:rsidRPr="002A48C7" w:rsidRDefault="008D4EE5" w:rsidP="00A67771">
            <w:pPr>
              <w:pStyle w:val="AppendixBodyText"/>
              <w:rPr>
                <w:rFonts w:ascii="Tahoma" w:hAnsi="Tahoma" w:cs="Tahoma"/>
                <w:sz w:val="18"/>
                <w:szCs w:val="18"/>
                <w:lang w:val="de-DE"/>
              </w:rPr>
            </w:pPr>
            <w:r w:rsidRPr="008775F2">
              <w:rPr>
                <w:rFonts w:ascii="Tahoma" w:hAnsi="Tahoma" w:cs="Tahoma"/>
                <w:sz w:val="18"/>
                <w:szCs w:val="18"/>
                <w:lang w:val="de-DE"/>
              </w:rPr>
              <w:t>Anzahl der Kont</w:t>
            </w:r>
            <w:r w:rsidRPr="002A48C7">
              <w:rPr>
                <w:rFonts w:ascii="Tahoma" w:hAnsi="Tahoma" w:cs="Tahoma"/>
                <w:sz w:val="18"/>
                <w:szCs w:val="18"/>
                <w:lang w:val="de-DE"/>
              </w:rPr>
              <w:t>akte für telefonischen Problembehebungssupport</w:t>
            </w:r>
          </w:p>
        </w:tc>
        <w:tc>
          <w:tcPr>
            <w:tcW w:w="1170" w:type="dxa"/>
            <w:vAlign w:val="center"/>
          </w:tcPr>
          <w:p w:rsidR="008D4EE5" w:rsidRDefault="008D4EE5" w:rsidP="00A67771">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rsidR="008D4EE5" w:rsidRDefault="008D4EE5" w:rsidP="00A67771">
            <w:pPr>
              <w:pStyle w:val="AppendixBodyText"/>
              <w:rPr>
                <w:rFonts w:ascii="Tahoma" w:hAnsi="Tahoma" w:cs="Tahoma"/>
                <w:sz w:val="18"/>
                <w:szCs w:val="18"/>
              </w:rPr>
            </w:pPr>
            <w:r>
              <w:rPr>
                <w:rFonts w:ascii="Tahoma" w:hAnsi="Tahoma" w:cs="Tahoma"/>
                <w:sz w:val="18"/>
                <w:szCs w:val="18"/>
              </w:rPr>
              <w:t>Nach Bedarf</w:t>
            </w:r>
          </w:p>
        </w:tc>
        <w:tc>
          <w:tcPr>
            <w:tcW w:w="1267" w:type="dxa"/>
            <w:vAlign w:val="center"/>
          </w:tcPr>
          <w:p w:rsidR="008D4EE5" w:rsidRDefault="008D4EE5" w:rsidP="00A67771">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rsidR="008D4EE5" w:rsidRDefault="008D4EE5" w:rsidP="00A67771">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rsidR="008D4EE5" w:rsidRDefault="008D4EE5" w:rsidP="00A67771">
            <w:pPr>
              <w:pStyle w:val="AppendixBodyText"/>
              <w:rPr>
                <w:rFonts w:ascii="Tahoma" w:hAnsi="Tahoma" w:cs="Tahoma"/>
                <w:sz w:val="18"/>
                <w:szCs w:val="18"/>
              </w:rPr>
            </w:pPr>
            <w:r>
              <w:rPr>
                <w:rFonts w:ascii="Tahoma" w:hAnsi="Tahoma" w:cs="Tahoma"/>
                <w:sz w:val="18"/>
                <w:szCs w:val="18"/>
              </w:rPr>
              <w:t>Nach Bedarf</w:t>
            </w:r>
          </w:p>
        </w:tc>
        <w:tc>
          <w:tcPr>
            <w:tcW w:w="1170" w:type="dxa"/>
            <w:vAlign w:val="center"/>
          </w:tcPr>
          <w:p w:rsidR="008D4EE5" w:rsidRDefault="008D4EE5" w:rsidP="00A67771">
            <w:pPr>
              <w:pStyle w:val="AppendixBodyText"/>
              <w:rPr>
                <w:rFonts w:ascii="Tahoma" w:hAnsi="Tahoma" w:cs="Tahoma"/>
                <w:sz w:val="18"/>
                <w:szCs w:val="18"/>
              </w:rPr>
            </w:pPr>
            <w:r>
              <w:rPr>
                <w:rFonts w:ascii="Tahoma" w:hAnsi="Tahoma" w:cs="Tahoma"/>
                <w:sz w:val="18"/>
                <w:szCs w:val="18"/>
              </w:rPr>
              <w:t>Nach Bedarf</w:t>
            </w:r>
          </w:p>
        </w:tc>
      </w:tr>
      <w:tr w:rsidR="008D4EE5" w:rsidTr="00B96F6B">
        <w:trPr>
          <w:trHeight w:val="236"/>
        </w:trPr>
        <w:tc>
          <w:tcPr>
            <w:tcW w:w="2430" w:type="dxa"/>
            <w:vAlign w:val="center"/>
          </w:tcPr>
          <w:p w:rsidR="008D4EE5" w:rsidRPr="002A48C7" w:rsidRDefault="008D4EE5" w:rsidP="00A67771">
            <w:pPr>
              <w:pStyle w:val="AppendixBodyText"/>
              <w:rPr>
                <w:rFonts w:ascii="Tahoma" w:hAnsi="Tahoma" w:cs="Tahoma"/>
                <w:sz w:val="18"/>
                <w:szCs w:val="18"/>
                <w:lang w:val="de-DE"/>
              </w:rPr>
            </w:pPr>
            <w:r w:rsidRPr="002A48C7">
              <w:rPr>
                <w:rFonts w:ascii="Tahoma" w:hAnsi="Tahoma" w:cs="Tahoma"/>
                <w:sz w:val="18"/>
                <w:szCs w:val="18"/>
                <w:lang w:val="de-DE"/>
              </w:rPr>
              <w:t>Anzahl der autorisierten Kontakte für Web-basierten Support</w:t>
            </w:r>
          </w:p>
        </w:tc>
        <w:tc>
          <w:tcPr>
            <w:tcW w:w="1170" w:type="dxa"/>
            <w:vAlign w:val="center"/>
          </w:tcPr>
          <w:p w:rsidR="008D4EE5" w:rsidRDefault="008D4EE5" w:rsidP="00A67771">
            <w:pPr>
              <w:pStyle w:val="AppendixBodyText"/>
              <w:rPr>
                <w:rFonts w:ascii="Tahoma" w:hAnsi="Tahoma" w:cs="Tahoma"/>
                <w:sz w:val="18"/>
                <w:szCs w:val="18"/>
              </w:rPr>
            </w:pPr>
            <w:r>
              <w:rPr>
                <w:rFonts w:ascii="Tahoma" w:hAnsi="Tahoma" w:cs="Tahoma"/>
                <w:sz w:val="18"/>
                <w:szCs w:val="18"/>
              </w:rPr>
              <w:t>-</w:t>
            </w:r>
          </w:p>
        </w:tc>
        <w:tc>
          <w:tcPr>
            <w:tcW w:w="1170" w:type="dxa"/>
            <w:vAlign w:val="center"/>
          </w:tcPr>
          <w:p w:rsidR="008D4EE5" w:rsidRDefault="008D4EE5" w:rsidP="00A67771">
            <w:pPr>
              <w:pStyle w:val="AppendixBodyText"/>
              <w:rPr>
                <w:rFonts w:ascii="Tahoma" w:hAnsi="Tahoma" w:cs="Tahoma"/>
                <w:sz w:val="18"/>
                <w:szCs w:val="18"/>
              </w:rPr>
            </w:pPr>
            <w:r>
              <w:rPr>
                <w:rFonts w:ascii="Tahoma" w:hAnsi="Tahoma" w:cs="Tahoma"/>
                <w:sz w:val="18"/>
                <w:szCs w:val="18"/>
              </w:rPr>
              <w:t>1</w:t>
            </w:r>
          </w:p>
        </w:tc>
        <w:tc>
          <w:tcPr>
            <w:tcW w:w="1267" w:type="dxa"/>
            <w:vAlign w:val="center"/>
          </w:tcPr>
          <w:p w:rsidR="008D4EE5" w:rsidRDefault="008D4EE5" w:rsidP="00A67771">
            <w:pPr>
              <w:pStyle w:val="AppendixBodyText"/>
              <w:rPr>
                <w:rFonts w:ascii="Tahoma" w:hAnsi="Tahoma" w:cs="Tahoma"/>
                <w:sz w:val="18"/>
                <w:szCs w:val="18"/>
              </w:rPr>
            </w:pPr>
            <w:r>
              <w:rPr>
                <w:rFonts w:ascii="Tahoma" w:hAnsi="Tahoma" w:cs="Tahoma"/>
                <w:sz w:val="18"/>
                <w:szCs w:val="18"/>
              </w:rPr>
              <w:t>2</w:t>
            </w:r>
          </w:p>
        </w:tc>
        <w:tc>
          <w:tcPr>
            <w:tcW w:w="1170" w:type="dxa"/>
            <w:vAlign w:val="center"/>
          </w:tcPr>
          <w:p w:rsidR="008D4EE5" w:rsidRDefault="008D4EE5" w:rsidP="00A67771">
            <w:pPr>
              <w:pStyle w:val="AppendixBodyText"/>
              <w:rPr>
                <w:rFonts w:ascii="Tahoma" w:hAnsi="Tahoma" w:cs="Tahoma"/>
                <w:sz w:val="18"/>
                <w:szCs w:val="18"/>
              </w:rPr>
            </w:pPr>
            <w:r>
              <w:rPr>
                <w:rFonts w:ascii="Tahoma" w:hAnsi="Tahoma" w:cs="Tahoma"/>
                <w:sz w:val="18"/>
                <w:szCs w:val="18"/>
              </w:rPr>
              <w:t>4</w:t>
            </w:r>
          </w:p>
        </w:tc>
        <w:tc>
          <w:tcPr>
            <w:tcW w:w="1170" w:type="dxa"/>
            <w:vAlign w:val="center"/>
          </w:tcPr>
          <w:p w:rsidR="008D4EE5" w:rsidRDefault="008D4EE5" w:rsidP="00A67771">
            <w:pPr>
              <w:pStyle w:val="AppendixBodyText"/>
              <w:rPr>
                <w:rFonts w:ascii="Tahoma" w:hAnsi="Tahoma" w:cs="Tahoma"/>
                <w:sz w:val="18"/>
                <w:szCs w:val="18"/>
              </w:rPr>
            </w:pPr>
            <w:r>
              <w:rPr>
                <w:rFonts w:ascii="Tahoma" w:hAnsi="Tahoma" w:cs="Tahoma"/>
                <w:sz w:val="18"/>
                <w:szCs w:val="18"/>
              </w:rPr>
              <w:t>8</w:t>
            </w:r>
          </w:p>
        </w:tc>
        <w:tc>
          <w:tcPr>
            <w:tcW w:w="1170" w:type="dxa"/>
            <w:vAlign w:val="center"/>
          </w:tcPr>
          <w:p w:rsidR="008D4EE5" w:rsidRDefault="008D4EE5" w:rsidP="00A67771">
            <w:pPr>
              <w:pStyle w:val="AppendixBodyText"/>
              <w:rPr>
                <w:rFonts w:ascii="Tahoma" w:hAnsi="Tahoma" w:cs="Tahoma"/>
                <w:sz w:val="18"/>
                <w:szCs w:val="18"/>
              </w:rPr>
            </w:pPr>
            <w:r>
              <w:rPr>
                <w:rFonts w:ascii="Tahoma" w:hAnsi="Tahoma" w:cs="Tahoma"/>
                <w:sz w:val="18"/>
                <w:szCs w:val="18"/>
              </w:rPr>
              <w:t>16</w:t>
            </w:r>
          </w:p>
        </w:tc>
      </w:tr>
    </w:tbl>
    <w:p w:rsidR="008D4EE5" w:rsidRDefault="008D4EE5" w:rsidP="008D4EE5">
      <w:pPr>
        <w:pStyle w:val="AppendixBodyText"/>
        <w:spacing w:after="0"/>
      </w:pPr>
    </w:p>
    <w:p w:rsidR="00102660" w:rsidRDefault="00102660" w:rsidP="008D4EE5">
      <w:pPr>
        <w:pStyle w:val="AppendixBodyText"/>
        <w:spacing w:after="0"/>
      </w:pPr>
    </w:p>
    <w:p w:rsidR="00102660" w:rsidRDefault="00102660" w:rsidP="008D4EE5">
      <w:pPr>
        <w:pStyle w:val="AppendixBodyText"/>
        <w:spacing w:after="0"/>
      </w:pPr>
    </w:p>
    <w:p w:rsidR="00102660" w:rsidRDefault="00102660" w:rsidP="008D4EE5">
      <w:pPr>
        <w:pStyle w:val="AppendixBodyText"/>
        <w:spacing w:after="0"/>
      </w:pPr>
    </w:p>
    <w:p w:rsidR="00102660" w:rsidRPr="0062435A" w:rsidRDefault="00102660" w:rsidP="008D4EE5">
      <w:pPr>
        <w:pStyle w:val="AppendixBodyText"/>
        <w:spacing w:after="0"/>
      </w:pPr>
    </w:p>
    <w:p w:rsidR="008D4EE5" w:rsidRPr="0062435A" w:rsidRDefault="008D4EE5" w:rsidP="008D4EE5">
      <w:pPr>
        <w:spacing w:after="60"/>
      </w:pPr>
      <w:bookmarkStart w:id="746" w:name="_Toc240899166"/>
      <w:r>
        <w:rPr>
          <w:rFonts w:cs="Tahoma"/>
          <w:b/>
          <w:szCs w:val="20"/>
        </w:rPr>
        <w:t>Servicelevel für Software Assurance-Kunden</w:t>
      </w:r>
      <w:bookmarkEnd w:id="746"/>
    </w:p>
    <w:p w:rsidR="008D4EE5" w:rsidRPr="0062435A" w:rsidRDefault="008D4EE5" w:rsidP="008D4EE5">
      <w:pPr>
        <w:pStyle w:val="AppendixBodyText"/>
        <w:spacing w:after="0"/>
      </w:pPr>
    </w:p>
    <w:p w:rsidR="008D4EE5" w:rsidRDefault="008D4EE5" w:rsidP="008D4EE5">
      <w:pPr>
        <w:pStyle w:val="AppendixBodyText"/>
        <w:spacing w:after="0"/>
        <w:rPr>
          <w:rFonts w:ascii="Tahoma" w:hAnsi="Tahoma" w:cs="Tahoma"/>
          <w:sz w:val="18"/>
          <w:szCs w:val="18"/>
          <w:lang w:val="de-DE"/>
        </w:rPr>
      </w:pPr>
      <w:r w:rsidRPr="002A48C7">
        <w:rPr>
          <w:rFonts w:ascii="Tahoma" w:hAnsi="Tahoma" w:cs="Tahoma"/>
          <w:sz w:val="18"/>
          <w:szCs w:val="18"/>
          <w:lang w:val="de-DE"/>
        </w:rPr>
        <w:t>Supportanfragen können per Telefon oder elektronisch von den bezeichneten Kontaktpersonen eines Kunden eingereicht werden, ausgenommen die Schweregrade A und B</w:t>
      </w:r>
      <w:r w:rsidR="006257A7">
        <w:rPr>
          <w:rFonts w:ascii="Tahoma" w:hAnsi="Tahoma" w:cs="Tahoma"/>
          <w:sz w:val="18"/>
          <w:szCs w:val="18"/>
          <w:lang w:val="de-DE"/>
        </w:rPr>
        <w:t xml:space="preserve">. </w:t>
      </w:r>
      <w:r w:rsidRPr="002A48C7">
        <w:rPr>
          <w:rFonts w:ascii="Tahoma" w:hAnsi="Tahoma" w:cs="Tahoma"/>
          <w:sz w:val="18"/>
          <w:szCs w:val="18"/>
          <w:lang w:val="de-DE"/>
        </w:rPr>
        <w:t>Diese müssen per Telefon eingereicht werden, wie weiter unten dargelegt</w:t>
      </w:r>
      <w:r w:rsidR="00102660">
        <w:rPr>
          <w:rFonts w:ascii="Tahoma" w:hAnsi="Tahoma" w:cs="Tahoma"/>
          <w:sz w:val="18"/>
          <w:szCs w:val="18"/>
          <w:lang w:val="de-DE"/>
        </w:rPr>
        <w:t>.</w:t>
      </w:r>
    </w:p>
    <w:p w:rsidR="00102660" w:rsidRPr="002A48C7" w:rsidRDefault="00102660" w:rsidP="008D4EE5">
      <w:pPr>
        <w:pStyle w:val="AppendixBodyText"/>
        <w:spacing w:after="0"/>
        <w:rPr>
          <w:lang w:val="de-DE"/>
        </w:rPr>
      </w:pPr>
    </w:p>
    <w:p w:rsidR="008D4EE5" w:rsidRPr="002A48C7" w:rsidRDefault="008D4EE5" w:rsidP="008D4EE5">
      <w:pPr>
        <w:pStyle w:val="AppendixBodyText"/>
        <w:spacing w:after="0"/>
        <w:rPr>
          <w:lang w:val="de-DE"/>
        </w:rPr>
      </w:pPr>
      <w:r w:rsidRPr="002A48C7">
        <w:rPr>
          <w:rFonts w:ascii="Tahoma" w:hAnsi="Tahoma" w:cs="Tahoma"/>
          <w:sz w:val="18"/>
          <w:szCs w:val="18"/>
          <w:lang w:val="de-DE"/>
        </w:rPr>
        <w:t>Die Kunden sind dafür verantwortlich, den anfänglichen Schweregrad in Absprache mit uns festzulegen, und können jederzeit eine Änderung des Schweregrades verlangen</w:t>
      </w:r>
      <w:r w:rsidR="006257A7">
        <w:rPr>
          <w:rFonts w:ascii="Tahoma" w:hAnsi="Tahoma" w:cs="Tahoma"/>
          <w:sz w:val="18"/>
          <w:szCs w:val="18"/>
          <w:lang w:val="de-DE"/>
        </w:rPr>
        <w:t xml:space="preserve">. </w:t>
      </w:r>
      <w:r w:rsidRPr="002A48C7">
        <w:rPr>
          <w:rFonts w:ascii="Tahoma" w:hAnsi="Tahoma" w:cs="Tahoma"/>
          <w:sz w:val="18"/>
          <w:szCs w:val="18"/>
          <w:lang w:val="de-DE"/>
        </w:rPr>
        <w:t>Der Schweregrad des Falls bestimmt die Reaktionsebene innerhalb von Microsoft und geschätzte Reaktionszeiten, und die Verantwortlichkeiten der Kunden sind in der folgenden Tabelle festgelegt:</w:t>
      </w:r>
    </w:p>
    <w:p w:rsidR="008D4EE5" w:rsidRPr="002A48C7" w:rsidRDefault="008D4EE5" w:rsidP="008D4EE5">
      <w:pPr>
        <w:pStyle w:val="AppendixBodyText"/>
        <w:rPr>
          <w:lang w:val="de-DE"/>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430"/>
        <w:gridCol w:w="2610"/>
        <w:gridCol w:w="2880"/>
      </w:tblGrid>
      <w:tr w:rsidR="008D4EE5" w:rsidTr="00B96F6B">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8D4EE5" w:rsidRDefault="008D4EE5" w:rsidP="00A67771">
            <w:pPr>
              <w:pStyle w:val="AppendixBodyText"/>
              <w:spacing w:after="0"/>
              <w:jc w:val="center"/>
              <w:rPr>
                <w:rFonts w:ascii="Tahoma" w:hAnsi="Tahoma" w:cs="Tahoma"/>
                <w:b/>
                <w:bCs/>
              </w:rPr>
            </w:pPr>
            <w:r>
              <w:rPr>
                <w:rFonts w:ascii="Tahoma" w:hAnsi="Tahoma" w:cs="Tahoma"/>
                <w:b/>
                <w:bCs/>
              </w:rPr>
              <w:t>Schweregrad</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D4EE5" w:rsidRDefault="008D4EE5" w:rsidP="00A67771">
            <w:pPr>
              <w:pStyle w:val="AppendixBodyText"/>
              <w:spacing w:after="0"/>
              <w:jc w:val="center"/>
              <w:rPr>
                <w:rFonts w:ascii="Tahoma" w:hAnsi="Tahoma" w:cs="Tahoma"/>
                <w:b/>
                <w:bCs/>
              </w:rPr>
            </w:pPr>
            <w:r>
              <w:rPr>
                <w:rFonts w:ascii="Tahoma" w:hAnsi="Tahoma" w:cs="Tahoma"/>
                <w:b/>
                <w:bCs/>
              </w:rPr>
              <w:t>Situation</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D4EE5" w:rsidRDefault="008D4EE5" w:rsidP="00A67771">
            <w:pPr>
              <w:pStyle w:val="AppendixBodyText"/>
              <w:spacing w:after="0"/>
              <w:jc w:val="center"/>
              <w:rPr>
                <w:rFonts w:ascii="Tahoma" w:hAnsi="Tahoma" w:cs="Tahoma"/>
                <w:b/>
                <w:bCs/>
              </w:rPr>
            </w:pPr>
            <w:r>
              <w:rPr>
                <w:rFonts w:ascii="Tahoma" w:hAnsi="Tahoma" w:cs="Tahoma"/>
                <w:b/>
                <w:bCs/>
              </w:rPr>
              <w:t>Unsere erwartete Reaktion</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D4EE5" w:rsidRDefault="008D4EE5" w:rsidP="00A67771">
            <w:pPr>
              <w:pStyle w:val="AppendixBodyText"/>
              <w:spacing w:after="0"/>
              <w:jc w:val="center"/>
              <w:rPr>
                <w:rFonts w:ascii="Tahoma" w:hAnsi="Tahoma" w:cs="Tahoma"/>
                <w:b/>
                <w:bCs/>
              </w:rPr>
            </w:pPr>
            <w:r>
              <w:rPr>
                <w:rFonts w:ascii="Tahoma" w:hAnsi="Tahoma" w:cs="Tahoma"/>
                <w:b/>
                <w:bCs/>
              </w:rPr>
              <w:t>Vom Kunden erwartete Reaktion</w:t>
            </w:r>
          </w:p>
        </w:tc>
      </w:tr>
      <w:tr w:rsidR="008D4EE5" w:rsidTr="00B96F6B">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D4EE5" w:rsidRDefault="008D4EE5" w:rsidP="00A67771">
            <w:pPr>
              <w:pStyle w:val="AppendixBodyText"/>
              <w:rPr>
                <w:rFonts w:ascii="Tahoma" w:hAnsi="Tahoma" w:cs="Tahoma"/>
                <w:sz w:val="18"/>
                <w:szCs w:val="18"/>
              </w:rPr>
            </w:pPr>
            <w:r>
              <w:rPr>
                <w:rFonts w:ascii="Tahoma" w:hAnsi="Tahoma" w:cs="Tahoma"/>
                <w:sz w:val="18"/>
                <w:szCs w:val="18"/>
              </w:rPr>
              <w:t xml:space="preserve">A Einreichung per Telefon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D4EE5" w:rsidRPr="002A48C7" w:rsidRDefault="008D4EE5" w:rsidP="00A67771">
            <w:pPr>
              <w:pStyle w:val="AppendixBodyText"/>
              <w:numPr>
                <w:ilvl w:val="0"/>
                <w:numId w:val="2"/>
              </w:numPr>
              <w:tabs>
                <w:tab w:val="clear" w:pos="1440"/>
                <w:tab w:val="num" w:pos="612"/>
              </w:tabs>
              <w:ind w:left="612"/>
              <w:rPr>
                <w:lang w:val="de-DE"/>
              </w:rPr>
            </w:pPr>
            <w:r w:rsidRPr="002A48C7">
              <w:rPr>
                <w:rFonts w:ascii="Tahoma" w:hAnsi="Tahoma" w:cs="Tahoma"/>
                <w:sz w:val="18"/>
                <w:szCs w:val="18"/>
                <w:lang w:val="de-DE"/>
              </w:rPr>
              <w:t xml:space="preserve">Kritische Auswirkungen auf das Geschäft: </w:t>
            </w:r>
          </w:p>
          <w:p w:rsidR="008D4EE5" w:rsidRPr="002A48C7" w:rsidRDefault="008D4EE5" w:rsidP="00B96F6B">
            <w:pPr>
              <w:pStyle w:val="AppendixBodyText"/>
              <w:numPr>
                <w:ilvl w:val="0"/>
                <w:numId w:val="2"/>
              </w:numPr>
              <w:tabs>
                <w:tab w:val="clear" w:pos="1440"/>
                <w:tab w:val="num" w:pos="612"/>
              </w:tabs>
              <w:ind w:left="612"/>
              <w:rPr>
                <w:rFonts w:ascii="Tahoma" w:hAnsi="Tahoma" w:cs="Tahoma"/>
                <w:sz w:val="18"/>
                <w:szCs w:val="18"/>
                <w:lang w:val="de-DE"/>
              </w:rPr>
            </w:pPr>
            <w:r w:rsidRPr="002A48C7">
              <w:rPr>
                <w:rFonts w:ascii="Tahoma" w:hAnsi="Tahoma" w:cs="Tahoma"/>
                <w:sz w:val="18"/>
                <w:szCs w:val="18"/>
                <w:lang w:val="de-DE"/>
              </w:rPr>
              <w:t>Das Geschäft des</w:t>
            </w:r>
            <w:r w:rsidR="00B96F6B">
              <w:rPr>
                <w:rFonts w:ascii="Tahoma" w:hAnsi="Tahoma" w:cs="Tahoma"/>
                <w:sz w:val="18"/>
                <w:szCs w:val="18"/>
                <w:lang w:val="de-DE"/>
              </w:rPr>
              <w:t> </w:t>
            </w:r>
            <w:r w:rsidRPr="002A48C7">
              <w:rPr>
                <w:rFonts w:ascii="Tahoma" w:hAnsi="Tahoma" w:cs="Tahoma"/>
                <w:sz w:val="18"/>
                <w:szCs w:val="18"/>
                <w:lang w:val="de-DE"/>
              </w:rPr>
              <w:t>Kunden erlebt einen erheblichen Verlust oder eine</w:t>
            </w:r>
            <w:r w:rsidR="00B96F6B">
              <w:rPr>
                <w:rFonts w:ascii="Tahoma" w:hAnsi="Tahoma" w:cs="Tahoma"/>
                <w:sz w:val="18"/>
                <w:szCs w:val="18"/>
                <w:lang w:val="de-DE"/>
              </w:rPr>
              <w:t> </w:t>
            </w:r>
            <w:r w:rsidRPr="002A48C7">
              <w:rPr>
                <w:rFonts w:ascii="Tahoma" w:hAnsi="Tahoma" w:cs="Tahoma"/>
                <w:sz w:val="18"/>
                <w:szCs w:val="18"/>
                <w:lang w:val="de-DE"/>
              </w:rPr>
              <w:t>erhebliche Beeinträchtigung von Diensten</w:t>
            </w:r>
            <w:r w:rsidR="006257A7">
              <w:rPr>
                <w:rFonts w:ascii="Tahoma" w:hAnsi="Tahoma" w:cs="Tahoma"/>
                <w:sz w:val="18"/>
                <w:szCs w:val="18"/>
                <w:lang w:val="de-DE"/>
              </w:rPr>
              <w:t xml:space="preserve">. </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8D4EE5" w:rsidRPr="002A48C7" w:rsidRDefault="008D4EE5" w:rsidP="00B96F6B">
            <w:pPr>
              <w:pStyle w:val="AppendixBodyText"/>
              <w:numPr>
                <w:ilvl w:val="0"/>
                <w:numId w:val="2"/>
              </w:numPr>
              <w:tabs>
                <w:tab w:val="clear" w:pos="1440"/>
                <w:tab w:val="num" w:pos="522"/>
              </w:tabs>
              <w:ind w:left="522"/>
              <w:rPr>
                <w:lang w:val="de-DE"/>
              </w:rPr>
            </w:pPr>
            <w:r w:rsidRPr="002A48C7">
              <w:rPr>
                <w:rFonts w:ascii="Tahoma" w:hAnsi="Tahoma" w:cs="Tahoma"/>
                <w:sz w:val="18"/>
                <w:szCs w:val="18"/>
                <w:lang w:val="de-DE"/>
              </w:rPr>
              <w:t>1</w:t>
            </w:r>
            <w:r w:rsidR="006257A7">
              <w:rPr>
                <w:rFonts w:ascii="Tahoma" w:hAnsi="Tahoma" w:cs="Tahoma"/>
                <w:sz w:val="18"/>
                <w:szCs w:val="18"/>
                <w:lang w:val="de-DE"/>
              </w:rPr>
              <w:t xml:space="preserve">. </w:t>
            </w:r>
            <w:r w:rsidRPr="002A48C7">
              <w:rPr>
                <w:rFonts w:ascii="Tahoma" w:hAnsi="Tahoma" w:cs="Tahoma"/>
                <w:sz w:val="18"/>
                <w:szCs w:val="18"/>
                <w:lang w:val="de-DE"/>
              </w:rPr>
              <w:t>Reaktion auf Anruf in 2</w:t>
            </w:r>
            <w:r w:rsidR="00B96F6B">
              <w:rPr>
                <w:rFonts w:ascii="Tahoma" w:hAnsi="Tahoma" w:cs="Tahoma"/>
                <w:sz w:val="18"/>
                <w:szCs w:val="18"/>
                <w:lang w:val="de-DE"/>
              </w:rPr>
              <w:t> </w:t>
            </w:r>
            <w:r w:rsidRPr="002A48C7">
              <w:rPr>
                <w:rFonts w:ascii="Tahoma" w:hAnsi="Tahoma" w:cs="Tahoma"/>
                <w:sz w:val="18"/>
                <w:szCs w:val="18"/>
                <w:lang w:val="de-DE"/>
              </w:rPr>
              <w:t>Stunden oder weniger, basierend auf dem Supportangebot</w:t>
            </w:r>
          </w:p>
          <w:p w:rsidR="008D4EE5" w:rsidRPr="002A48C7" w:rsidRDefault="008D4EE5" w:rsidP="00A67771">
            <w:pPr>
              <w:pStyle w:val="AppendixBodyText"/>
              <w:numPr>
                <w:ilvl w:val="0"/>
                <w:numId w:val="2"/>
              </w:numPr>
              <w:tabs>
                <w:tab w:val="clear" w:pos="1440"/>
                <w:tab w:val="num" w:pos="522"/>
              </w:tabs>
              <w:ind w:left="522"/>
              <w:rPr>
                <w:lang w:val="de-DE"/>
              </w:rPr>
            </w:pPr>
            <w:r w:rsidRPr="002A48C7">
              <w:rPr>
                <w:rFonts w:ascii="Tahoma" w:hAnsi="Tahoma" w:cs="Tahoma"/>
                <w:sz w:val="18"/>
                <w:szCs w:val="18"/>
                <w:lang w:val="de-DE"/>
              </w:rPr>
              <w:t>Microsoft-Ressourcen nach Bedarf am Standort des Kunden</w:t>
            </w:r>
          </w:p>
          <w:p w:rsidR="008D4EE5" w:rsidRPr="002A48C7" w:rsidRDefault="008D4EE5" w:rsidP="00B96F6B">
            <w:pPr>
              <w:pStyle w:val="AppendixBodyText"/>
              <w:numPr>
                <w:ilvl w:val="0"/>
                <w:numId w:val="2"/>
              </w:numPr>
              <w:tabs>
                <w:tab w:val="clear" w:pos="1440"/>
                <w:tab w:val="num" w:pos="522"/>
              </w:tabs>
              <w:ind w:left="522"/>
              <w:rPr>
                <w:lang w:val="de-DE"/>
              </w:rPr>
            </w:pPr>
            <w:r w:rsidRPr="002A48C7">
              <w:rPr>
                <w:rFonts w:ascii="Tahoma" w:hAnsi="Tahoma" w:cs="Tahoma"/>
                <w:sz w:val="18"/>
                <w:szCs w:val="18"/>
                <w:lang w:val="de-DE"/>
              </w:rPr>
              <w:t>Durchgehende Bemühungen rund um</w:t>
            </w:r>
            <w:r w:rsidR="00B96F6B">
              <w:rPr>
                <w:rFonts w:ascii="Tahoma" w:hAnsi="Tahoma" w:cs="Tahoma"/>
                <w:sz w:val="18"/>
                <w:szCs w:val="18"/>
                <w:lang w:val="de-DE"/>
              </w:rPr>
              <w:t> </w:t>
            </w:r>
            <w:r w:rsidRPr="002A48C7">
              <w:rPr>
                <w:rFonts w:ascii="Tahoma" w:hAnsi="Tahoma" w:cs="Tahoma"/>
                <w:sz w:val="18"/>
                <w:szCs w:val="18"/>
                <w:lang w:val="de-DE"/>
              </w:rPr>
              <w:t>die</w:t>
            </w:r>
            <w:r w:rsidR="00B96F6B">
              <w:rPr>
                <w:rFonts w:ascii="Tahoma" w:hAnsi="Tahoma" w:cs="Tahoma"/>
                <w:sz w:val="18"/>
                <w:szCs w:val="18"/>
                <w:lang w:val="de-DE"/>
              </w:rPr>
              <w:t> </w:t>
            </w:r>
            <w:r w:rsidRPr="002A48C7">
              <w:rPr>
                <w:rFonts w:ascii="Tahoma" w:hAnsi="Tahoma" w:cs="Tahoma"/>
                <w:sz w:val="18"/>
                <w:szCs w:val="18"/>
                <w:lang w:val="de-DE"/>
              </w:rPr>
              <w:t>Uhr</w:t>
            </w:r>
          </w:p>
          <w:p w:rsidR="008D4EE5" w:rsidRPr="002A48C7" w:rsidRDefault="008D4EE5" w:rsidP="00A67771">
            <w:pPr>
              <w:pStyle w:val="AppendixBodyText"/>
              <w:numPr>
                <w:ilvl w:val="0"/>
                <w:numId w:val="2"/>
              </w:numPr>
              <w:tabs>
                <w:tab w:val="clear" w:pos="1440"/>
                <w:tab w:val="num" w:pos="522"/>
              </w:tabs>
              <w:ind w:left="522"/>
              <w:rPr>
                <w:rFonts w:ascii="Tahoma" w:hAnsi="Tahoma" w:cs="Tahoma"/>
                <w:sz w:val="18"/>
                <w:szCs w:val="18"/>
                <w:lang w:val="de-DE"/>
              </w:rPr>
            </w:pPr>
            <w:r w:rsidRPr="002A48C7">
              <w:rPr>
                <w:rFonts w:ascii="Tahoma" w:hAnsi="Tahoma" w:cs="Tahoma"/>
                <w:sz w:val="18"/>
                <w:szCs w:val="18"/>
                <w:lang w:val="de-DE"/>
              </w:rPr>
              <w:t>Benachrichtigung der leitenden Manager bei Microsoft, basierend auf dem Supportangebot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D4EE5" w:rsidRPr="002A48C7" w:rsidRDefault="008D4EE5" w:rsidP="00B96F6B">
            <w:pPr>
              <w:pStyle w:val="AppendixBodyText"/>
              <w:numPr>
                <w:ilvl w:val="0"/>
                <w:numId w:val="2"/>
              </w:numPr>
              <w:tabs>
                <w:tab w:val="clear" w:pos="1440"/>
              </w:tabs>
              <w:ind w:left="432"/>
              <w:rPr>
                <w:lang w:val="de-DE"/>
              </w:rPr>
            </w:pPr>
            <w:r w:rsidRPr="002A48C7">
              <w:rPr>
                <w:rFonts w:ascii="Tahoma" w:hAnsi="Tahoma" w:cs="Tahoma"/>
                <w:sz w:val="18"/>
                <w:szCs w:val="18"/>
                <w:lang w:val="de-DE"/>
              </w:rPr>
              <w:t>Zuweisung geeigneter Ressourcen zur Aufrechterhaltung durchgehender Bemühungen rund um</w:t>
            </w:r>
            <w:r w:rsidR="00B96F6B">
              <w:rPr>
                <w:rFonts w:ascii="Tahoma" w:hAnsi="Tahoma" w:cs="Tahoma"/>
                <w:sz w:val="18"/>
                <w:szCs w:val="18"/>
                <w:lang w:val="de-DE"/>
              </w:rPr>
              <w:t> </w:t>
            </w:r>
            <w:r w:rsidRPr="002A48C7">
              <w:rPr>
                <w:rFonts w:ascii="Tahoma" w:hAnsi="Tahoma" w:cs="Tahoma"/>
                <w:sz w:val="18"/>
                <w:szCs w:val="18"/>
                <w:lang w:val="de-DE"/>
              </w:rPr>
              <w:t>die</w:t>
            </w:r>
            <w:r w:rsidR="00B96F6B">
              <w:rPr>
                <w:rFonts w:ascii="Tahoma" w:hAnsi="Tahoma" w:cs="Tahoma"/>
                <w:sz w:val="18"/>
                <w:szCs w:val="18"/>
                <w:lang w:val="de-DE"/>
              </w:rPr>
              <w:t> </w:t>
            </w:r>
            <w:r w:rsidRPr="002A48C7">
              <w:rPr>
                <w:rFonts w:ascii="Tahoma" w:hAnsi="Tahoma" w:cs="Tahoma"/>
                <w:sz w:val="18"/>
                <w:szCs w:val="18"/>
                <w:lang w:val="de-DE"/>
              </w:rPr>
              <w:t>Uhr</w:t>
            </w:r>
            <w:r w:rsidRPr="002A48C7">
              <w:rPr>
                <w:rFonts w:ascii="Tahoma" w:hAnsi="Tahoma" w:cs="Tahoma"/>
                <w:sz w:val="18"/>
                <w:szCs w:val="18"/>
                <w:vertAlign w:val="superscript"/>
                <w:lang w:val="de-DE"/>
              </w:rPr>
              <w:t>2</w:t>
            </w:r>
          </w:p>
          <w:p w:rsidR="008D4EE5" w:rsidRPr="002A48C7" w:rsidRDefault="008D4EE5" w:rsidP="00A67771">
            <w:pPr>
              <w:pStyle w:val="AppendixBodyText"/>
              <w:numPr>
                <w:ilvl w:val="0"/>
                <w:numId w:val="2"/>
              </w:numPr>
              <w:tabs>
                <w:tab w:val="clear" w:pos="1440"/>
              </w:tabs>
              <w:ind w:left="432"/>
              <w:rPr>
                <w:lang w:val="de-DE"/>
              </w:rPr>
            </w:pPr>
            <w:r w:rsidRPr="002A48C7">
              <w:rPr>
                <w:rFonts w:ascii="Tahoma" w:hAnsi="Tahoma" w:cs="Tahoma"/>
                <w:sz w:val="18"/>
                <w:szCs w:val="18"/>
                <w:lang w:val="de-DE"/>
              </w:rPr>
              <w:t>Schneller Zugriff und schnelle Reaktion durch Änderungskontrollautorität</w:t>
            </w:r>
          </w:p>
          <w:p w:rsidR="008D4EE5" w:rsidRDefault="008D4EE5" w:rsidP="00A67771">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Benachrichtigung des Managements</w:t>
            </w:r>
          </w:p>
        </w:tc>
      </w:tr>
      <w:tr w:rsidR="008D4EE5" w:rsidRPr="00FB51BA" w:rsidTr="00B96F6B">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D4EE5" w:rsidRDefault="008D4EE5" w:rsidP="00A67771">
            <w:pPr>
              <w:pStyle w:val="AppendixBodyText"/>
              <w:rPr>
                <w:rFonts w:ascii="Tahoma" w:hAnsi="Tahoma" w:cs="Tahoma"/>
                <w:sz w:val="18"/>
                <w:szCs w:val="18"/>
              </w:rPr>
            </w:pPr>
            <w:r>
              <w:rPr>
                <w:rFonts w:ascii="Tahoma" w:hAnsi="Tahoma" w:cs="Tahoma"/>
                <w:sz w:val="18"/>
                <w:szCs w:val="18"/>
              </w:rPr>
              <w:t xml:space="preserve">B Einreichung per Telefon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D4EE5" w:rsidRPr="002A48C7" w:rsidRDefault="008D4EE5" w:rsidP="00A67771">
            <w:pPr>
              <w:pStyle w:val="AppendixBodyText"/>
              <w:numPr>
                <w:ilvl w:val="0"/>
                <w:numId w:val="2"/>
              </w:numPr>
              <w:tabs>
                <w:tab w:val="clear" w:pos="1440"/>
                <w:tab w:val="num" w:pos="612"/>
              </w:tabs>
              <w:ind w:left="612"/>
              <w:rPr>
                <w:lang w:val="de-DE"/>
              </w:rPr>
            </w:pPr>
            <w:r w:rsidRPr="002A48C7">
              <w:rPr>
                <w:rFonts w:ascii="Tahoma" w:hAnsi="Tahoma" w:cs="Tahoma"/>
                <w:sz w:val="18"/>
                <w:szCs w:val="18"/>
                <w:lang w:val="de-DE"/>
              </w:rPr>
              <w:t xml:space="preserve">Mittelschwere Auswirkungen auf das Geschäft: </w:t>
            </w:r>
          </w:p>
          <w:p w:rsidR="008D4EE5" w:rsidRPr="002A48C7" w:rsidRDefault="008D4EE5" w:rsidP="00B96F6B">
            <w:pPr>
              <w:pStyle w:val="AppendixBodyText"/>
              <w:numPr>
                <w:ilvl w:val="0"/>
                <w:numId w:val="2"/>
              </w:numPr>
              <w:tabs>
                <w:tab w:val="clear" w:pos="1440"/>
                <w:tab w:val="num" w:pos="612"/>
              </w:tabs>
              <w:ind w:left="612"/>
              <w:rPr>
                <w:rFonts w:ascii="Tahoma" w:hAnsi="Tahoma" w:cs="Tahoma"/>
                <w:sz w:val="18"/>
                <w:szCs w:val="18"/>
                <w:lang w:val="de-DE"/>
              </w:rPr>
            </w:pPr>
            <w:r w:rsidRPr="002A48C7">
              <w:rPr>
                <w:rFonts w:ascii="Tahoma" w:hAnsi="Tahoma" w:cs="Tahoma"/>
                <w:sz w:val="18"/>
                <w:szCs w:val="18"/>
                <w:lang w:val="de-DE"/>
              </w:rPr>
              <w:t>Das Geschäft des</w:t>
            </w:r>
            <w:r w:rsidR="00B96F6B">
              <w:rPr>
                <w:rFonts w:ascii="Tahoma" w:hAnsi="Tahoma" w:cs="Tahoma"/>
                <w:sz w:val="18"/>
                <w:szCs w:val="18"/>
                <w:lang w:val="de-DE"/>
              </w:rPr>
              <w:t> </w:t>
            </w:r>
            <w:r w:rsidRPr="002A48C7">
              <w:rPr>
                <w:rFonts w:ascii="Tahoma" w:hAnsi="Tahoma" w:cs="Tahoma"/>
                <w:sz w:val="18"/>
                <w:szCs w:val="18"/>
                <w:lang w:val="de-DE"/>
              </w:rPr>
              <w:t>Kunden erlebt einen mittelschweren Verlust oder eine mittelschwere Beeinträchtigung von Diensten, die</w:t>
            </w:r>
            <w:r w:rsidR="00B96F6B">
              <w:rPr>
                <w:rFonts w:ascii="Tahoma" w:hAnsi="Tahoma" w:cs="Tahoma"/>
                <w:sz w:val="18"/>
                <w:szCs w:val="18"/>
                <w:lang w:val="de-DE"/>
              </w:rPr>
              <w:t> </w:t>
            </w:r>
            <w:r w:rsidRPr="002A48C7">
              <w:rPr>
                <w:rFonts w:ascii="Tahoma" w:hAnsi="Tahoma" w:cs="Tahoma"/>
                <w:sz w:val="18"/>
                <w:szCs w:val="18"/>
                <w:lang w:val="de-DE"/>
              </w:rPr>
              <w:t>Arbeit kann</w:t>
            </w:r>
            <w:r w:rsidR="00B96F6B">
              <w:rPr>
                <w:rFonts w:ascii="Tahoma" w:hAnsi="Tahoma" w:cs="Tahoma"/>
                <w:sz w:val="18"/>
                <w:szCs w:val="18"/>
                <w:lang w:val="de-DE"/>
              </w:rPr>
              <w:t> </w:t>
            </w:r>
            <w:r w:rsidRPr="002A48C7">
              <w:rPr>
                <w:rFonts w:ascii="Tahoma" w:hAnsi="Tahoma" w:cs="Tahoma"/>
                <w:sz w:val="18"/>
                <w:szCs w:val="18"/>
                <w:lang w:val="de-DE"/>
              </w:rPr>
              <w:t>jedoch vernünftigerweise mit Beeinträchtigungen fortgesetzt werden</w:t>
            </w:r>
            <w:r w:rsidR="006257A7">
              <w:rPr>
                <w:rFonts w:ascii="Tahoma" w:hAnsi="Tahoma" w:cs="Tahoma"/>
                <w:sz w:val="18"/>
                <w:szCs w:val="18"/>
                <w:lang w:val="de-DE"/>
              </w:rPr>
              <w:t xml:space="preserve">. </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8D4EE5" w:rsidRPr="002A48C7" w:rsidRDefault="008D4EE5" w:rsidP="00A67771">
            <w:pPr>
              <w:pStyle w:val="AppendixBodyText"/>
              <w:numPr>
                <w:ilvl w:val="0"/>
                <w:numId w:val="2"/>
              </w:numPr>
              <w:tabs>
                <w:tab w:val="num" w:pos="522"/>
              </w:tabs>
              <w:ind w:left="522"/>
              <w:rPr>
                <w:lang w:val="de-DE"/>
              </w:rPr>
            </w:pPr>
            <w:r w:rsidRPr="002A48C7">
              <w:rPr>
                <w:rFonts w:ascii="Tahoma" w:hAnsi="Tahoma" w:cs="Tahoma"/>
                <w:sz w:val="18"/>
                <w:szCs w:val="18"/>
                <w:lang w:val="de-DE"/>
              </w:rPr>
              <w:t>1</w:t>
            </w:r>
            <w:r w:rsidR="006257A7">
              <w:rPr>
                <w:rFonts w:ascii="Tahoma" w:hAnsi="Tahoma" w:cs="Tahoma"/>
                <w:sz w:val="18"/>
                <w:szCs w:val="18"/>
                <w:vertAlign w:val="superscript"/>
                <w:lang w:val="de-DE"/>
              </w:rPr>
              <w:t xml:space="preserve">. </w:t>
            </w:r>
            <w:r w:rsidRPr="002A48C7">
              <w:rPr>
                <w:rFonts w:ascii="Tahoma" w:hAnsi="Tahoma" w:cs="Tahoma"/>
                <w:sz w:val="18"/>
                <w:szCs w:val="18"/>
                <w:lang w:val="de-DE"/>
              </w:rPr>
              <w:t>Reaktion auf Anruf in 4 Stunden oder weniger, basierend auf dem Supportangebot</w:t>
            </w:r>
          </w:p>
          <w:p w:rsidR="008D4EE5" w:rsidRPr="0062435A" w:rsidRDefault="008D4EE5" w:rsidP="00A67771">
            <w:pPr>
              <w:pStyle w:val="AppendixBodyText"/>
              <w:numPr>
                <w:ilvl w:val="0"/>
                <w:numId w:val="2"/>
              </w:numPr>
              <w:tabs>
                <w:tab w:val="num" w:pos="522"/>
              </w:tabs>
              <w:ind w:left="522"/>
            </w:pPr>
            <w:r>
              <w:rPr>
                <w:rFonts w:ascii="Tahoma" w:hAnsi="Tahoma" w:cs="Tahoma"/>
                <w:sz w:val="18"/>
                <w:szCs w:val="18"/>
              </w:rPr>
              <w:t xml:space="preserve">Bemühungen nur während der </w:t>
            </w:r>
            <w:r>
              <w:rPr>
                <w:rFonts w:ascii="Tahoma" w:hAnsi="Tahoma" w:cs="Tahoma"/>
                <w:bCs/>
                <w:sz w:val="18"/>
                <w:szCs w:val="18"/>
              </w:rPr>
              <w:t>Geschäftszeiten</w:t>
            </w:r>
            <w:r>
              <w:rPr>
                <w:rFonts w:ascii="Tahoma" w:hAnsi="Tahoma" w:cs="Tahoma"/>
                <w:sz w:val="18"/>
                <w:szCs w:val="18"/>
                <w:vertAlign w:val="superscript"/>
              </w:rPr>
              <w:t>1</w:t>
            </w:r>
          </w:p>
          <w:p w:rsidR="008D4EE5" w:rsidRDefault="008D4EE5" w:rsidP="00A67771">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D4EE5" w:rsidRPr="002A48C7" w:rsidRDefault="008D4EE5" w:rsidP="00B96F6B">
            <w:pPr>
              <w:pStyle w:val="AppendixBodyText"/>
              <w:numPr>
                <w:ilvl w:val="0"/>
                <w:numId w:val="2"/>
              </w:numPr>
              <w:tabs>
                <w:tab w:val="clear" w:pos="1440"/>
                <w:tab w:val="num" w:pos="432"/>
              </w:tabs>
              <w:ind w:left="432" w:hanging="270"/>
              <w:rPr>
                <w:lang w:val="de-DE"/>
              </w:rPr>
            </w:pPr>
            <w:r w:rsidRPr="002A48C7">
              <w:rPr>
                <w:rFonts w:ascii="Tahoma" w:hAnsi="Tahoma" w:cs="Tahoma"/>
                <w:sz w:val="18"/>
                <w:szCs w:val="18"/>
                <w:lang w:val="de-DE"/>
              </w:rPr>
              <w:t>Zuweisung geeigneter Ressourcen zur Aufrechterhaltung durchgehender Bemühungen während der</w:t>
            </w:r>
            <w:r w:rsidR="00B96F6B">
              <w:rPr>
                <w:rFonts w:ascii="Tahoma" w:hAnsi="Tahoma" w:cs="Tahoma"/>
                <w:sz w:val="18"/>
                <w:szCs w:val="18"/>
                <w:lang w:val="de-DE"/>
              </w:rPr>
              <w:t> </w:t>
            </w:r>
            <w:r w:rsidRPr="002A48C7">
              <w:rPr>
                <w:rFonts w:ascii="Tahoma" w:hAnsi="Tahoma" w:cs="Tahoma"/>
                <w:sz w:val="18"/>
                <w:szCs w:val="18"/>
                <w:lang w:val="de-DE"/>
              </w:rPr>
              <w:t>Geschäftszeiten</w:t>
            </w:r>
            <w:r w:rsidRPr="002A48C7">
              <w:rPr>
                <w:rFonts w:ascii="Tahoma" w:hAnsi="Tahoma" w:cs="Tahoma"/>
                <w:sz w:val="18"/>
                <w:szCs w:val="18"/>
                <w:vertAlign w:val="superscript"/>
                <w:lang w:val="de-DE"/>
              </w:rPr>
              <w:t xml:space="preserve"> </w:t>
            </w:r>
          </w:p>
          <w:p w:rsidR="008D4EE5" w:rsidRPr="002A48C7" w:rsidRDefault="008D4EE5" w:rsidP="00A67771">
            <w:pPr>
              <w:pStyle w:val="AppendixBodyText"/>
              <w:numPr>
                <w:ilvl w:val="0"/>
                <w:numId w:val="2"/>
              </w:numPr>
              <w:tabs>
                <w:tab w:val="clear" w:pos="1440"/>
                <w:tab w:val="num" w:pos="432"/>
              </w:tabs>
              <w:ind w:left="432" w:hanging="270"/>
              <w:rPr>
                <w:rFonts w:ascii="Tahoma" w:hAnsi="Tahoma" w:cs="Tahoma"/>
                <w:sz w:val="18"/>
                <w:szCs w:val="18"/>
                <w:lang w:val="de-DE"/>
              </w:rPr>
            </w:pPr>
            <w:r w:rsidRPr="002A48C7">
              <w:rPr>
                <w:rFonts w:ascii="Tahoma" w:hAnsi="Tahoma" w:cs="Tahoma"/>
                <w:sz w:val="18"/>
                <w:szCs w:val="18"/>
                <w:lang w:val="de-DE"/>
              </w:rPr>
              <w:t>Zugriff und Reaktion von Änderungskontrollautorität innerhalb von 4 Geschäftsstunden</w:t>
            </w:r>
          </w:p>
        </w:tc>
      </w:tr>
      <w:tr w:rsidR="008D4EE5" w:rsidTr="00B96F6B">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D4EE5" w:rsidRPr="002A48C7" w:rsidRDefault="008D4EE5" w:rsidP="00A67771">
            <w:pPr>
              <w:pStyle w:val="AppendixBodyText"/>
              <w:rPr>
                <w:rFonts w:ascii="Tahoma" w:hAnsi="Tahoma" w:cs="Tahoma"/>
                <w:sz w:val="18"/>
                <w:szCs w:val="18"/>
                <w:lang w:val="de-DE"/>
              </w:rPr>
            </w:pPr>
            <w:r w:rsidRPr="002A48C7">
              <w:rPr>
                <w:rFonts w:ascii="Tahoma" w:hAnsi="Tahoma" w:cs="Tahoma"/>
                <w:sz w:val="18"/>
                <w:szCs w:val="18"/>
                <w:lang w:val="de-DE"/>
              </w:rPr>
              <w:t>C Einreichung per Telefon oder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D4EE5" w:rsidRPr="002A48C7" w:rsidRDefault="008D4EE5" w:rsidP="00A67771">
            <w:pPr>
              <w:pStyle w:val="AppendixBodyText"/>
              <w:numPr>
                <w:ilvl w:val="0"/>
                <w:numId w:val="2"/>
              </w:numPr>
              <w:tabs>
                <w:tab w:val="clear" w:pos="1440"/>
                <w:tab w:val="num" w:pos="612"/>
              </w:tabs>
              <w:ind w:left="612"/>
              <w:rPr>
                <w:lang w:val="de-DE"/>
              </w:rPr>
            </w:pPr>
            <w:r w:rsidRPr="002A48C7">
              <w:rPr>
                <w:rFonts w:ascii="Tahoma" w:hAnsi="Tahoma" w:cs="Tahoma"/>
                <w:sz w:val="18"/>
                <w:szCs w:val="18"/>
                <w:lang w:val="de-DE"/>
              </w:rPr>
              <w:t xml:space="preserve">Minimale Auswirkungen auf das Geschäft: </w:t>
            </w:r>
          </w:p>
          <w:p w:rsidR="008D4EE5" w:rsidRPr="002A48C7" w:rsidRDefault="008D4EE5" w:rsidP="00B96F6B">
            <w:pPr>
              <w:pStyle w:val="AppendixBodyText"/>
              <w:numPr>
                <w:ilvl w:val="0"/>
                <w:numId w:val="2"/>
              </w:numPr>
              <w:tabs>
                <w:tab w:val="clear" w:pos="1440"/>
                <w:tab w:val="num" w:pos="612"/>
              </w:tabs>
              <w:ind w:left="612"/>
              <w:rPr>
                <w:rFonts w:ascii="Tahoma" w:hAnsi="Tahoma" w:cs="Tahoma"/>
                <w:sz w:val="18"/>
                <w:szCs w:val="18"/>
                <w:lang w:val="de-DE"/>
              </w:rPr>
            </w:pPr>
            <w:r w:rsidRPr="002A48C7">
              <w:rPr>
                <w:rFonts w:ascii="Tahoma" w:hAnsi="Tahoma" w:cs="Tahoma"/>
                <w:sz w:val="18"/>
                <w:szCs w:val="18"/>
                <w:lang w:val="de-DE"/>
              </w:rPr>
              <w:t>Das Geschäft des Kunden ist im Wesentlichen funktionsfähig, mit</w:t>
            </w:r>
            <w:r w:rsidR="00B96F6B">
              <w:rPr>
                <w:rFonts w:ascii="Tahoma" w:hAnsi="Tahoma" w:cs="Tahoma"/>
                <w:sz w:val="18"/>
                <w:szCs w:val="18"/>
                <w:lang w:val="de-DE"/>
              </w:rPr>
              <w:t> </w:t>
            </w:r>
            <w:r w:rsidRPr="002A48C7">
              <w:rPr>
                <w:rFonts w:ascii="Tahoma" w:hAnsi="Tahoma" w:cs="Tahoma"/>
                <w:sz w:val="18"/>
                <w:szCs w:val="18"/>
                <w:lang w:val="de-DE"/>
              </w:rPr>
              <w:t>geringen oder</w:t>
            </w:r>
            <w:r w:rsidR="00B96F6B">
              <w:rPr>
                <w:rFonts w:ascii="Tahoma" w:hAnsi="Tahoma" w:cs="Tahoma"/>
                <w:sz w:val="18"/>
                <w:szCs w:val="18"/>
                <w:lang w:val="de-DE"/>
              </w:rPr>
              <w:t> </w:t>
            </w:r>
            <w:r w:rsidRPr="002A48C7">
              <w:rPr>
                <w:rFonts w:ascii="Tahoma" w:hAnsi="Tahoma" w:cs="Tahoma"/>
                <w:sz w:val="18"/>
                <w:szCs w:val="18"/>
                <w:lang w:val="de-DE"/>
              </w:rPr>
              <w:t>keinen Beeinträchtigungen von Diensten</w:t>
            </w:r>
            <w:r w:rsidR="006257A7">
              <w:rPr>
                <w:rFonts w:ascii="Tahoma" w:hAnsi="Tahoma" w:cs="Tahoma"/>
                <w:sz w:val="18"/>
                <w:szCs w:val="18"/>
                <w:lang w:val="de-DE"/>
              </w:rPr>
              <w:t xml:space="preserve">. </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8D4EE5" w:rsidRPr="002A48C7" w:rsidRDefault="008D4EE5" w:rsidP="00A67771">
            <w:pPr>
              <w:pStyle w:val="AppendixBodyText"/>
              <w:numPr>
                <w:ilvl w:val="0"/>
                <w:numId w:val="2"/>
              </w:numPr>
              <w:tabs>
                <w:tab w:val="num" w:pos="522"/>
              </w:tabs>
              <w:ind w:left="522"/>
              <w:rPr>
                <w:lang w:val="de-DE"/>
              </w:rPr>
            </w:pPr>
            <w:r w:rsidRPr="002A48C7">
              <w:rPr>
                <w:rFonts w:ascii="Tahoma" w:hAnsi="Tahoma" w:cs="Tahoma"/>
                <w:sz w:val="18"/>
                <w:szCs w:val="18"/>
                <w:lang w:val="de-DE"/>
              </w:rPr>
              <w:t>1</w:t>
            </w:r>
            <w:r w:rsidR="006257A7">
              <w:rPr>
                <w:rFonts w:ascii="Tahoma" w:hAnsi="Tahoma" w:cs="Tahoma"/>
                <w:sz w:val="18"/>
                <w:szCs w:val="18"/>
                <w:vertAlign w:val="superscript"/>
                <w:lang w:val="de-DE"/>
              </w:rPr>
              <w:t xml:space="preserve">. </w:t>
            </w:r>
            <w:r w:rsidRPr="002A48C7">
              <w:rPr>
                <w:rFonts w:ascii="Tahoma" w:hAnsi="Tahoma" w:cs="Tahoma"/>
                <w:sz w:val="18"/>
                <w:szCs w:val="18"/>
                <w:lang w:val="de-DE"/>
              </w:rPr>
              <w:t>Reaktion auf Anruf innerhalb von einem Geschäftstag oder weniger, basierend auf dem Supportangebot</w:t>
            </w:r>
          </w:p>
          <w:p w:rsidR="008D4EE5" w:rsidRPr="0062435A" w:rsidRDefault="008D4EE5" w:rsidP="00A67771">
            <w:pPr>
              <w:pStyle w:val="AppendixBodyText"/>
              <w:numPr>
                <w:ilvl w:val="0"/>
                <w:numId w:val="2"/>
              </w:numPr>
              <w:tabs>
                <w:tab w:val="num" w:pos="522"/>
              </w:tabs>
              <w:ind w:left="522"/>
            </w:pPr>
            <w:r>
              <w:rPr>
                <w:rFonts w:ascii="Tahoma" w:hAnsi="Tahoma" w:cs="Tahoma"/>
                <w:sz w:val="18"/>
                <w:szCs w:val="18"/>
              </w:rPr>
              <w:t xml:space="preserve">Bemühungen nur während der </w:t>
            </w:r>
            <w:r>
              <w:rPr>
                <w:rFonts w:ascii="Tahoma" w:hAnsi="Tahoma" w:cs="Tahoma"/>
                <w:bCs/>
                <w:sz w:val="18"/>
                <w:szCs w:val="18"/>
              </w:rPr>
              <w:t>Geschäftszeiten</w:t>
            </w:r>
          </w:p>
          <w:p w:rsidR="008D4EE5" w:rsidRDefault="008D4EE5" w:rsidP="00A67771">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D4EE5" w:rsidRPr="0062435A" w:rsidRDefault="008D4EE5" w:rsidP="00B96F6B">
            <w:pPr>
              <w:pStyle w:val="AppendixBodyText"/>
              <w:numPr>
                <w:ilvl w:val="0"/>
                <w:numId w:val="2"/>
              </w:numPr>
              <w:tabs>
                <w:tab w:val="clear" w:pos="1440"/>
                <w:tab w:val="num" w:pos="432"/>
              </w:tabs>
              <w:ind w:left="432"/>
            </w:pPr>
            <w:r>
              <w:rPr>
                <w:rFonts w:ascii="Tahoma" w:hAnsi="Tahoma" w:cs="Tahoma"/>
                <w:sz w:val="18"/>
                <w:szCs w:val="18"/>
              </w:rPr>
              <w:t>Genaue Kontaktinformationen zum</w:t>
            </w:r>
            <w:r w:rsidR="00B96F6B">
              <w:rPr>
                <w:rFonts w:ascii="Tahoma" w:hAnsi="Tahoma" w:cs="Tahoma"/>
                <w:sz w:val="18"/>
                <w:szCs w:val="18"/>
              </w:rPr>
              <w:t> </w:t>
            </w:r>
            <w:r>
              <w:rPr>
                <w:rFonts w:ascii="Tahoma" w:hAnsi="Tahoma" w:cs="Tahoma"/>
                <w:sz w:val="18"/>
                <w:szCs w:val="18"/>
              </w:rPr>
              <w:t>Fallinhaber</w:t>
            </w:r>
          </w:p>
          <w:p w:rsidR="008D4EE5" w:rsidRDefault="008D4EE5" w:rsidP="00A67771">
            <w:pPr>
              <w:pStyle w:val="AppendixBodyText"/>
              <w:numPr>
                <w:ilvl w:val="0"/>
                <w:numId w:val="2"/>
              </w:numPr>
              <w:tabs>
                <w:tab w:val="clear" w:pos="1440"/>
                <w:tab w:val="num" w:pos="432"/>
              </w:tabs>
              <w:ind w:left="432"/>
              <w:rPr>
                <w:rFonts w:ascii="Tahoma" w:hAnsi="Tahoma" w:cs="Tahoma"/>
                <w:sz w:val="18"/>
                <w:szCs w:val="18"/>
              </w:rPr>
            </w:pPr>
            <w:r>
              <w:rPr>
                <w:rFonts w:ascii="Tahoma" w:hAnsi="Tahoma" w:cs="Tahoma"/>
                <w:sz w:val="18"/>
                <w:szCs w:val="18"/>
              </w:rPr>
              <w:t>Reaktion innerhalb eines Geschäftstages</w:t>
            </w:r>
          </w:p>
        </w:tc>
      </w:tr>
    </w:tbl>
    <w:p w:rsidR="008D4EE5" w:rsidRPr="002A48C7" w:rsidRDefault="008D4EE5" w:rsidP="008D4EE5">
      <w:pPr>
        <w:pStyle w:val="AppendixBodyText"/>
        <w:ind w:left="90" w:right="2160"/>
        <w:rPr>
          <w:lang w:val="de-DE"/>
        </w:rPr>
      </w:pPr>
      <w:r w:rsidRPr="00B96F6B">
        <w:rPr>
          <w:rFonts w:ascii="Tahoma" w:hAnsi="Tahoma" w:cs="Tahoma"/>
          <w:i/>
          <w:sz w:val="16"/>
          <w:szCs w:val="16"/>
          <w:vertAlign w:val="superscript"/>
          <w:lang w:val="de-DE"/>
        </w:rPr>
        <w:t>1</w:t>
      </w:r>
      <w:r w:rsidRPr="002A48C7">
        <w:rPr>
          <w:rFonts w:ascii="Tahoma" w:hAnsi="Tahoma" w:cs="Tahoma"/>
          <w:i/>
          <w:sz w:val="16"/>
          <w:szCs w:val="16"/>
          <w:lang w:val="de-DE"/>
        </w:rPr>
        <w:t xml:space="preserve"> Wenden Sie sich bezüglich der örtlichen Geschäftszeiten an Ihren Microsoft-Vertreter</w:t>
      </w:r>
      <w:r w:rsidR="006257A7">
        <w:rPr>
          <w:rFonts w:ascii="Tahoma" w:hAnsi="Tahoma" w:cs="Tahoma"/>
          <w:i/>
          <w:sz w:val="16"/>
          <w:szCs w:val="16"/>
          <w:lang w:val="de-DE"/>
        </w:rPr>
        <w:t xml:space="preserve">. </w:t>
      </w:r>
    </w:p>
    <w:p w:rsidR="008D4EE5" w:rsidRPr="002A48C7" w:rsidRDefault="008D4EE5" w:rsidP="00B96F6B">
      <w:pPr>
        <w:pStyle w:val="AppendixBodyText"/>
        <w:tabs>
          <w:tab w:val="left" w:pos="7470"/>
          <w:tab w:val="left" w:pos="8460"/>
        </w:tabs>
        <w:ind w:left="90"/>
        <w:rPr>
          <w:lang w:val="de-DE"/>
        </w:rPr>
      </w:pPr>
      <w:r w:rsidRPr="00B96F6B">
        <w:rPr>
          <w:rFonts w:ascii="Tahoma" w:hAnsi="Tahoma" w:cs="Tahoma"/>
          <w:i/>
          <w:sz w:val="16"/>
          <w:szCs w:val="16"/>
          <w:vertAlign w:val="superscript"/>
          <w:lang w:val="de-DE"/>
        </w:rPr>
        <w:t>2</w:t>
      </w:r>
      <w:r w:rsidRPr="002A48C7">
        <w:rPr>
          <w:rFonts w:ascii="Tahoma" w:hAnsi="Tahoma" w:cs="Tahoma"/>
          <w:i/>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r w:rsidR="006257A7">
        <w:rPr>
          <w:rFonts w:ascii="Tahoma" w:hAnsi="Tahoma" w:cs="Tahoma"/>
          <w:i/>
          <w:sz w:val="16"/>
          <w:szCs w:val="16"/>
          <w:lang w:val="de-DE"/>
        </w:rPr>
        <w:t xml:space="preserve">. </w:t>
      </w:r>
    </w:p>
    <w:p w:rsidR="008D4EE5" w:rsidRPr="002A48C7" w:rsidRDefault="008D4EE5" w:rsidP="008D4EE5">
      <w:pPr>
        <w:pStyle w:val="AppendixBodyText"/>
        <w:spacing w:after="0"/>
        <w:ind w:right="2160"/>
        <w:rPr>
          <w:lang w:val="de-DE"/>
        </w:rPr>
      </w:pPr>
    </w:p>
    <w:p w:rsidR="008D4EE5" w:rsidRPr="002A48C7" w:rsidRDefault="008D4EE5" w:rsidP="00B96F6B">
      <w:pPr>
        <w:pStyle w:val="AppendixBodyText"/>
        <w:spacing w:after="0"/>
        <w:rPr>
          <w:lang w:val="de-DE"/>
        </w:rPr>
      </w:pPr>
      <w:r w:rsidRPr="002A48C7">
        <w:rPr>
          <w:rFonts w:ascii="Tahoma" w:hAnsi="Tahoma" w:cs="Tahoma"/>
          <w:bCs/>
          <w:sz w:val="18"/>
          <w:szCs w:val="18"/>
          <w:lang w:val="de-DE"/>
        </w:rPr>
        <w:t>Möglicherweise müssen die Kunden Aktivitäten zur Problembestimmung und -behebung ausführen, die von uns</w:t>
      </w:r>
      <w:r w:rsidR="00B96F6B">
        <w:rPr>
          <w:rFonts w:ascii="Tahoma" w:hAnsi="Tahoma" w:cs="Tahoma"/>
          <w:bCs/>
          <w:sz w:val="18"/>
          <w:szCs w:val="18"/>
          <w:lang w:val="de-DE"/>
        </w:rPr>
        <w:t> </w:t>
      </w:r>
      <w:r w:rsidRPr="002A48C7">
        <w:rPr>
          <w:rFonts w:ascii="Tahoma" w:hAnsi="Tahoma" w:cs="Tahoma"/>
          <w:bCs/>
          <w:sz w:val="18"/>
          <w:szCs w:val="18"/>
          <w:lang w:val="de-DE"/>
        </w:rPr>
        <w:t>verlangt werden</w:t>
      </w:r>
      <w:r w:rsidR="006257A7">
        <w:rPr>
          <w:rFonts w:ascii="Tahoma" w:hAnsi="Tahoma" w:cs="Tahoma"/>
          <w:bCs/>
          <w:sz w:val="18"/>
          <w:szCs w:val="18"/>
          <w:lang w:val="de-DE"/>
        </w:rPr>
        <w:t xml:space="preserve">. </w:t>
      </w:r>
      <w:r w:rsidRPr="002A48C7">
        <w:rPr>
          <w:rFonts w:ascii="Tahoma" w:hAnsi="Tahoma" w:cs="Tahoma"/>
          <w:bCs/>
          <w:sz w:val="18"/>
          <w:szCs w:val="18"/>
          <w:lang w:val="de-DE"/>
        </w:rPr>
        <w:t>Aktivitäten zur Problembestimmung und -behebung können das Ausführen von Netzwerkverfolgungen, das Erfassen von Fehlermeldungen, das Sammeln von Konfigurationsinformationen, das</w:t>
      </w:r>
      <w:r w:rsidR="00B96F6B">
        <w:rPr>
          <w:rFonts w:ascii="Tahoma" w:hAnsi="Tahoma" w:cs="Tahoma"/>
          <w:bCs/>
          <w:sz w:val="18"/>
          <w:szCs w:val="18"/>
          <w:lang w:val="de-DE"/>
        </w:rPr>
        <w:t> </w:t>
      </w:r>
      <w:r w:rsidRPr="002A48C7">
        <w:rPr>
          <w:rFonts w:ascii="Tahoma" w:hAnsi="Tahoma" w:cs="Tahoma"/>
          <w:bCs/>
          <w:sz w:val="18"/>
          <w:szCs w:val="18"/>
          <w:lang w:val="de-DE"/>
        </w:rPr>
        <w:t>Ändern von Produktkonfigurationen, das Installieren neuer Softwareversionen oder neuer Komponenten oder das</w:t>
      </w:r>
      <w:r w:rsidR="00B96F6B">
        <w:rPr>
          <w:rFonts w:ascii="Tahoma" w:hAnsi="Tahoma" w:cs="Tahoma"/>
          <w:bCs/>
          <w:sz w:val="18"/>
          <w:szCs w:val="18"/>
          <w:lang w:val="de-DE"/>
        </w:rPr>
        <w:t> </w:t>
      </w:r>
      <w:r w:rsidRPr="002A48C7">
        <w:rPr>
          <w:rFonts w:ascii="Tahoma" w:hAnsi="Tahoma" w:cs="Tahoma"/>
          <w:bCs/>
          <w:sz w:val="18"/>
          <w:szCs w:val="18"/>
          <w:lang w:val="de-DE"/>
        </w:rPr>
        <w:t>Ändern von Prozessen umfassen</w:t>
      </w:r>
      <w:r w:rsidR="006257A7">
        <w:rPr>
          <w:rFonts w:ascii="Tahoma" w:hAnsi="Tahoma" w:cs="Tahoma"/>
          <w:bCs/>
          <w:sz w:val="18"/>
          <w:szCs w:val="18"/>
          <w:lang w:val="de-DE"/>
        </w:rPr>
        <w:t xml:space="preserve">. </w:t>
      </w:r>
    </w:p>
    <w:p w:rsidR="008D4EE5" w:rsidRPr="002A48C7" w:rsidRDefault="008D4EE5" w:rsidP="008D4EE5">
      <w:pPr>
        <w:pStyle w:val="AppendixBodyText"/>
        <w:spacing w:after="0"/>
        <w:rPr>
          <w:lang w:val="de-DE"/>
        </w:rPr>
      </w:pPr>
    </w:p>
    <w:p w:rsidR="008D4EE5" w:rsidRPr="002A48C7" w:rsidRDefault="008D4EE5" w:rsidP="008D4EE5">
      <w:pPr>
        <w:pStyle w:val="AppendixBodyText"/>
        <w:spacing w:after="0"/>
        <w:rPr>
          <w:lang w:val="de-DE"/>
        </w:rPr>
      </w:pPr>
      <w:r w:rsidRPr="002A48C7">
        <w:rPr>
          <w:rFonts w:ascii="Tahoma" w:hAnsi="Tahoma" w:cs="Tahoma"/>
          <w:bCs/>
          <w:sz w:val="18"/>
          <w:szCs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r w:rsidR="006257A7">
        <w:rPr>
          <w:rFonts w:ascii="Tahoma" w:hAnsi="Tahoma" w:cs="Tahoma"/>
          <w:bCs/>
          <w:sz w:val="18"/>
          <w:szCs w:val="18"/>
          <w:lang w:val="de-DE"/>
        </w:rPr>
        <w:t xml:space="preserve">. </w:t>
      </w:r>
    </w:p>
    <w:p w:rsidR="008D4EE5" w:rsidRPr="002A48C7" w:rsidRDefault="008D4EE5" w:rsidP="008D4EE5">
      <w:pPr>
        <w:pStyle w:val="AppendixBodyText"/>
        <w:spacing w:after="0"/>
        <w:rPr>
          <w:lang w:val="de-DE"/>
        </w:rPr>
      </w:pPr>
    </w:p>
    <w:p w:rsidR="008D4EE5" w:rsidRPr="002A48C7" w:rsidRDefault="008D4EE5" w:rsidP="008D4EE5">
      <w:pPr>
        <w:pStyle w:val="AppendixBodyText"/>
        <w:spacing w:after="0"/>
        <w:rPr>
          <w:lang w:val="de-DE"/>
        </w:rPr>
      </w:pPr>
      <w:r w:rsidRPr="002A48C7">
        <w:rPr>
          <w:rFonts w:ascii="Tahoma" w:hAnsi="Tahoma" w:cs="Tahoma"/>
          <w:bCs/>
          <w:sz w:val="18"/>
          <w:szCs w:val="18"/>
          <w:lang w:val="de-DE"/>
        </w:rPr>
        <w:t>Diese Supportvergünstigung ist an die SA-Investition geknüpft, nicht an die Version</w:t>
      </w:r>
      <w:r w:rsidR="006257A7">
        <w:rPr>
          <w:rFonts w:ascii="Tahoma" w:hAnsi="Tahoma" w:cs="Tahoma"/>
          <w:bCs/>
          <w:sz w:val="18"/>
          <w:szCs w:val="18"/>
          <w:lang w:val="de-DE"/>
        </w:rPr>
        <w:t xml:space="preserve">. </w:t>
      </w:r>
      <w:r w:rsidRPr="002A48C7">
        <w:rPr>
          <w:rFonts w:ascii="Tahoma" w:hAnsi="Tahoma" w:cs="Tahoma"/>
          <w:bCs/>
          <w:sz w:val="18"/>
          <w:szCs w:val="18"/>
          <w:lang w:val="de-DE"/>
        </w:rPr>
        <w:t>Kunden können die neueste Version erwerben, um eine ältere Version mit Downgraderechten zu nutzen, haben jedoch nur Anspruch auf Support für dieses Produkt, wenn es als unterstütztes Produkt auf der Microsoft-Produktlebenszyklus-Website aufgeführt ist</w:t>
      </w:r>
      <w:r w:rsidR="006257A7">
        <w:rPr>
          <w:rFonts w:ascii="Tahoma" w:hAnsi="Tahoma" w:cs="Tahoma"/>
          <w:bCs/>
          <w:sz w:val="18"/>
          <w:szCs w:val="18"/>
          <w:lang w:val="de-DE"/>
        </w:rPr>
        <w:t xml:space="preserve">. </w:t>
      </w:r>
      <w:r w:rsidRPr="002A48C7">
        <w:rPr>
          <w:rFonts w:ascii="Tahoma" w:hAnsi="Tahoma" w:cs="Tahoma"/>
          <w:bCs/>
          <w:sz w:val="18"/>
          <w:szCs w:val="18"/>
          <w:lang w:val="de-DE"/>
        </w:rPr>
        <w:t xml:space="preserve">Die aktuelle Microsoft-Produktlebenszyklus-Website befindet sich unter </w:t>
      </w:r>
      <w:hyperlink r:id="rId26" w:history="1">
        <w:r w:rsidR="00E869D6" w:rsidRPr="00420E1C">
          <w:rPr>
            <w:rStyle w:val="Hyperlink"/>
            <w:rFonts w:ascii="Tahoma" w:hAnsi="Tahoma" w:cs="Tahoma"/>
            <w:bCs/>
            <w:sz w:val="18"/>
            <w:szCs w:val="18"/>
            <w:lang w:val="de-DE"/>
          </w:rPr>
          <w:t>http://support.microsoft.com/common/international.aspx?rdpath=dm;en-us;lifecycle</w:t>
        </w:r>
      </w:hyperlink>
      <w:r w:rsidR="006257A7">
        <w:rPr>
          <w:rFonts w:ascii="Tahoma" w:hAnsi="Tahoma" w:cs="Tahoma"/>
          <w:bCs/>
          <w:sz w:val="18"/>
          <w:szCs w:val="18"/>
          <w:lang w:val="de-DE"/>
        </w:rPr>
        <w:t xml:space="preserve">. </w:t>
      </w:r>
    </w:p>
    <w:p w:rsidR="008D4EE5" w:rsidRPr="002A48C7" w:rsidRDefault="008D4EE5" w:rsidP="008D4EE5">
      <w:pPr>
        <w:pStyle w:val="AppendixBodyText"/>
        <w:spacing w:after="0"/>
        <w:rPr>
          <w:lang w:val="de-DE"/>
        </w:rPr>
      </w:pPr>
    </w:p>
    <w:p w:rsidR="008D4EE5" w:rsidRPr="002A48C7" w:rsidRDefault="008D4EE5" w:rsidP="008D4EE5">
      <w:pPr>
        <w:pStyle w:val="AppendixBodyText"/>
        <w:rPr>
          <w:lang w:val="de-DE"/>
        </w:rPr>
      </w:pPr>
      <w:r w:rsidRPr="002A48C7">
        <w:rPr>
          <w:rFonts w:ascii="Tahoma" w:hAnsi="Tahoma" w:cs="Tahoma"/>
          <w:b/>
          <w:bCs/>
          <w:color w:val="000000"/>
          <w:sz w:val="18"/>
          <w:szCs w:val="18"/>
          <w:lang w:val="de-DE"/>
        </w:rPr>
        <w:t>Umwandlung von Software Assurance-24x7-Problembehebungssupport-Anfragen in Premier-Supportleistungen</w:t>
      </w:r>
    </w:p>
    <w:p w:rsidR="008D4EE5" w:rsidRPr="002A48C7" w:rsidRDefault="008D4EE5" w:rsidP="00B96F6B">
      <w:pPr>
        <w:pStyle w:val="AppendixBodyText"/>
        <w:spacing w:after="0"/>
        <w:rPr>
          <w:lang w:val="de-DE"/>
        </w:rPr>
      </w:pPr>
      <w:r w:rsidRPr="002A48C7">
        <w:rPr>
          <w:rFonts w:ascii="Tahoma" w:hAnsi="Tahoma" w:cs="Tahoma"/>
          <w:color w:val="000000"/>
          <w:sz w:val="18"/>
          <w:szCs w:val="18"/>
          <w:lang w:val="de-DE"/>
        </w:rPr>
        <w:t>Kunden können sich dafür entscheiden, Software Assurance-24x7-Problembehebungssupport-Anfragen umzuwandeln</w:t>
      </w:r>
      <w:r w:rsidR="00B96F6B">
        <w:rPr>
          <w:rFonts w:ascii="Tahoma" w:hAnsi="Tahoma" w:cs="Tahoma"/>
          <w:color w:val="000000"/>
          <w:sz w:val="18"/>
          <w:szCs w:val="18"/>
          <w:lang w:val="de-DE"/>
        </w:rPr>
        <w:t> </w:t>
      </w:r>
      <w:r w:rsidRPr="002A48C7">
        <w:rPr>
          <w:rFonts w:ascii="Tahoma" w:hAnsi="Tahoma" w:cs="Tahoma"/>
          <w:color w:val="000000"/>
          <w:sz w:val="18"/>
          <w:szCs w:val="18"/>
          <w:lang w:val="de-DE"/>
        </w:rPr>
        <w:t>in:</w:t>
      </w:r>
    </w:p>
    <w:p w:rsidR="008D4EE5" w:rsidRPr="002A48C7" w:rsidRDefault="008D4EE5" w:rsidP="008D4EE5">
      <w:pPr>
        <w:pStyle w:val="AppendixBodyText"/>
        <w:spacing w:after="0"/>
        <w:rPr>
          <w:lang w:val="de-DE"/>
        </w:rPr>
      </w:pPr>
    </w:p>
    <w:p w:rsidR="008D4EE5" w:rsidRPr="0062435A" w:rsidRDefault="008D4EE5" w:rsidP="008D4EE5">
      <w:pPr>
        <w:pStyle w:val="AppendixBodyText"/>
        <w:numPr>
          <w:ilvl w:val="0"/>
          <w:numId w:val="28"/>
        </w:numPr>
        <w:tabs>
          <w:tab w:val="left" w:pos="1440"/>
        </w:tabs>
        <w:ind w:left="1440"/>
      </w:pPr>
      <w:r>
        <w:rPr>
          <w:rFonts w:ascii="Tahoma" w:hAnsi="Tahoma" w:cs="Tahoma"/>
          <w:color w:val="000000"/>
          <w:sz w:val="18"/>
          <w:szCs w:val="18"/>
        </w:rPr>
        <w:t>Premier-Problembehebungssupport-Stunden</w:t>
      </w:r>
    </w:p>
    <w:p w:rsidR="008D4EE5" w:rsidRPr="002A48C7" w:rsidRDefault="008D4EE5" w:rsidP="008D4EE5">
      <w:pPr>
        <w:pStyle w:val="AppendixBodyText"/>
        <w:numPr>
          <w:ilvl w:val="0"/>
          <w:numId w:val="28"/>
        </w:numPr>
        <w:tabs>
          <w:tab w:val="left" w:pos="1440"/>
        </w:tabs>
        <w:ind w:left="1440"/>
        <w:rPr>
          <w:lang w:val="de-DE"/>
        </w:rPr>
      </w:pPr>
      <w:r w:rsidRPr="002A48C7">
        <w:rPr>
          <w:rFonts w:ascii="Tahoma" w:hAnsi="Tahoma" w:cs="Tahoma"/>
          <w:color w:val="000000"/>
          <w:sz w:val="18"/>
          <w:szCs w:val="18"/>
          <w:lang w:val="de-DE"/>
        </w:rPr>
        <w:t>Dedicated Support Engineer (DSE)-Stunden – gilt nur für Aktivitäten im Rahmen des reaktiven Supports</w:t>
      </w:r>
    </w:p>
    <w:p w:rsidR="008D4EE5" w:rsidRPr="002A48C7" w:rsidRDefault="008D4EE5" w:rsidP="008D4EE5">
      <w:pPr>
        <w:pStyle w:val="AppendixBodyText"/>
        <w:tabs>
          <w:tab w:val="left" w:pos="1440"/>
        </w:tabs>
        <w:spacing w:after="0"/>
        <w:rPr>
          <w:lang w:val="de-DE"/>
        </w:rPr>
      </w:pPr>
    </w:p>
    <w:p w:rsidR="008D4EE5" w:rsidRPr="002A48C7" w:rsidRDefault="008D4EE5" w:rsidP="008D4EE5">
      <w:pPr>
        <w:rPr>
          <w:lang w:val="de-DE"/>
        </w:rPr>
      </w:pPr>
      <w:r w:rsidRPr="002A48C7">
        <w:rPr>
          <w:rFonts w:cs="Tahoma"/>
          <w:color w:val="000000"/>
          <w:szCs w:val="18"/>
          <w:lang w:val="de-DE"/>
        </w:rPr>
        <w:t>Diese Services sind zur Nutzung in Übereinstimmung mit ihrem Premier-Serviceplan zum Zeitpunkt der Übertragung bestimmt</w:t>
      </w:r>
      <w:r w:rsidR="006257A7">
        <w:rPr>
          <w:rFonts w:cs="Tahoma"/>
          <w:color w:val="000000"/>
          <w:szCs w:val="18"/>
          <w:lang w:val="de-DE"/>
        </w:rPr>
        <w:t xml:space="preserve">. </w:t>
      </w:r>
      <w:r w:rsidRPr="002A48C7">
        <w:rPr>
          <w:rFonts w:cs="Tahoma"/>
          <w:color w:val="000000"/>
          <w:szCs w:val="18"/>
          <w:lang w:val="de-DE"/>
        </w:rPr>
        <w:t>Die Umwandlung basiert auf einer Berechnung des örtlichen Tarifs, die von ihrem Premier-Kundenteam bereitgestellt wird</w:t>
      </w:r>
      <w:r w:rsidR="006257A7">
        <w:rPr>
          <w:rFonts w:cs="Tahoma"/>
          <w:color w:val="000000"/>
          <w:szCs w:val="18"/>
          <w:lang w:val="de-DE"/>
        </w:rPr>
        <w:t xml:space="preserve">. </w:t>
      </w:r>
      <w:r w:rsidRPr="002A48C7">
        <w:rPr>
          <w:rFonts w:cs="Tahoma"/>
          <w:color w:val="000000"/>
          <w:szCs w:val="18"/>
          <w:lang w:val="de-DE"/>
        </w:rPr>
        <w:t>Möglicherweise müssen die Kunden vor der Umwandlung von Software Assurance-24x7-Problembehebungssupport-Stunden zusätzliche Supportaccountverwaltungs-Stunden erwerben</w:t>
      </w:r>
      <w:r w:rsidR="006257A7">
        <w:rPr>
          <w:rFonts w:cs="Tahoma"/>
          <w:color w:val="000000"/>
          <w:szCs w:val="18"/>
          <w:lang w:val="de-DE"/>
        </w:rPr>
        <w:t xml:space="preserve">. </w:t>
      </w:r>
      <w:r w:rsidRPr="002A48C7">
        <w:rPr>
          <w:rFonts w:cs="Tahoma"/>
          <w:color w:val="000000"/>
          <w:szCs w:val="18"/>
          <w:lang w:val="de-DE"/>
        </w:rPr>
        <w:t>SA-24x7-Problembehebungssupport-Anfragen, die in Premier umgewandelt werden, gelten als Premier-Problembehebungssupport-Stunden und unterliegen der Premier-Services-Beschreibung</w:t>
      </w:r>
      <w:r w:rsidR="006257A7">
        <w:rPr>
          <w:rFonts w:cs="Tahoma"/>
          <w:color w:val="000000"/>
          <w:szCs w:val="18"/>
          <w:lang w:val="de-DE"/>
        </w:rPr>
        <w:t xml:space="preserve">. </w:t>
      </w:r>
      <w:r w:rsidRPr="002A48C7">
        <w:rPr>
          <w:rFonts w:cs="Tahoma"/>
          <w:color w:val="000000"/>
          <w:szCs w:val="18"/>
          <w:lang w:val="de-DE"/>
        </w:rPr>
        <w:t>Nach der Umwandlung können Fälle nicht in die SA-Zuteilung eines Kunden zurückgeführt werden</w:t>
      </w:r>
      <w:r w:rsidR="006257A7">
        <w:rPr>
          <w:rFonts w:cs="Tahoma"/>
          <w:color w:val="000000"/>
          <w:szCs w:val="18"/>
          <w:lang w:val="de-DE"/>
        </w:rPr>
        <w:t xml:space="preserve">. </w:t>
      </w:r>
    </w:p>
    <w:p w:rsidR="008D4EE5" w:rsidRPr="002A48C7" w:rsidRDefault="008D4EE5" w:rsidP="008D4EE5">
      <w:pPr>
        <w:pStyle w:val="AppendixBodyText"/>
        <w:spacing w:after="0"/>
        <w:rPr>
          <w:lang w:val="de-DE"/>
        </w:rPr>
      </w:pPr>
    </w:p>
    <w:p w:rsidR="008D4EE5" w:rsidRPr="002A48C7" w:rsidRDefault="008D4EE5" w:rsidP="008D4EE5">
      <w:pPr>
        <w:pStyle w:val="AppendixBodyText"/>
        <w:keepNext/>
        <w:rPr>
          <w:lang w:val="de-DE"/>
        </w:rPr>
      </w:pPr>
      <w:r w:rsidRPr="002A48C7">
        <w:rPr>
          <w:rFonts w:ascii="Tahoma" w:hAnsi="Tahoma" w:cs="Tahoma"/>
          <w:b/>
          <w:color w:val="000000"/>
          <w:sz w:val="18"/>
          <w:lang w:val="de-DE"/>
        </w:rPr>
        <w:t>Zusätzliche Geschäftsbestimmungen</w:t>
      </w:r>
    </w:p>
    <w:p w:rsidR="008D4EE5" w:rsidRPr="002A48C7" w:rsidRDefault="008D4EE5" w:rsidP="008D4EE5">
      <w:pPr>
        <w:pStyle w:val="AppendixBodyText"/>
        <w:spacing w:after="0"/>
        <w:rPr>
          <w:lang w:val="de-DE"/>
        </w:rPr>
      </w:pPr>
      <w:r w:rsidRPr="002A48C7">
        <w:rPr>
          <w:rFonts w:ascii="Tahoma" w:hAnsi="Tahoma" w:cs="Tahoma"/>
          <w:sz w:val="18"/>
          <w:szCs w:val="18"/>
          <w:lang w:val="de-DE"/>
        </w:rPr>
        <w:t>SA-Ausgaben können nicht über Select- oder Konzernbeitritte, Select Plus-Registrierungen oder Open Value-Verträge zur Qualifizierung für zusätzliche Gewährungen kombiniert werden</w:t>
      </w:r>
      <w:r w:rsidR="006257A7">
        <w:rPr>
          <w:rFonts w:ascii="Tahoma" w:hAnsi="Tahoma" w:cs="Tahoma"/>
          <w:sz w:val="18"/>
          <w:szCs w:val="18"/>
          <w:lang w:val="de-DE"/>
        </w:rPr>
        <w:t xml:space="preserve">. </w:t>
      </w:r>
      <w:r w:rsidRPr="002A48C7">
        <w:rPr>
          <w:rFonts w:ascii="Tahoma" w:hAnsi="Tahoma" w:cs="Tahoma"/>
          <w:sz w:val="18"/>
          <w:szCs w:val="18"/>
          <w:lang w:val="de-DE"/>
        </w:rPr>
        <w:t>Die Ausgaben innerhalb jedes Beitritts oder Vertrages werden zur Bestimmung der Gewährung für den betreffenden Beitritt oder Vertrag verwendet</w:t>
      </w:r>
      <w:r w:rsidR="006257A7">
        <w:rPr>
          <w:rFonts w:ascii="Tahoma" w:hAnsi="Tahoma" w:cs="Tahoma"/>
          <w:sz w:val="18"/>
          <w:szCs w:val="18"/>
          <w:lang w:val="de-DE"/>
        </w:rPr>
        <w:t xml:space="preserve">. </w:t>
      </w:r>
    </w:p>
    <w:p w:rsidR="008D4EE5" w:rsidRPr="002A48C7" w:rsidRDefault="008D4EE5" w:rsidP="008D4EE5">
      <w:pPr>
        <w:pStyle w:val="AppendixBodyText"/>
        <w:spacing w:after="0"/>
        <w:rPr>
          <w:lang w:val="de-DE"/>
        </w:rPr>
      </w:pPr>
    </w:p>
    <w:p w:rsidR="008D4EE5" w:rsidRPr="002A48C7" w:rsidRDefault="008D4EE5" w:rsidP="008D4EE5">
      <w:pPr>
        <w:pStyle w:val="AppendixBodyText"/>
        <w:tabs>
          <w:tab w:val="left" w:pos="1440"/>
        </w:tabs>
        <w:spacing w:after="0"/>
        <w:rPr>
          <w:lang w:val="de-DE"/>
        </w:rPr>
      </w:pPr>
      <w:r w:rsidRPr="002A48C7">
        <w:rPr>
          <w:rFonts w:ascii="Tahoma" w:hAnsi="Tahoma" w:cs="Tahoma"/>
          <w:sz w:val="18"/>
          <w:szCs w:val="18"/>
          <w:lang w:val="de-DE"/>
        </w:rPr>
        <w:t>Eine Verringerung d</w:t>
      </w:r>
      <w:r w:rsidRPr="002A48C7">
        <w:rPr>
          <w:rFonts w:ascii="Tahoma" w:hAnsi="Tahoma" w:cs="Tahoma"/>
          <w:bCs/>
          <w:sz w:val="18"/>
          <w:szCs w:val="18"/>
          <w:lang w:val="de-DE"/>
        </w:rPr>
        <w:t>er</w:t>
      </w:r>
      <w:r w:rsidRPr="002A48C7">
        <w:rPr>
          <w:rFonts w:ascii="Tahoma" w:hAnsi="Tahoma" w:cs="Tahoma"/>
          <w:sz w:val="18"/>
          <w:szCs w:val="18"/>
          <w:lang w:val="de-DE"/>
        </w:rPr>
        <w:t xml:space="preserve"> SA-Ausgaben infolge von Rückgaben und anderen Abrechnungsanpassungen,</w:t>
      </w:r>
      <w:r w:rsidRPr="002A48C7">
        <w:rPr>
          <w:rFonts w:ascii="Tahoma" w:hAnsi="Tahoma" w:cs="Tahoma"/>
          <w:bCs/>
          <w:sz w:val="18"/>
          <w:szCs w:val="18"/>
          <w:lang w:val="de-DE"/>
        </w:rPr>
        <w:t>,</w:t>
      </w:r>
      <w:r w:rsidRPr="002A48C7">
        <w:rPr>
          <w:rFonts w:ascii="Tahoma" w:hAnsi="Tahoma" w:cs="Tahoma"/>
          <w:sz w:val="18"/>
          <w:szCs w:val="18"/>
          <w:lang w:val="de-DE"/>
        </w:rPr>
        <w:t xml:space="preserve"> sofern zulässig, </w:t>
      </w:r>
      <w:r w:rsidRPr="002A48C7">
        <w:rPr>
          <w:rFonts w:ascii="Tahoma" w:hAnsi="Tahoma" w:cs="Tahoma"/>
          <w:bCs/>
          <w:sz w:val="18"/>
          <w:szCs w:val="18"/>
          <w:lang w:val="de-DE"/>
        </w:rPr>
        <w:t>kann</w:t>
      </w:r>
      <w:r w:rsidRPr="002A48C7">
        <w:rPr>
          <w:rFonts w:ascii="Tahoma" w:hAnsi="Tahoma" w:cs="Tahoma"/>
          <w:sz w:val="18"/>
          <w:szCs w:val="18"/>
          <w:lang w:val="de-DE"/>
        </w:rPr>
        <w:t xml:space="preserve"> zum Verlust der Support-Berechtigung oder von gewährten telefonischen Supportanfragen während des aktuellen Gewährungszeitraums oder künftiger Gewährungszeiträume führen</w:t>
      </w:r>
      <w:r w:rsidR="006257A7">
        <w:rPr>
          <w:rFonts w:ascii="Tahoma" w:hAnsi="Tahoma" w:cs="Tahoma"/>
          <w:sz w:val="18"/>
          <w:szCs w:val="18"/>
          <w:lang w:val="de-DE"/>
        </w:rPr>
        <w:t xml:space="preserve">. </w:t>
      </w:r>
    </w:p>
    <w:p w:rsidR="008D4EE5" w:rsidRPr="002A48C7" w:rsidRDefault="008D4EE5" w:rsidP="008D4EE5">
      <w:pPr>
        <w:pStyle w:val="Heading3"/>
        <w:rPr>
          <w:lang w:val="de-DE"/>
        </w:rPr>
      </w:pPr>
    </w:p>
    <w:p w:rsidR="008D4EE5" w:rsidRPr="002A48C7" w:rsidRDefault="008D4EE5" w:rsidP="008D4EE5">
      <w:pPr>
        <w:pStyle w:val="Heading3"/>
        <w:spacing w:after="60"/>
        <w:rPr>
          <w:lang w:val="de-DE"/>
        </w:rPr>
      </w:pPr>
      <w:bookmarkStart w:id="747" w:name="_Toc336338237"/>
      <w:bookmarkStart w:id="748" w:name="_Toc363998975"/>
      <w:r w:rsidRPr="002A48C7">
        <w:rPr>
          <w:rFonts w:ascii="Tahoma" w:hAnsi="Tahoma" w:cs="Tahoma"/>
          <w:sz w:val="18"/>
          <w:lang w:val="de-DE"/>
        </w:rPr>
        <w:t>Unbegrenzter 24x7-Problembehebungssupport</w:t>
      </w:r>
      <w:bookmarkEnd w:id="747"/>
      <w:bookmarkEnd w:id="748"/>
    </w:p>
    <w:p w:rsidR="008D4EE5" w:rsidRPr="002A48C7" w:rsidRDefault="008D4EE5" w:rsidP="008D4EE5">
      <w:pPr>
        <w:jc w:val="both"/>
        <w:rPr>
          <w:lang w:val="de-DE"/>
        </w:rPr>
      </w:pPr>
      <w:r w:rsidRPr="002A48C7">
        <w:rPr>
          <w:rFonts w:cs="Tahoma"/>
          <w:szCs w:val="18"/>
          <w:lang w:val="de-DE"/>
        </w:rPr>
        <w:t>Diese Vergünstigung ist nur über (1) den Beitritt zur Anwendungsplattform (EAP) zu einem Konzernvertrag und/oder (2) mit dem Erwerb von Lizenzen für Parallel Data Warehouse (PDW) über EA, EAP, Select Plus oder Select verfügbar</w:t>
      </w:r>
      <w:r w:rsidR="006257A7">
        <w:rPr>
          <w:rFonts w:cs="Tahoma"/>
          <w:szCs w:val="18"/>
          <w:lang w:val="de-DE"/>
        </w:rPr>
        <w:t xml:space="preserve">. </w:t>
      </w:r>
    </w:p>
    <w:p w:rsidR="008D4EE5" w:rsidRPr="002A48C7" w:rsidRDefault="008D4EE5" w:rsidP="008D4EE5">
      <w:pPr>
        <w:jc w:val="both"/>
        <w:rPr>
          <w:lang w:val="de-DE"/>
        </w:rPr>
      </w:pPr>
    </w:p>
    <w:p w:rsidR="008D4EE5" w:rsidRPr="002A48C7" w:rsidRDefault="008D4EE5" w:rsidP="008D4EE5">
      <w:pPr>
        <w:spacing w:line="276" w:lineRule="auto"/>
        <w:jc w:val="both"/>
        <w:rPr>
          <w:lang w:val="de-DE"/>
        </w:rPr>
      </w:pPr>
      <w:r w:rsidRPr="002A48C7">
        <w:rPr>
          <w:rFonts w:eastAsia="Calibri" w:cs="Tahoma"/>
          <w:szCs w:val="18"/>
          <w:lang w:val="de-DE"/>
        </w:rPr>
        <w:t>Kunden, die über einen Beitritt zur Anwendungsplattform mit durchschnittlichen Mindestausgaben für SA in Höhe von 250</w:t>
      </w:r>
      <w:r w:rsidR="00844B7C">
        <w:rPr>
          <w:rFonts w:eastAsia="Calibri" w:cs="Tahoma"/>
          <w:szCs w:val="18"/>
          <w:lang w:val="de-DE"/>
        </w:rPr>
        <w:t>.</w:t>
      </w:r>
      <w:r w:rsidRPr="002A48C7">
        <w:rPr>
          <w:rFonts w:eastAsia="Calibri" w:cs="Tahoma"/>
          <w:szCs w:val="18"/>
          <w:lang w:val="de-DE"/>
        </w:rPr>
        <w:t>000 US-Dollar pro Jahr für alle qualifizierenden Anwendungsplattform-Produkte und einen aktiven Premier-Servicevertrag verfügen, sind zu Anfragen im Rahmen von Unbegrenztem 24x7-Problembehebungssupport berechtigt</w:t>
      </w:r>
      <w:r w:rsidR="006257A7">
        <w:rPr>
          <w:rFonts w:eastAsia="Calibri" w:cs="Tahoma"/>
          <w:szCs w:val="18"/>
          <w:lang w:val="de-DE"/>
        </w:rPr>
        <w:t xml:space="preserve">. </w:t>
      </w:r>
      <w:r w:rsidRPr="002A48C7">
        <w:rPr>
          <w:rFonts w:eastAsia="Calibri" w:cs="Tahoma"/>
          <w:szCs w:val="18"/>
          <w:lang w:val="de-DE"/>
        </w:rPr>
        <w:t>Die unten aufgeführten P</w:t>
      </w:r>
      <w:r w:rsidRPr="002A48C7">
        <w:rPr>
          <w:rFonts w:cs="Tahoma"/>
          <w:szCs w:val="18"/>
          <w:lang w:val="de-DE"/>
        </w:rPr>
        <w:t xml:space="preserve">rodukte, für die derzeit in Übereinstimmung mit dem Premier-Vertrag eines Kunden und wie in </w:t>
      </w:r>
      <w:hyperlink r:id="rId27" w:history="1">
        <w:r w:rsidRPr="002A48C7">
          <w:rPr>
            <w:rStyle w:val="Hyperlink"/>
            <w:rFonts w:cs="Tahoma"/>
            <w:szCs w:val="18"/>
            <w:lang w:val="de-DE"/>
          </w:rPr>
          <w:t>Microsoft's Support Lifecycle Policy</w:t>
        </w:r>
      </w:hyperlink>
      <w:r w:rsidRPr="002A48C7">
        <w:rPr>
          <w:rFonts w:cs="Tahoma"/>
          <w:szCs w:val="18"/>
          <w:lang w:val="de-DE"/>
        </w:rPr>
        <w:t xml:space="preserve"> </w:t>
      </w:r>
      <w:r w:rsidRPr="002A48C7">
        <w:rPr>
          <w:rFonts w:cs="Tahoma"/>
          <w:color w:val="000000"/>
          <w:szCs w:val="18"/>
          <w:lang w:val="de-DE"/>
        </w:rPr>
        <w:t>aufgeführt Mainstream- oder Erweiterter Support geleistet wird, sind in dieser Vergünstigung enthalten</w:t>
      </w:r>
      <w:r w:rsidR="006257A7">
        <w:rPr>
          <w:rFonts w:cs="Tahoma"/>
          <w:color w:val="000000"/>
          <w:szCs w:val="18"/>
          <w:lang w:val="de-DE"/>
        </w:rPr>
        <w:t xml:space="preserve">. </w:t>
      </w:r>
    </w:p>
    <w:p w:rsidR="008D4EE5" w:rsidRDefault="008D4EE5" w:rsidP="008D4EE5">
      <w:pPr>
        <w:spacing w:line="276" w:lineRule="auto"/>
        <w:jc w:val="both"/>
        <w:rPr>
          <w:lang w:val="de-DE"/>
        </w:rPr>
      </w:pPr>
    </w:p>
    <w:p w:rsidR="00B96F6B" w:rsidRDefault="00B96F6B" w:rsidP="008D4EE5">
      <w:pPr>
        <w:spacing w:line="276" w:lineRule="auto"/>
        <w:jc w:val="both"/>
        <w:rPr>
          <w:lang w:val="de-DE"/>
        </w:rPr>
      </w:pPr>
    </w:p>
    <w:p w:rsidR="00B96F6B" w:rsidRPr="002A48C7" w:rsidRDefault="00B96F6B" w:rsidP="008D4EE5">
      <w:pPr>
        <w:spacing w:line="276" w:lineRule="auto"/>
        <w:jc w:val="both"/>
        <w:rPr>
          <w:lang w:val="de-DE"/>
        </w:rPr>
      </w:pPr>
    </w:p>
    <w:p w:rsidR="008D4EE5" w:rsidRPr="002A48C7" w:rsidRDefault="008D4EE5" w:rsidP="008D4EE5">
      <w:pPr>
        <w:spacing w:line="276" w:lineRule="auto"/>
        <w:jc w:val="both"/>
        <w:rPr>
          <w:lang w:val="de-DE"/>
        </w:rPr>
      </w:pPr>
      <w:r w:rsidRPr="002A48C7">
        <w:rPr>
          <w:rFonts w:eastAsia="Calibri" w:cs="Tahoma"/>
          <w:szCs w:val="18"/>
          <w:lang w:val="de-DE"/>
        </w:rPr>
        <w:t>Die qualifizierenden Anwendungsplattform-Produkte sind:</w:t>
      </w:r>
    </w:p>
    <w:p w:rsidR="008D4EE5" w:rsidRPr="00F11649" w:rsidRDefault="008D4EE5" w:rsidP="00F11649">
      <w:pPr>
        <w:spacing w:line="160" w:lineRule="exact"/>
        <w:rPr>
          <w:szCs w:val="18"/>
          <w:lang w:val="de-DE"/>
        </w:rPr>
      </w:pPr>
    </w:p>
    <w:p w:rsidR="008D4EE5" w:rsidRPr="0062435A" w:rsidRDefault="008D4EE5" w:rsidP="008D4EE5">
      <w:pPr>
        <w:numPr>
          <w:ilvl w:val="0"/>
          <w:numId w:val="73"/>
        </w:numPr>
        <w:spacing w:after="60"/>
      </w:pPr>
      <w:r>
        <w:rPr>
          <w:rFonts w:cs="Tahoma"/>
          <w:szCs w:val="18"/>
        </w:rPr>
        <w:t>SQL-CAL</w:t>
      </w:r>
    </w:p>
    <w:p w:rsidR="008D4EE5" w:rsidRPr="0062435A" w:rsidRDefault="008D4EE5" w:rsidP="008D4EE5">
      <w:pPr>
        <w:numPr>
          <w:ilvl w:val="0"/>
          <w:numId w:val="73"/>
        </w:numPr>
        <w:spacing w:after="60"/>
      </w:pPr>
      <w:r>
        <w:rPr>
          <w:rFonts w:cs="Tahoma"/>
          <w:szCs w:val="18"/>
        </w:rPr>
        <w:t>SQL Server Standard</w:t>
      </w:r>
    </w:p>
    <w:p w:rsidR="008D4EE5" w:rsidRPr="0062435A" w:rsidRDefault="008D4EE5" w:rsidP="008D4EE5">
      <w:pPr>
        <w:numPr>
          <w:ilvl w:val="0"/>
          <w:numId w:val="73"/>
        </w:numPr>
        <w:spacing w:after="60"/>
      </w:pPr>
      <w:r>
        <w:rPr>
          <w:rFonts w:cs="Tahoma"/>
          <w:szCs w:val="18"/>
        </w:rPr>
        <w:t>SQL Server Standard pro Core/pro Prozessor</w:t>
      </w:r>
    </w:p>
    <w:p w:rsidR="008D4EE5" w:rsidRPr="0062435A" w:rsidRDefault="008D4EE5" w:rsidP="008D4EE5">
      <w:pPr>
        <w:numPr>
          <w:ilvl w:val="0"/>
          <w:numId w:val="73"/>
        </w:numPr>
        <w:spacing w:after="60"/>
      </w:pPr>
      <w:r>
        <w:rPr>
          <w:rFonts w:cs="Tahoma"/>
          <w:szCs w:val="18"/>
        </w:rPr>
        <w:t>SQL Server Enterprise</w:t>
      </w:r>
    </w:p>
    <w:p w:rsidR="008D4EE5" w:rsidRPr="002A48C7" w:rsidRDefault="008D4EE5" w:rsidP="008D4EE5">
      <w:pPr>
        <w:numPr>
          <w:ilvl w:val="0"/>
          <w:numId w:val="73"/>
        </w:numPr>
        <w:spacing w:after="60"/>
        <w:rPr>
          <w:lang w:val="it-IT"/>
        </w:rPr>
      </w:pPr>
      <w:r w:rsidRPr="002A48C7">
        <w:rPr>
          <w:rFonts w:cs="Tahoma"/>
          <w:szCs w:val="18"/>
          <w:lang w:val="it-IT"/>
        </w:rPr>
        <w:t>SQL Server Enterprise pro Core/pro Prozessor</w:t>
      </w:r>
    </w:p>
    <w:p w:rsidR="008D4EE5" w:rsidRPr="0062435A" w:rsidRDefault="008D4EE5" w:rsidP="008D4EE5">
      <w:pPr>
        <w:numPr>
          <w:ilvl w:val="0"/>
          <w:numId w:val="73"/>
        </w:numPr>
        <w:spacing w:after="60"/>
      </w:pPr>
      <w:r>
        <w:rPr>
          <w:rFonts w:cs="Tahoma"/>
          <w:szCs w:val="18"/>
        </w:rPr>
        <w:t>SQL Server Business Intelligence</w:t>
      </w:r>
    </w:p>
    <w:p w:rsidR="008D4EE5" w:rsidRPr="0062435A" w:rsidRDefault="008D4EE5" w:rsidP="008D4EE5">
      <w:pPr>
        <w:numPr>
          <w:ilvl w:val="0"/>
          <w:numId w:val="73"/>
        </w:numPr>
        <w:spacing w:after="60"/>
      </w:pPr>
      <w:r>
        <w:rPr>
          <w:rFonts w:cs="Tahoma"/>
          <w:szCs w:val="18"/>
        </w:rPr>
        <w:t>SQL Server Datacenter pro Prozessor</w:t>
      </w:r>
    </w:p>
    <w:p w:rsidR="008D4EE5" w:rsidRPr="0062435A" w:rsidRDefault="008D4EE5" w:rsidP="008D4EE5">
      <w:pPr>
        <w:numPr>
          <w:ilvl w:val="0"/>
          <w:numId w:val="73"/>
        </w:numPr>
        <w:spacing w:after="60"/>
      </w:pPr>
      <w:r>
        <w:rPr>
          <w:rFonts w:cs="Tahoma"/>
          <w:szCs w:val="18"/>
        </w:rPr>
        <w:t>BizTalk Server Standard pro Prozessor</w:t>
      </w:r>
    </w:p>
    <w:p w:rsidR="008D4EE5" w:rsidRPr="0062435A" w:rsidRDefault="008D4EE5" w:rsidP="008D4EE5">
      <w:pPr>
        <w:numPr>
          <w:ilvl w:val="0"/>
          <w:numId w:val="73"/>
        </w:numPr>
        <w:spacing w:after="60"/>
      </w:pPr>
      <w:r>
        <w:rPr>
          <w:rFonts w:cs="Tahoma"/>
          <w:szCs w:val="18"/>
        </w:rPr>
        <w:t>BizTalk Server Enterprise pro Prozessor</w:t>
      </w:r>
    </w:p>
    <w:p w:rsidR="008D4EE5" w:rsidRPr="0062435A" w:rsidRDefault="008D4EE5" w:rsidP="008D4EE5">
      <w:pPr>
        <w:numPr>
          <w:ilvl w:val="0"/>
          <w:numId w:val="73"/>
        </w:numPr>
        <w:spacing w:after="60"/>
      </w:pPr>
      <w:r>
        <w:rPr>
          <w:rFonts w:cs="Tahoma"/>
          <w:szCs w:val="18"/>
        </w:rPr>
        <w:t>BizTalk Server Branch pro Prozessor</w:t>
      </w:r>
    </w:p>
    <w:p w:rsidR="008D4EE5" w:rsidRPr="0062435A" w:rsidRDefault="008D4EE5" w:rsidP="008D4EE5">
      <w:pPr>
        <w:numPr>
          <w:ilvl w:val="0"/>
          <w:numId w:val="73"/>
        </w:numPr>
        <w:spacing w:after="60"/>
      </w:pPr>
      <w:r>
        <w:rPr>
          <w:rFonts w:cs="Tahoma"/>
          <w:szCs w:val="18"/>
        </w:rPr>
        <w:t>Office SharePoint Server</w:t>
      </w:r>
    </w:p>
    <w:p w:rsidR="008D4EE5" w:rsidRPr="0062435A" w:rsidRDefault="008D4EE5" w:rsidP="008D4EE5">
      <w:pPr>
        <w:numPr>
          <w:ilvl w:val="0"/>
          <w:numId w:val="73"/>
        </w:numPr>
        <w:spacing w:after="60"/>
      </w:pPr>
      <w:r>
        <w:rPr>
          <w:rFonts w:cs="Tahoma"/>
          <w:szCs w:val="18"/>
        </w:rPr>
        <w:t>SharePoint for Internet</w:t>
      </w:r>
    </w:p>
    <w:p w:rsidR="008D4EE5" w:rsidRPr="0062435A" w:rsidRDefault="008D4EE5" w:rsidP="008D4EE5">
      <w:pPr>
        <w:numPr>
          <w:ilvl w:val="0"/>
          <w:numId w:val="73"/>
        </w:numPr>
        <w:spacing w:after="60"/>
      </w:pPr>
      <w:r>
        <w:rPr>
          <w:rFonts w:cs="Tahoma"/>
          <w:szCs w:val="18"/>
        </w:rPr>
        <w:t>FAST für SharePoint/SharePoint Internet</w:t>
      </w:r>
    </w:p>
    <w:p w:rsidR="008D4EE5" w:rsidRPr="00F11649" w:rsidRDefault="008D4EE5" w:rsidP="00F11649">
      <w:pPr>
        <w:spacing w:line="160" w:lineRule="exact"/>
        <w:rPr>
          <w:szCs w:val="18"/>
        </w:rPr>
      </w:pPr>
    </w:p>
    <w:p w:rsidR="008D4EE5" w:rsidRPr="002A48C7" w:rsidRDefault="008D4EE5" w:rsidP="008D4EE5">
      <w:pPr>
        <w:pStyle w:val="AppendixBodyText"/>
        <w:spacing w:after="0"/>
        <w:jc w:val="both"/>
        <w:rPr>
          <w:lang w:val="de-DE"/>
        </w:rPr>
      </w:pPr>
      <w:r w:rsidRPr="002A48C7">
        <w:rPr>
          <w:rFonts w:ascii="Tahoma" w:hAnsi="Tahoma" w:cs="Tahoma"/>
          <w:sz w:val="18"/>
          <w:szCs w:val="18"/>
          <w:lang w:val="de-DE"/>
        </w:rPr>
        <w:t xml:space="preserve">Die folgende Tabelle enthält die umgerechneten Schwellenwerte für SA-Ausgaben für Verträge, die nicht auf </w:t>
      </w:r>
      <w:r w:rsidR="008A4BF2">
        <w:rPr>
          <w:rFonts w:ascii="Tahoma" w:hAnsi="Tahoma" w:cs="Tahoma"/>
          <w:sz w:val="18"/>
          <w:szCs w:val="18"/>
          <w:lang w:val="de-DE"/>
        </w:rPr>
        <w:br/>
      </w:r>
      <w:r w:rsidRPr="002A48C7">
        <w:rPr>
          <w:rFonts w:ascii="Tahoma" w:hAnsi="Tahoma" w:cs="Tahoma"/>
          <w:sz w:val="18"/>
          <w:szCs w:val="18"/>
          <w:lang w:val="de-DE"/>
        </w:rPr>
        <w:t>US-Dollar lauten</w:t>
      </w:r>
      <w:r w:rsidR="006257A7">
        <w:rPr>
          <w:rFonts w:ascii="Tahoma" w:hAnsi="Tahoma" w:cs="Tahoma"/>
          <w:sz w:val="18"/>
          <w:szCs w:val="18"/>
          <w:lang w:val="de-DE"/>
        </w:rPr>
        <w:t xml:space="preserve">. </w:t>
      </w:r>
      <w:r w:rsidRPr="002A48C7">
        <w:rPr>
          <w:rFonts w:ascii="Tahoma" w:hAnsi="Tahoma" w:cs="Tahoma"/>
          <w:sz w:val="18"/>
          <w:szCs w:val="18"/>
          <w:lang w:val="de-DE"/>
        </w:rPr>
        <w:t>Aufgrund der Wechselkursschwankungen kann diese Tabelle ohne Ankündigung geändert werden</w:t>
      </w:r>
      <w:r w:rsidR="006257A7">
        <w:rPr>
          <w:rFonts w:ascii="Tahoma" w:hAnsi="Tahoma" w:cs="Tahoma"/>
          <w:sz w:val="18"/>
          <w:szCs w:val="18"/>
          <w:lang w:val="de-DE"/>
        </w:rPr>
        <w:t xml:space="preserve">. </w:t>
      </w:r>
    </w:p>
    <w:p w:rsidR="008D4EE5" w:rsidRPr="00F11649" w:rsidRDefault="008D4EE5" w:rsidP="00F11649">
      <w:pPr>
        <w:pStyle w:val="AppendixBodyText"/>
        <w:spacing w:after="0" w:line="160" w:lineRule="exact"/>
        <w:jc w:val="both"/>
        <w:rPr>
          <w:sz w:val="18"/>
          <w:szCs w:val="18"/>
          <w:lang w:val="de-DE"/>
        </w:rPr>
      </w:pPr>
    </w:p>
    <w:tbl>
      <w:tblPr>
        <w:tblW w:w="6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584"/>
        <w:gridCol w:w="1697"/>
        <w:gridCol w:w="2915"/>
      </w:tblGrid>
      <w:tr w:rsidR="008D4EE5" w:rsidRPr="00FB51BA" w:rsidTr="00B96F6B">
        <w:trPr>
          <w:trHeight w:val="178"/>
          <w:tblHeader/>
          <w:jc w:val="center"/>
        </w:trPr>
        <w:tc>
          <w:tcPr>
            <w:tcW w:w="2018"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Pr="008A4BF2" w:rsidRDefault="008D4EE5" w:rsidP="00A67771">
            <w:pPr>
              <w:pStyle w:val="AppendixBodyText"/>
              <w:jc w:val="center"/>
              <w:rPr>
                <w:rFonts w:ascii="Tahoma" w:hAnsi="Tahoma" w:cs="Tahoma"/>
                <w:b/>
                <w:bCs/>
                <w:lang w:val="de-DE"/>
              </w:rPr>
            </w:pPr>
            <w:r w:rsidRPr="008A4BF2">
              <w:rPr>
                <w:rFonts w:ascii="Tahoma" w:hAnsi="Tahoma" w:cs="Tahoma"/>
                <w:b/>
                <w:bCs/>
                <w:lang w:val="de-DE"/>
              </w:rPr>
              <w:t>Währung</w:t>
            </w:r>
          </w:p>
        </w:tc>
        <w:tc>
          <w:tcPr>
            <w:tcW w:w="1263"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Pr="008A4BF2" w:rsidRDefault="008D4EE5" w:rsidP="00A67771">
            <w:pPr>
              <w:pStyle w:val="AppendixBodyText"/>
              <w:jc w:val="center"/>
              <w:rPr>
                <w:rFonts w:ascii="Tahoma" w:hAnsi="Tahoma" w:cs="Tahoma"/>
                <w:b/>
                <w:bCs/>
                <w:lang w:val="de-DE"/>
              </w:rPr>
            </w:pPr>
            <w:r w:rsidRPr="008A4BF2">
              <w:rPr>
                <w:rFonts w:ascii="Tahoma" w:hAnsi="Tahoma" w:cs="Tahoma"/>
                <w:b/>
                <w:bCs/>
                <w:lang w:val="de-DE"/>
              </w:rPr>
              <w:t>Währungscode</w:t>
            </w:r>
          </w:p>
        </w:tc>
        <w:tc>
          <w:tcPr>
            <w:tcW w:w="2915"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Pr="002A48C7" w:rsidRDefault="008D4EE5" w:rsidP="00A67771">
            <w:pPr>
              <w:pStyle w:val="AppendixBodyText"/>
              <w:jc w:val="center"/>
              <w:rPr>
                <w:rFonts w:ascii="Tahoma" w:hAnsi="Tahoma" w:cs="Tahoma"/>
                <w:b/>
                <w:bCs/>
                <w:lang w:val="de-DE"/>
              </w:rPr>
            </w:pPr>
            <w:r w:rsidRPr="002A48C7">
              <w:rPr>
                <w:rFonts w:ascii="Tahoma" w:hAnsi="Tahoma" w:cs="Tahoma"/>
                <w:b/>
                <w:bCs/>
                <w:lang w:val="de-DE"/>
              </w:rPr>
              <w:t>Durchschnittliche Mindestausgaben für SA pro Jahr zur Qualifizierung für Unbegrenzten 24x7-Problembehebungssupport</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US-Dollar</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USD</w:t>
            </w:r>
          </w:p>
        </w:tc>
        <w:tc>
          <w:tcPr>
            <w:tcW w:w="2915" w:type="dxa"/>
            <w:vAlign w:val="bottom"/>
          </w:tcPr>
          <w:p w:rsidR="008D4EE5" w:rsidRDefault="008D4EE5" w:rsidP="00F11649">
            <w:pPr>
              <w:pStyle w:val="AppendixBodyText"/>
              <w:jc w:val="right"/>
              <w:rPr>
                <w:rFonts w:ascii="Tahoma" w:hAnsi="Tahoma" w:cs="Tahoma"/>
                <w:sz w:val="18"/>
                <w:szCs w:val="18"/>
              </w:rPr>
            </w:pPr>
            <w:r>
              <w:rPr>
                <w:rFonts w:ascii="Tahoma" w:hAnsi="Tahoma" w:cs="Tahoma"/>
                <w:color w:val="000000"/>
                <w:sz w:val="18"/>
                <w:szCs w:val="18"/>
              </w:rPr>
              <w:t>250</w:t>
            </w:r>
            <w:r w:rsidR="00102660">
              <w:rPr>
                <w:rFonts w:ascii="Tahoma" w:hAnsi="Tahoma" w:cs="Tahoma"/>
                <w:color w:val="000000"/>
                <w:sz w:val="18"/>
                <w:szCs w:val="18"/>
              </w:rPr>
              <w:t>.</w:t>
            </w:r>
            <w:r>
              <w:rPr>
                <w:rFonts w:ascii="Tahoma" w:hAnsi="Tahoma" w:cs="Tahoma"/>
                <w:color w:val="000000"/>
                <w:sz w:val="18"/>
                <w:szCs w:val="18"/>
              </w:rPr>
              <w:t xml:space="preserve">000 </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Australischer Dollar</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AUD</w:t>
            </w:r>
          </w:p>
        </w:tc>
        <w:tc>
          <w:tcPr>
            <w:tcW w:w="2915" w:type="dxa"/>
            <w:vAlign w:val="bottom"/>
          </w:tcPr>
          <w:p w:rsidR="008D4EE5" w:rsidRDefault="008D4EE5" w:rsidP="00F11649">
            <w:pPr>
              <w:pStyle w:val="AppendixBodyText"/>
              <w:jc w:val="right"/>
              <w:rPr>
                <w:rFonts w:ascii="Tahoma" w:hAnsi="Tahoma" w:cs="Tahoma"/>
                <w:sz w:val="18"/>
                <w:szCs w:val="18"/>
              </w:rPr>
            </w:pPr>
            <w:r>
              <w:rPr>
                <w:rFonts w:ascii="Tahoma" w:hAnsi="Tahoma" w:cs="Tahoma"/>
                <w:color w:val="000000"/>
                <w:sz w:val="18"/>
                <w:szCs w:val="18"/>
              </w:rPr>
              <w:t>375</w:t>
            </w:r>
            <w:r w:rsidR="00102660">
              <w:rPr>
                <w:rFonts w:ascii="Tahoma" w:hAnsi="Tahoma" w:cs="Tahoma"/>
                <w:color w:val="000000"/>
                <w:sz w:val="18"/>
                <w:szCs w:val="18"/>
              </w:rPr>
              <w:t>.</w:t>
            </w:r>
            <w:r>
              <w:rPr>
                <w:rFonts w:ascii="Tahoma" w:hAnsi="Tahoma" w:cs="Tahoma"/>
                <w:color w:val="000000"/>
                <w:sz w:val="18"/>
                <w:szCs w:val="18"/>
              </w:rPr>
              <w:t xml:space="preserve">000 </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Kanadischer Dollar</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CAD</w:t>
            </w:r>
          </w:p>
        </w:tc>
        <w:tc>
          <w:tcPr>
            <w:tcW w:w="2915" w:type="dxa"/>
            <w:vAlign w:val="bottom"/>
          </w:tcPr>
          <w:p w:rsidR="008D4EE5" w:rsidRDefault="008D4EE5" w:rsidP="00F11649">
            <w:pPr>
              <w:pStyle w:val="AppendixBodyText"/>
              <w:jc w:val="right"/>
              <w:rPr>
                <w:rFonts w:ascii="Tahoma" w:hAnsi="Tahoma" w:cs="Tahoma"/>
                <w:sz w:val="18"/>
                <w:szCs w:val="18"/>
              </w:rPr>
            </w:pPr>
            <w:r>
              <w:rPr>
                <w:rFonts w:ascii="Tahoma" w:hAnsi="Tahoma" w:cs="Tahoma"/>
                <w:color w:val="000000"/>
                <w:sz w:val="18"/>
                <w:szCs w:val="18"/>
              </w:rPr>
              <w:t>337</w:t>
            </w:r>
            <w:r w:rsidR="00102660">
              <w:rPr>
                <w:rFonts w:ascii="Tahoma" w:hAnsi="Tahoma" w:cs="Tahoma"/>
                <w:color w:val="000000"/>
                <w:sz w:val="18"/>
                <w:szCs w:val="18"/>
              </w:rPr>
              <w:t>.</w:t>
            </w:r>
            <w:r>
              <w:rPr>
                <w:rFonts w:ascii="Tahoma" w:hAnsi="Tahoma" w:cs="Tahoma"/>
                <w:color w:val="000000"/>
                <w:sz w:val="18"/>
                <w:szCs w:val="18"/>
              </w:rPr>
              <w:t xml:space="preserve">500 </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Schweizer Franken</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CHF</w:t>
            </w:r>
          </w:p>
        </w:tc>
        <w:tc>
          <w:tcPr>
            <w:tcW w:w="2915" w:type="dxa"/>
            <w:vAlign w:val="bottom"/>
          </w:tcPr>
          <w:p w:rsidR="008D4EE5" w:rsidRDefault="008D4EE5" w:rsidP="00F11649">
            <w:pPr>
              <w:pStyle w:val="AppendixBodyText"/>
              <w:jc w:val="right"/>
              <w:rPr>
                <w:rFonts w:ascii="Tahoma" w:hAnsi="Tahoma" w:cs="Tahoma"/>
                <w:sz w:val="18"/>
                <w:szCs w:val="18"/>
              </w:rPr>
            </w:pPr>
            <w:r>
              <w:rPr>
                <w:rFonts w:ascii="Tahoma" w:hAnsi="Tahoma" w:cs="Tahoma"/>
                <w:color w:val="000000"/>
                <w:sz w:val="18"/>
                <w:szCs w:val="18"/>
              </w:rPr>
              <w:t>412</w:t>
            </w:r>
            <w:r w:rsidR="00102660">
              <w:rPr>
                <w:rFonts w:ascii="Tahoma" w:hAnsi="Tahoma" w:cs="Tahoma"/>
                <w:color w:val="000000"/>
                <w:sz w:val="18"/>
                <w:szCs w:val="18"/>
              </w:rPr>
              <w:t>.</w:t>
            </w:r>
            <w:r>
              <w:rPr>
                <w:rFonts w:ascii="Tahoma" w:hAnsi="Tahoma" w:cs="Tahoma"/>
                <w:color w:val="000000"/>
                <w:sz w:val="18"/>
                <w:szCs w:val="18"/>
              </w:rPr>
              <w:t xml:space="preserve">500 </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Chinesischer Renminbi</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CNY</w:t>
            </w:r>
          </w:p>
        </w:tc>
        <w:tc>
          <w:tcPr>
            <w:tcW w:w="2915" w:type="dxa"/>
            <w:vAlign w:val="bottom"/>
          </w:tcPr>
          <w:p w:rsidR="008D4EE5" w:rsidRDefault="008D4EE5" w:rsidP="00F11649">
            <w:pPr>
              <w:pStyle w:val="AppendixBodyText"/>
              <w:jc w:val="right"/>
              <w:rPr>
                <w:rFonts w:ascii="Tahoma" w:hAnsi="Tahoma" w:cs="Tahoma"/>
                <w:sz w:val="18"/>
                <w:szCs w:val="18"/>
              </w:rPr>
            </w:pPr>
            <w:r>
              <w:rPr>
                <w:rFonts w:ascii="Tahoma" w:hAnsi="Tahoma" w:cs="Tahoma"/>
                <w:color w:val="000000"/>
                <w:sz w:val="18"/>
                <w:szCs w:val="18"/>
              </w:rPr>
              <w:t>2</w:t>
            </w:r>
            <w:r w:rsidR="00102660">
              <w:rPr>
                <w:rFonts w:ascii="Tahoma" w:hAnsi="Tahoma" w:cs="Tahoma"/>
                <w:color w:val="000000"/>
                <w:sz w:val="18"/>
                <w:szCs w:val="18"/>
              </w:rPr>
              <w:t>.</w:t>
            </w:r>
            <w:r>
              <w:rPr>
                <w:rFonts w:ascii="Tahoma" w:hAnsi="Tahoma" w:cs="Tahoma"/>
                <w:color w:val="000000"/>
                <w:sz w:val="18"/>
                <w:szCs w:val="18"/>
              </w:rPr>
              <w:t>062</w:t>
            </w:r>
            <w:r w:rsidR="00102660">
              <w:rPr>
                <w:rFonts w:ascii="Tahoma" w:hAnsi="Tahoma" w:cs="Tahoma"/>
                <w:color w:val="000000"/>
                <w:sz w:val="18"/>
                <w:szCs w:val="18"/>
              </w:rPr>
              <w:t>.</w:t>
            </w:r>
            <w:r>
              <w:rPr>
                <w:rFonts w:ascii="Tahoma" w:hAnsi="Tahoma" w:cs="Tahoma"/>
                <w:color w:val="000000"/>
                <w:sz w:val="18"/>
                <w:szCs w:val="18"/>
              </w:rPr>
              <w:t xml:space="preserve">500 </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Dänische Krone</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DKK</w:t>
            </w:r>
          </w:p>
        </w:tc>
        <w:tc>
          <w:tcPr>
            <w:tcW w:w="2915" w:type="dxa"/>
            <w:vAlign w:val="bottom"/>
          </w:tcPr>
          <w:p w:rsidR="008D4EE5" w:rsidRDefault="008D4EE5" w:rsidP="00F11649">
            <w:pPr>
              <w:pStyle w:val="AppendixBodyText"/>
              <w:jc w:val="right"/>
              <w:rPr>
                <w:rFonts w:ascii="Tahoma" w:hAnsi="Tahoma" w:cs="Tahoma"/>
                <w:sz w:val="18"/>
                <w:szCs w:val="18"/>
              </w:rPr>
            </w:pPr>
            <w:r>
              <w:rPr>
                <w:rFonts w:ascii="Tahoma" w:hAnsi="Tahoma" w:cs="Tahoma"/>
                <w:color w:val="000000"/>
                <w:sz w:val="18"/>
                <w:szCs w:val="18"/>
              </w:rPr>
              <w:t>2</w:t>
            </w:r>
            <w:r w:rsidR="00102660">
              <w:rPr>
                <w:rFonts w:ascii="Tahoma" w:hAnsi="Tahoma" w:cs="Tahoma"/>
                <w:color w:val="000000"/>
                <w:sz w:val="18"/>
                <w:szCs w:val="18"/>
              </w:rPr>
              <w:t>.</w:t>
            </w:r>
            <w:r>
              <w:rPr>
                <w:rFonts w:ascii="Tahoma" w:hAnsi="Tahoma" w:cs="Tahoma"/>
                <w:color w:val="000000"/>
                <w:sz w:val="18"/>
                <w:szCs w:val="18"/>
              </w:rPr>
              <w:t>000</w:t>
            </w:r>
            <w:r w:rsidR="00844B7C">
              <w:rPr>
                <w:rFonts w:ascii="Tahoma" w:hAnsi="Tahoma" w:cs="Tahoma"/>
                <w:color w:val="000000"/>
                <w:sz w:val="18"/>
                <w:szCs w:val="18"/>
              </w:rPr>
              <w:t>.</w:t>
            </w:r>
            <w:r>
              <w:rPr>
                <w:rFonts w:ascii="Tahoma" w:hAnsi="Tahoma" w:cs="Tahoma"/>
                <w:color w:val="000000"/>
                <w:sz w:val="18"/>
                <w:szCs w:val="18"/>
              </w:rPr>
              <w:t xml:space="preserve">000 </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EURO</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EUR</w:t>
            </w:r>
          </w:p>
        </w:tc>
        <w:tc>
          <w:tcPr>
            <w:tcW w:w="2915" w:type="dxa"/>
            <w:vAlign w:val="bottom"/>
          </w:tcPr>
          <w:p w:rsidR="008D4EE5" w:rsidRDefault="008D4EE5" w:rsidP="00F11649">
            <w:pPr>
              <w:pStyle w:val="AppendixBodyText"/>
              <w:jc w:val="right"/>
              <w:rPr>
                <w:rFonts w:ascii="Tahoma" w:hAnsi="Tahoma" w:cs="Tahoma"/>
                <w:sz w:val="18"/>
                <w:szCs w:val="18"/>
              </w:rPr>
            </w:pPr>
            <w:r>
              <w:rPr>
                <w:rFonts w:ascii="Tahoma" w:hAnsi="Tahoma" w:cs="Tahoma"/>
                <w:color w:val="000000"/>
                <w:sz w:val="18"/>
                <w:szCs w:val="18"/>
              </w:rPr>
              <w:t>268</w:t>
            </w:r>
            <w:r w:rsidR="00102660">
              <w:rPr>
                <w:rFonts w:ascii="Tahoma" w:hAnsi="Tahoma" w:cs="Tahoma"/>
                <w:color w:val="000000"/>
                <w:sz w:val="18"/>
                <w:szCs w:val="18"/>
              </w:rPr>
              <w:t>.</w:t>
            </w:r>
            <w:r>
              <w:rPr>
                <w:rFonts w:ascii="Tahoma" w:hAnsi="Tahoma" w:cs="Tahoma"/>
                <w:color w:val="000000"/>
                <w:sz w:val="18"/>
                <w:szCs w:val="18"/>
              </w:rPr>
              <w:t xml:space="preserve">750 </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Britisches Pfund</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GBP</w:t>
            </w:r>
          </w:p>
        </w:tc>
        <w:tc>
          <w:tcPr>
            <w:tcW w:w="2915" w:type="dxa"/>
            <w:vAlign w:val="bottom"/>
          </w:tcPr>
          <w:p w:rsidR="008D4EE5" w:rsidRDefault="008D4EE5" w:rsidP="00F11649">
            <w:pPr>
              <w:pStyle w:val="AppendixBodyText"/>
              <w:jc w:val="right"/>
              <w:rPr>
                <w:rFonts w:ascii="Tahoma" w:hAnsi="Tahoma" w:cs="Tahoma"/>
                <w:sz w:val="18"/>
                <w:szCs w:val="18"/>
              </w:rPr>
            </w:pPr>
            <w:r>
              <w:rPr>
                <w:rFonts w:ascii="Tahoma" w:hAnsi="Tahoma" w:cs="Tahoma"/>
                <w:color w:val="000000"/>
                <w:sz w:val="18"/>
                <w:szCs w:val="18"/>
              </w:rPr>
              <w:t>168</w:t>
            </w:r>
            <w:r w:rsidR="00102660">
              <w:rPr>
                <w:rFonts w:ascii="Tahoma" w:hAnsi="Tahoma" w:cs="Tahoma"/>
                <w:color w:val="000000"/>
                <w:sz w:val="18"/>
                <w:szCs w:val="18"/>
              </w:rPr>
              <w:t>.</w:t>
            </w:r>
            <w:r>
              <w:rPr>
                <w:rFonts w:ascii="Tahoma" w:hAnsi="Tahoma" w:cs="Tahoma"/>
                <w:color w:val="000000"/>
                <w:sz w:val="18"/>
                <w:szCs w:val="18"/>
              </w:rPr>
              <w:t xml:space="preserve">750 </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Japanischer Yen</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JPY</w:t>
            </w:r>
          </w:p>
        </w:tc>
        <w:tc>
          <w:tcPr>
            <w:tcW w:w="2915" w:type="dxa"/>
            <w:vAlign w:val="bottom"/>
          </w:tcPr>
          <w:p w:rsidR="008D4EE5" w:rsidRDefault="008D4EE5" w:rsidP="00F11649">
            <w:pPr>
              <w:pStyle w:val="AppendixBodyText"/>
              <w:jc w:val="right"/>
              <w:rPr>
                <w:rFonts w:ascii="Tahoma" w:hAnsi="Tahoma" w:cs="Tahoma"/>
                <w:sz w:val="18"/>
                <w:szCs w:val="18"/>
              </w:rPr>
            </w:pPr>
            <w:r>
              <w:rPr>
                <w:rFonts w:ascii="Tahoma" w:hAnsi="Tahoma" w:cs="Tahoma"/>
                <w:color w:val="000000"/>
                <w:sz w:val="18"/>
                <w:szCs w:val="18"/>
              </w:rPr>
              <w:t>30</w:t>
            </w:r>
            <w:r w:rsidR="00102660">
              <w:rPr>
                <w:rFonts w:ascii="Tahoma" w:hAnsi="Tahoma" w:cs="Tahoma"/>
                <w:color w:val="000000"/>
                <w:sz w:val="18"/>
                <w:szCs w:val="18"/>
              </w:rPr>
              <w:t>.</w:t>
            </w:r>
            <w:r>
              <w:rPr>
                <w:rFonts w:ascii="Tahoma" w:hAnsi="Tahoma" w:cs="Tahoma"/>
                <w:color w:val="000000"/>
                <w:sz w:val="18"/>
                <w:szCs w:val="18"/>
              </w:rPr>
              <w:t>000</w:t>
            </w:r>
            <w:r w:rsidR="00102660">
              <w:rPr>
                <w:rFonts w:ascii="Tahoma" w:hAnsi="Tahoma" w:cs="Tahoma"/>
                <w:color w:val="000000"/>
                <w:sz w:val="18"/>
                <w:szCs w:val="18"/>
              </w:rPr>
              <w:t>.</w:t>
            </w:r>
            <w:r>
              <w:rPr>
                <w:rFonts w:ascii="Tahoma" w:hAnsi="Tahoma" w:cs="Tahoma"/>
                <w:color w:val="000000"/>
                <w:sz w:val="18"/>
                <w:szCs w:val="18"/>
              </w:rPr>
              <w:t xml:space="preserve">000 </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Koreanischer Won</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KRW</w:t>
            </w:r>
          </w:p>
        </w:tc>
        <w:tc>
          <w:tcPr>
            <w:tcW w:w="2915" w:type="dxa"/>
            <w:vAlign w:val="bottom"/>
          </w:tcPr>
          <w:p w:rsidR="008D4EE5" w:rsidRDefault="008D4EE5" w:rsidP="00F11649">
            <w:pPr>
              <w:pStyle w:val="AppendixBodyText"/>
              <w:jc w:val="right"/>
              <w:rPr>
                <w:rFonts w:ascii="Tahoma" w:hAnsi="Tahoma" w:cs="Tahoma"/>
                <w:sz w:val="18"/>
                <w:szCs w:val="18"/>
              </w:rPr>
            </w:pPr>
            <w:r>
              <w:rPr>
                <w:rFonts w:ascii="Tahoma" w:hAnsi="Tahoma" w:cs="Tahoma"/>
                <w:color w:val="000000"/>
                <w:sz w:val="18"/>
                <w:szCs w:val="18"/>
              </w:rPr>
              <w:t>300</w:t>
            </w:r>
            <w:r w:rsidR="00102660">
              <w:rPr>
                <w:rFonts w:ascii="Tahoma" w:hAnsi="Tahoma" w:cs="Tahoma"/>
                <w:color w:val="000000"/>
                <w:sz w:val="18"/>
                <w:szCs w:val="18"/>
              </w:rPr>
              <w:t>.</w:t>
            </w:r>
            <w:r>
              <w:rPr>
                <w:rFonts w:ascii="Tahoma" w:hAnsi="Tahoma" w:cs="Tahoma"/>
                <w:color w:val="000000"/>
                <w:sz w:val="18"/>
                <w:szCs w:val="18"/>
              </w:rPr>
              <w:t>000</w:t>
            </w:r>
            <w:r w:rsidR="00102660">
              <w:rPr>
                <w:rFonts w:ascii="Tahoma" w:hAnsi="Tahoma" w:cs="Tahoma"/>
                <w:color w:val="000000"/>
                <w:sz w:val="18"/>
                <w:szCs w:val="18"/>
              </w:rPr>
              <w:t>.</w:t>
            </w:r>
            <w:r>
              <w:rPr>
                <w:rFonts w:ascii="Tahoma" w:hAnsi="Tahoma" w:cs="Tahoma"/>
                <w:color w:val="000000"/>
                <w:sz w:val="18"/>
                <w:szCs w:val="18"/>
              </w:rPr>
              <w:t xml:space="preserve">000 </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Norwegische Krone</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NOK</w:t>
            </w:r>
          </w:p>
        </w:tc>
        <w:tc>
          <w:tcPr>
            <w:tcW w:w="2915" w:type="dxa"/>
            <w:vAlign w:val="bottom"/>
          </w:tcPr>
          <w:p w:rsidR="008D4EE5" w:rsidRDefault="008D4EE5" w:rsidP="00F11649">
            <w:pPr>
              <w:pStyle w:val="AppendixBodyText"/>
              <w:jc w:val="right"/>
              <w:rPr>
                <w:rFonts w:ascii="Tahoma" w:hAnsi="Tahoma" w:cs="Tahoma"/>
                <w:sz w:val="18"/>
                <w:szCs w:val="18"/>
              </w:rPr>
            </w:pPr>
            <w:r>
              <w:rPr>
                <w:rFonts w:ascii="Tahoma" w:hAnsi="Tahoma" w:cs="Tahoma"/>
                <w:color w:val="000000"/>
                <w:sz w:val="18"/>
                <w:szCs w:val="18"/>
              </w:rPr>
              <w:t>2</w:t>
            </w:r>
            <w:r w:rsidR="00102660">
              <w:rPr>
                <w:rFonts w:ascii="Tahoma" w:hAnsi="Tahoma" w:cs="Tahoma"/>
                <w:color w:val="000000"/>
                <w:sz w:val="18"/>
                <w:szCs w:val="18"/>
              </w:rPr>
              <w:t>.</w:t>
            </w:r>
            <w:r>
              <w:rPr>
                <w:rFonts w:ascii="Tahoma" w:hAnsi="Tahoma" w:cs="Tahoma"/>
                <w:color w:val="000000"/>
                <w:sz w:val="18"/>
                <w:szCs w:val="18"/>
              </w:rPr>
              <w:t>062</w:t>
            </w:r>
            <w:r w:rsidR="00102660">
              <w:rPr>
                <w:rFonts w:ascii="Tahoma" w:hAnsi="Tahoma" w:cs="Tahoma"/>
                <w:color w:val="000000"/>
                <w:sz w:val="18"/>
                <w:szCs w:val="18"/>
              </w:rPr>
              <w:t>.</w:t>
            </w:r>
            <w:r>
              <w:rPr>
                <w:rFonts w:ascii="Tahoma" w:hAnsi="Tahoma" w:cs="Tahoma"/>
                <w:color w:val="000000"/>
                <w:sz w:val="18"/>
                <w:szCs w:val="18"/>
              </w:rPr>
              <w:t xml:space="preserve">500 </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Neuseeländischer Dollar</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NZD</w:t>
            </w:r>
          </w:p>
        </w:tc>
        <w:tc>
          <w:tcPr>
            <w:tcW w:w="2915" w:type="dxa"/>
            <w:vAlign w:val="bottom"/>
          </w:tcPr>
          <w:p w:rsidR="008D4EE5" w:rsidRDefault="008D4EE5" w:rsidP="00F11649">
            <w:pPr>
              <w:pStyle w:val="AppendixBodyText"/>
              <w:jc w:val="right"/>
              <w:rPr>
                <w:rFonts w:ascii="Tahoma" w:hAnsi="Tahoma" w:cs="Tahoma"/>
                <w:sz w:val="18"/>
                <w:szCs w:val="18"/>
              </w:rPr>
            </w:pPr>
            <w:r>
              <w:rPr>
                <w:rFonts w:ascii="Tahoma" w:hAnsi="Tahoma" w:cs="Tahoma"/>
                <w:color w:val="000000"/>
                <w:sz w:val="18"/>
                <w:szCs w:val="18"/>
              </w:rPr>
              <w:t>437</w:t>
            </w:r>
            <w:r w:rsidR="00102660">
              <w:rPr>
                <w:rFonts w:ascii="Tahoma" w:hAnsi="Tahoma" w:cs="Tahoma"/>
                <w:color w:val="000000"/>
                <w:sz w:val="18"/>
                <w:szCs w:val="18"/>
              </w:rPr>
              <w:t>.</w:t>
            </w:r>
            <w:r>
              <w:rPr>
                <w:rFonts w:ascii="Tahoma" w:hAnsi="Tahoma" w:cs="Tahoma"/>
                <w:color w:val="000000"/>
                <w:sz w:val="18"/>
                <w:szCs w:val="18"/>
              </w:rPr>
              <w:t xml:space="preserve">500 </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Schwedische Krone</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SEK</w:t>
            </w:r>
          </w:p>
        </w:tc>
        <w:tc>
          <w:tcPr>
            <w:tcW w:w="2915" w:type="dxa"/>
            <w:vAlign w:val="bottom"/>
          </w:tcPr>
          <w:p w:rsidR="008D4EE5" w:rsidRDefault="008D4EE5" w:rsidP="00F11649">
            <w:pPr>
              <w:pStyle w:val="AppendixBodyText"/>
              <w:jc w:val="right"/>
              <w:rPr>
                <w:rFonts w:ascii="Tahoma" w:hAnsi="Tahoma" w:cs="Tahoma"/>
                <w:sz w:val="18"/>
                <w:szCs w:val="18"/>
              </w:rPr>
            </w:pPr>
            <w:r>
              <w:rPr>
                <w:rFonts w:ascii="Tahoma" w:hAnsi="Tahoma" w:cs="Tahoma"/>
                <w:color w:val="000000"/>
                <w:sz w:val="18"/>
                <w:szCs w:val="18"/>
              </w:rPr>
              <w:t>2</w:t>
            </w:r>
            <w:r w:rsidR="00102660">
              <w:rPr>
                <w:rFonts w:ascii="Tahoma" w:hAnsi="Tahoma" w:cs="Tahoma"/>
                <w:color w:val="000000"/>
                <w:sz w:val="18"/>
                <w:szCs w:val="18"/>
              </w:rPr>
              <w:t>.</w:t>
            </w:r>
            <w:r>
              <w:rPr>
                <w:rFonts w:ascii="Tahoma" w:hAnsi="Tahoma" w:cs="Tahoma"/>
                <w:color w:val="000000"/>
                <w:sz w:val="18"/>
                <w:szCs w:val="18"/>
              </w:rPr>
              <w:t>500</w:t>
            </w:r>
            <w:r w:rsidR="00102660">
              <w:rPr>
                <w:rFonts w:ascii="Tahoma" w:hAnsi="Tahoma" w:cs="Tahoma"/>
                <w:color w:val="000000"/>
                <w:sz w:val="18"/>
                <w:szCs w:val="18"/>
              </w:rPr>
              <w:t>.</w:t>
            </w:r>
            <w:r>
              <w:rPr>
                <w:rFonts w:ascii="Tahoma" w:hAnsi="Tahoma" w:cs="Tahoma"/>
                <w:color w:val="000000"/>
                <w:sz w:val="18"/>
                <w:szCs w:val="18"/>
              </w:rPr>
              <w:t xml:space="preserve">000 </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Neuer Taiwan-Dollar</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TWD</w:t>
            </w:r>
          </w:p>
        </w:tc>
        <w:tc>
          <w:tcPr>
            <w:tcW w:w="2915" w:type="dxa"/>
            <w:vAlign w:val="bottom"/>
          </w:tcPr>
          <w:p w:rsidR="008D4EE5" w:rsidRDefault="008D4EE5" w:rsidP="00F11649">
            <w:pPr>
              <w:pStyle w:val="AppendixBodyText"/>
              <w:jc w:val="right"/>
              <w:rPr>
                <w:rFonts w:ascii="Tahoma" w:hAnsi="Tahoma" w:cs="Tahoma"/>
                <w:sz w:val="18"/>
                <w:szCs w:val="18"/>
              </w:rPr>
            </w:pPr>
            <w:r>
              <w:rPr>
                <w:rFonts w:ascii="Tahoma" w:hAnsi="Tahoma" w:cs="Tahoma"/>
                <w:color w:val="000000"/>
                <w:sz w:val="18"/>
                <w:szCs w:val="18"/>
              </w:rPr>
              <w:t>8</w:t>
            </w:r>
            <w:r w:rsidR="00102660">
              <w:rPr>
                <w:rFonts w:ascii="Tahoma" w:hAnsi="Tahoma" w:cs="Tahoma"/>
                <w:color w:val="000000"/>
                <w:sz w:val="18"/>
                <w:szCs w:val="18"/>
              </w:rPr>
              <w:t>.</w:t>
            </w:r>
            <w:r>
              <w:rPr>
                <w:rFonts w:ascii="Tahoma" w:hAnsi="Tahoma" w:cs="Tahoma"/>
                <w:color w:val="000000"/>
                <w:sz w:val="18"/>
                <w:szCs w:val="18"/>
              </w:rPr>
              <w:t>750</w:t>
            </w:r>
            <w:r w:rsidR="00102660">
              <w:rPr>
                <w:rFonts w:ascii="Tahoma" w:hAnsi="Tahoma" w:cs="Tahoma"/>
                <w:color w:val="000000"/>
                <w:sz w:val="18"/>
                <w:szCs w:val="18"/>
              </w:rPr>
              <w:t>.</w:t>
            </w:r>
            <w:r>
              <w:rPr>
                <w:rFonts w:ascii="Tahoma" w:hAnsi="Tahoma" w:cs="Tahoma"/>
                <w:color w:val="000000"/>
                <w:sz w:val="18"/>
                <w:szCs w:val="18"/>
              </w:rPr>
              <w:t xml:space="preserve">000 </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Indische Rupie</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INR</w:t>
            </w:r>
          </w:p>
        </w:tc>
        <w:tc>
          <w:tcPr>
            <w:tcW w:w="2915" w:type="dxa"/>
            <w:vAlign w:val="bottom"/>
          </w:tcPr>
          <w:p w:rsidR="008D4EE5" w:rsidRDefault="008D4EE5" w:rsidP="00F11649">
            <w:pPr>
              <w:pStyle w:val="AppendixBodyText"/>
              <w:jc w:val="right"/>
              <w:rPr>
                <w:rFonts w:ascii="Tahoma" w:hAnsi="Tahoma" w:cs="Tahoma"/>
                <w:color w:val="000000"/>
                <w:sz w:val="18"/>
                <w:szCs w:val="18"/>
              </w:rPr>
            </w:pPr>
            <w:r>
              <w:rPr>
                <w:rFonts w:ascii="Tahoma" w:hAnsi="Tahoma" w:cs="Tahoma"/>
                <w:sz w:val="18"/>
                <w:szCs w:val="18"/>
              </w:rPr>
              <w:t>12</w:t>
            </w:r>
            <w:r w:rsidR="00102660">
              <w:rPr>
                <w:rFonts w:ascii="Tahoma" w:hAnsi="Tahoma" w:cs="Tahoma"/>
                <w:sz w:val="18"/>
                <w:szCs w:val="18"/>
              </w:rPr>
              <w:t>.</w:t>
            </w:r>
            <w:r>
              <w:rPr>
                <w:rFonts w:ascii="Tahoma" w:hAnsi="Tahoma" w:cs="Tahoma"/>
                <w:sz w:val="18"/>
                <w:szCs w:val="18"/>
              </w:rPr>
              <w:t>500</w:t>
            </w:r>
            <w:r w:rsidR="00102660">
              <w:rPr>
                <w:rFonts w:ascii="Tahoma" w:hAnsi="Tahoma" w:cs="Tahoma"/>
                <w:sz w:val="18"/>
                <w:szCs w:val="18"/>
              </w:rPr>
              <w:t>.</w:t>
            </w:r>
            <w:r>
              <w:rPr>
                <w:rFonts w:ascii="Tahoma" w:hAnsi="Tahoma" w:cs="Tahoma"/>
                <w:sz w:val="18"/>
                <w:szCs w:val="18"/>
              </w:rPr>
              <w:t>000</w:t>
            </w:r>
          </w:p>
        </w:tc>
      </w:tr>
      <w:tr w:rsidR="008D4EE5" w:rsidTr="00B96F6B">
        <w:trPr>
          <w:trHeight w:val="236"/>
          <w:jc w:val="center"/>
        </w:trPr>
        <w:tc>
          <w:tcPr>
            <w:tcW w:w="2018" w:type="dxa"/>
            <w:vAlign w:val="bottom"/>
          </w:tcPr>
          <w:p w:rsidR="008D4EE5" w:rsidRDefault="008D4EE5" w:rsidP="00A67771">
            <w:pPr>
              <w:pStyle w:val="AppendixBodyText"/>
              <w:rPr>
                <w:rFonts w:ascii="Tahoma" w:hAnsi="Tahoma" w:cs="Tahoma"/>
                <w:sz w:val="18"/>
                <w:szCs w:val="18"/>
              </w:rPr>
            </w:pPr>
            <w:r>
              <w:rPr>
                <w:rFonts w:ascii="Tahoma" w:hAnsi="Tahoma" w:cs="Tahoma"/>
                <w:sz w:val="18"/>
                <w:szCs w:val="18"/>
              </w:rPr>
              <w:t>Russischer Rubel</w:t>
            </w:r>
          </w:p>
        </w:tc>
        <w:tc>
          <w:tcPr>
            <w:tcW w:w="1263" w:type="dxa"/>
            <w:vAlign w:val="bottom"/>
          </w:tcPr>
          <w:p w:rsidR="008D4EE5" w:rsidRDefault="008D4EE5" w:rsidP="00A67771">
            <w:pPr>
              <w:pStyle w:val="AppendixBodyText"/>
              <w:jc w:val="center"/>
              <w:rPr>
                <w:rFonts w:ascii="Tahoma" w:hAnsi="Tahoma" w:cs="Tahoma"/>
                <w:sz w:val="18"/>
                <w:szCs w:val="18"/>
              </w:rPr>
            </w:pPr>
            <w:r>
              <w:rPr>
                <w:rFonts w:ascii="Tahoma" w:hAnsi="Tahoma" w:cs="Tahoma"/>
                <w:sz w:val="18"/>
                <w:szCs w:val="18"/>
              </w:rPr>
              <w:t>RUB</w:t>
            </w:r>
          </w:p>
        </w:tc>
        <w:tc>
          <w:tcPr>
            <w:tcW w:w="2915" w:type="dxa"/>
            <w:vAlign w:val="bottom"/>
          </w:tcPr>
          <w:p w:rsidR="008D4EE5" w:rsidRDefault="008D4EE5" w:rsidP="00F11649">
            <w:pPr>
              <w:pStyle w:val="AppendixBodyText"/>
              <w:jc w:val="right"/>
              <w:rPr>
                <w:rFonts w:ascii="Tahoma" w:hAnsi="Tahoma" w:cs="Tahoma"/>
                <w:color w:val="000000"/>
                <w:sz w:val="18"/>
                <w:szCs w:val="18"/>
              </w:rPr>
            </w:pPr>
            <w:r>
              <w:rPr>
                <w:rFonts w:ascii="Tahoma" w:hAnsi="Tahoma" w:cs="Tahoma"/>
                <w:sz w:val="18"/>
                <w:szCs w:val="18"/>
              </w:rPr>
              <w:t>8</w:t>
            </w:r>
            <w:r w:rsidR="00102660">
              <w:rPr>
                <w:rFonts w:ascii="Tahoma" w:hAnsi="Tahoma" w:cs="Tahoma"/>
                <w:sz w:val="18"/>
                <w:szCs w:val="18"/>
              </w:rPr>
              <w:t>.</w:t>
            </w:r>
            <w:r>
              <w:rPr>
                <w:rFonts w:ascii="Tahoma" w:hAnsi="Tahoma" w:cs="Tahoma"/>
                <w:sz w:val="18"/>
                <w:szCs w:val="18"/>
              </w:rPr>
              <w:t>250</w:t>
            </w:r>
            <w:r w:rsidR="00102660">
              <w:rPr>
                <w:rFonts w:ascii="Tahoma" w:hAnsi="Tahoma" w:cs="Tahoma"/>
                <w:sz w:val="18"/>
                <w:szCs w:val="18"/>
              </w:rPr>
              <w:t>.</w:t>
            </w:r>
            <w:r>
              <w:rPr>
                <w:rFonts w:ascii="Tahoma" w:hAnsi="Tahoma" w:cs="Tahoma"/>
                <w:sz w:val="18"/>
                <w:szCs w:val="18"/>
              </w:rPr>
              <w:t>000</w:t>
            </w:r>
          </w:p>
        </w:tc>
      </w:tr>
    </w:tbl>
    <w:p w:rsidR="00102660" w:rsidRDefault="00102660" w:rsidP="008D4EE5">
      <w:pPr>
        <w:jc w:val="both"/>
        <w:rPr>
          <w:rFonts w:cs="Tahoma"/>
          <w:szCs w:val="18"/>
          <w:lang w:val="de-DE"/>
        </w:rPr>
      </w:pPr>
    </w:p>
    <w:p w:rsidR="008D4EE5" w:rsidRPr="008849B7" w:rsidRDefault="008D4EE5" w:rsidP="008D4EE5">
      <w:pPr>
        <w:jc w:val="both"/>
        <w:rPr>
          <w:lang w:val="de-DE"/>
        </w:rPr>
      </w:pPr>
      <w:r w:rsidRPr="008849B7">
        <w:rPr>
          <w:rFonts w:cs="Tahoma"/>
          <w:szCs w:val="18"/>
          <w:lang w:val="de-DE"/>
        </w:rPr>
        <w:t>Wenn die verpflichtenden durchschnittlichen SA-Ausgaben pro Jahr für qualifizierende Anwendungsplattform-Produkte, die zu Unbegrenztem 24x7-Problembehebungssupport berechtigen, über 250</w:t>
      </w:r>
      <w:r w:rsidR="00102660">
        <w:rPr>
          <w:rFonts w:cs="Tahoma"/>
          <w:szCs w:val="18"/>
          <w:lang w:val="de-DE"/>
        </w:rPr>
        <w:t>.</w:t>
      </w:r>
      <w:r w:rsidRPr="008849B7">
        <w:rPr>
          <w:rFonts w:cs="Tahoma"/>
          <w:szCs w:val="18"/>
          <w:lang w:val="de-DE"/>
        </w:rPr>
        <w:t>000 US-Dollar liegen, gewährt Microsoft Anfragen nicht auf Grundlage tatsächlicher SA-Ausgaben für diese Produkte</w:t>
      </w:r>
      <w:r w:rsidR="006257A7">
        <w:rPr>
          <w:rFonts w:cs="Tahoma"/>
          <w:szCs w:val="18"/>
          <w:lang w:val="de-DE"/>
        </w:rPr>
        <w:t xml:space="preserve">. </w:t>
      </w:r>
      <w:r w:rsidRPr="008849B7">
        <w:rPr>
          <w:rFonts w:cs="Tahoma"/>
          <w:szCs w:val="18"/>
          <w:lang w:val="de-DE"/>
        </w:rPr>
        <w:t>Wenn ein Kunde die Berechtigung zu Unbegrenztem 24x7-Problembehebungssupport während der Laufzeit erhält, werden alle zuvor auf Grundlage der SA-Ausgaben gewährten und nicht in Anspruch genommenen Anfragen vom Guthaben des Kunden abgezogen</w:t>
      </w:r>
      <w:r w:rsidR="006257A7">
        <w:rPr>
          <w:rFonts w:cs="Tahoma"/>
          <w:szCs w:val="18"/>
          <w:lang w:val="de-DE"/>
        </w:rPr>
        <w:t xml:space="preserve">. </w:t>
      </w:r>
      <w:r w:rsidRPr="008849B7">
        <w:rPr>
          <w:rFonts w:cs="Tahoma"/>
          <w:szCs w:val="18"/>
          <w:lang w:val="de-DE"/>
        </w:rPr>
        <w:t>Anfragen im Rahmen von Unbegrenztem 24x7-Problembehebungssupport können nicht in Premier-Problembehebungssupport-Stunden oder -Anfragen umgewandelt werden</w:t>
      </w:r>
      <w:r w:rsidR="006257A7">
        <w:rPr>
          <w:rFonts w:cs="Tahoma"/>
          <w:szCs w:val="18"/>
          <w:lang w:val="de-DE"/>
        </w:rPr>
        <w:t xml:space="preserve">. </w:t>
      </w:r>
    </w:p>
    <w:p w:rsidR="008D4EE5" w:rsidRPr="008849B7" w:rsidRDefault="008D4EE5" w:rsidP="008D4EE5">
      <w:pPr>
        <w:rPr>
          <w:lang w:val="de-DE"/>
        </w:rPr>
      </w:pPr>
    </w:p>
    <w:p w:rsidR="008D4EE5" w:rsidRPr="008849B7" w:rsidRDefault="008D4EE5" w:rsidP="008D4EE5">
      <w:pPr>
        <w:jc w:val="both"/>
        <w:rPr>
          <w:lang w:val="de-DE"/>
        </w:rPr>
      </w:pPr>
      <w:r w:rsidRPr="008849B7">
        <w:rPr>
          <w:rFonts w:cs="Tahoma"/>
          <w:szCs w:val="18"/>
          <w:lang w:val="de-DE"/>
        </w:rPr>
        <w:t xml:space="preserve">Kunden, die über </w:t>
      </w:r>
      <w:r w:rsidRPr="008849B7">
        <w:rPr>
          <w:rFonts w:cs="Tahoma"/>
          <w:color w:val="000000"/>
          <w:szCs w:val="18"/>
          <w:lang w:val="de-DE"/>
        </w:rPr>
        <w:t>Anwendungsplattformverträge mit einem Wirksamkeitsdatum vor dem 1</w:t>
      </w:r>
      <w:r w:rsidR="006257A7">
        <w:rPr>
          <w:rFonts w:cs="Tahoma"/>
          <w:color w:val="000000"/>
          <w:szCs w:val="18"/>
          <w:lang w:val="de-DE"/>
        </w:rPr>
        <w:t xml:space="preserve">. </w:t>
      </w:r>
      <w:r w:rsidRPr="008849B7">
        <w:rPr>
          <w:rFonts w:cs="Tahoma"/>
          <w:color w:val="000000"/>
          <w:szCs w:val="18"/>
          <w:lang w:val="de-DE"/>
        </w:rPr>
        <w:t>Juli 2009 mit durchschnittlichen SA-Ausgaben von über 250</w:t>
      </w:r>
      <w:r w:rsidR="00102660">
        <w:rPr>
          <w:rFonts w:cs="Tahoma"/>
          <w:color w:val="000000"/>
          <w:szCs w:val="18"/>
          <w:lang w:val="de-DE"/>
        </w:rPr>
        <w:t>.</w:t>
      </w:r>
      <w:r w:rsidRPr="008849B7">
        <w:rPr>
          <w:rFonts w:cs="Tahoma"/>
          <w:color w:val="000000"/>
          <w:szCs w:val="18"/>
          <w:lang w:val="de-DE"/>
        </w:rPr>
        <w:t>000 US-Dollar pro Jahr für qualifizierende Anwendungsplattform-Produkte und einen aktiven Premier-Servicevertrag verfügen, sind ab dem ersten Jahrestag des Wirksamkeitsdatums des Anwendungsplattformvertrages zu Unbegrenztem 24x7-Problembehebungssupport berechtigt</w:t>
      </w:r>
      <w:r w:rsidR="006257A7">
        <w:rPr>
          <w:rFonts w:cs="Tahoma"/>
          <w:color w:val="000000"/>
          <w:szCs w:val="18"/>
          <w:lang w:val="de-DE"/>
        </w:rPr>
        <w:t xml:space="preserve">. </w:t>
      </w:r>
    </w:p>
    <w:p w:rsidR="008D4EE5" w:rsidRPr="008849B7" w:rsidRDefault="008D4EE5" w:rsidP="008D4EE5">
      <w:pPr>
        <w:rPr>
          <w:lang w:val="de-DE"/>
        </w:rPr>
      </w:pPr>
    </w:p>
    <w:p w:rsidR="008D4EE5" w:rsidRPr="00102660" w:rsidRDefault="008D4EE5" w:rsidP="008D4EE5">
      <w:pPr>
        <w:spacing w:line="276" w:lineRule="auto"/>
        <w:rPr>
          <w:spacing w:val="-2"/>
          <w:lang w:val="de-DE"/>
        </w:rPr>
      </w:pPr>
      <w:r w:rsidRPr="00102660">
        <w:rPr>
          <w:rFonts w:eastAsia="Calibri" w:cs="Tahoma"/>
          <w:spacing w:val="-2"/>
          <w:szCs w:val="18"/>
          <w:lang w:val="de-DE"/>
        </w:rPr>
        <w:t>(2) Kunden, die Lizenzen für Parallel Data Warehouse (PDW) erwerben und über einen aktiven Premier-Servicevertrag verfügen, sind zu Anfragen im Rahmen von Unbegrenztem 24x7-Problembehebungssupport berechtigt</w:t>
      </w:r>
      <w:r w:rsidR="006257A7" w:rsidRPr="00102660">
        <w:rPr>
          <w:rFonts w:eastAsia="Calibri" w:cs="Tahoma"/>
          <w:spacing w:val="-2"/>
          <w:szCs w:val="18"/>
          <w:lang w:val="de-DE"/>
        </w:rPr>
        <w:t xml:space="preserve">. </w:t>
      </w:r>
    </w:p>
    <w:p w:rsidR="008D4EE5" w:rsidRPr="008849B7" w:rsidRDefault="008D4EE5" w:rsidP="008D4EE5">
      <w:pPr>
        <w:spacing w:line="276" w:lineRule="auto"/>
        <w:rPr>
          <w:lang w:val="de-DE"/>
        </w:rPr>
      </w:pPr>
    </w:p>
    <w:p w:rsidR="008D4EE5" w:rsidRPr="00102660" w:rsidRDefault="008D4EE5" w:rsidP="008D4EE5">
      <w:pPr>
        <w:spacing w:line="276" w:lineRule="auto"/>
        <w:jc w:val="both"/>
        <w:rPr>
          <w:spacing w:val="-2"/>
          <w:lang w:val="de-DE"/>
        </w:rPr>
      </w:pPr>
      <w:r w:rsidRPr="00102660">
        <w:rPr>
          <w:rFonts w:eastAsia="Calibri" w:cs="Tahoma"/>
          <w:spacing w:val="-2"/>
          <w:szCs w:val="18"/>
          <w:lang w:val="de-DE"/>
        </w:rPr>
        <w:t>Wenn Kunden Lizenzen für Parallel Data Warehouse (PDW) erwerben, gewährt Microsoft Anfragen nicht auf Grundlage tatsächlicher SA-Ausgaben für dieses Produkt</w:t>
      </w:r>
      <w:r w:rsidR="006257A7" w:rsidRPr="00102660">
        <w:rPr>
          <w:rFonts w:eastAsia="Calibri" w:cs="Tahoma"/>
          <w:spacing w:val="-2"/>
          <w:szCs w:val="18"/>
          <w:lang w:val="de-DE"/>
        </w:rPr>
        <w:t xml:space="preserve">. </w:t>
      </w:r>
      <w:r w:rsidRPr="00102660">
        <w:rPr>
          <w:rFonts w:eastAsia="Calibri" w:cs="Tahoma"/>
          <w:spacing w:val="-2"/>
          <w:szCs w:val="18"/>
          <w:lang w:val="de-DE"/>
        </w:rPr>
        <w:t>Anfragen im Rahmen von Unbegrenztem 24x7-Problembehebungssupport können nicht in Premier-Problembehebungssupport-Stunden oder -Anfragen umgewandelt werden</w:t>
      </w:r>
      <w:r w:rsidR="006257A7" w:rsidRPr="00102660">
        <w:rPr>
          <w:rFonts w:eastAsia="Calibri" w:cs="Tahoma"/>
          <w:spacing w:val="-2"/>
          <w:szCs w:val="18"/>
          <w:lang w:val="de-DE"/>
        </w:rPr>
        <w:t xml:space="preserve">. </w:t>
      </w:r>
    </w:p>
    <w:p w:rsidR="008D4EE5" w:rsidRPr="008849B7" w:rsidRDefault="008D4EE5" w:rsidP="008D4EE5">
      <w:pPr>
        <w:spacing w:line="276" w:lineRule="auto"/>
        <w:jc w:val="both"/>
        <w:rPr>
          <w:lang w:val="de-DE"/>
        </w:rPr>
      </w:pPr>
    </w:p>
    <w:p w:rsidR="008D4EE5" w:rsidRPr="008849B7" w:rsidRDefault="008D4EE5" w:rsidP="008D4EE5">
      <w:pPr>
        <w:jc w:val="both"/>
        <w:rPr>
          <w:lang w:val="de-DE"/>
        </w:rPr>
      </w:pPr>
      <w:r w:rsidRPr="008849B7">
        <w:rPr>
          <w:rFonts w:cs="Tahoma"/>
          <w:color w:val="000000"/>
          <w:szCs w:val="18"/>
          <w:lang w:val="de-DE"/>
        </w:rPr>
        <w:t xml:space="preserve">Während die Anzahl der gewährten Anfragen im Rahmen des 24x7-Problembehebungssuports </w:t>
      </w:r>
      <w:r w:rsidRPr="008849B7">
        <w:rPr>
          <w:rFonts w:cs="Tahoma"/>
          <w:i/>
          <w:color w:val="000000"/>
          <w:szCs w:val="18"/>
          <w:lang w:val="de-DE"/>
        </w:rPr>
        <w:t>n</w:t>
      </w:r>
      <w:r w:rsidRPr="008849B7">
        <w:rPr>
          <w:rFonts w:cs="Tahoma"/>
          <w:color w:val="000000"/>
          <w:szCs w:val="18"/>
          <w:lang w:val="de-DE"/>
        </w:rPr>
        <w:t>icht durch die SA-Ausgaben bestimmt wird, hängt die Anzahl von zulässigen Supportkontaktpersonen zur Verwaltung von Unbegrenztem 24x7-Problembehebungssupport vom Umfang der SA-Ausgaben ab</w:t>
      </w:r>
      <w:r w:rsidR="006257A7">
        <w:rPr>
          <w:rFonts w:cs="Tahoma"/>
          <w:color w:val="000000"/>
          <w:szCs w:val="18"/>
          <w:lang w:val="de-DE"/>
        </w:rPr>
        <w:t xml:space="preserve">. </w:t>
      </w:r>
      <w:r w:rsidRPr="008849B7">
        <w:rPr>
          <w:rFonts w:cs="Tahoma"/>
          <w:color w:val="000000"/>
          <w:szCs w:val="18"/>
          <w:lang w:val="de-DE"/>
        </w:rPr>
        <w:t>Alle berechtigten Kunden haben Anspruch auf mindestens vier autorisierte Kontaktpersonen plus eine weitere Kontaktperson pro 125</w:t>
      </w:r>
      <w:r w:rsidR="00102660">
        <w:rPr>
          <w:rFonts w:cs="Tahoma"/>
          <w:color w:val="000000"/>
          <w:szCs w:val="18"/>
          <w:lang w:val="de-DE"/>
        </w:rPr>
        <w:t>.</w:t>
      </w:r>
      <w:r w:rsidRPr="008849B7">
        <w:rPr>
          <w:rFonts w:cs="Tahoma"/>
          <w:color w:val="000000"/>
          <w:szCs w:val="18"/>
          <w:lang w:val="de-DE"/>
        </w:rPr>
        <w:t>000 US-Dollar an zusätzlichen SA-Ausgaben im Rahmen des Beitritts zur Anwendungsplattform oder zu einem VL-Programm oder mehreren VL-Programmen, unter dem oder denen sie Lizenzen für Parallel Data Warehouse (PDW) erworben haben</w:t>
      </w:r>
      <w:r w:rsidR="006257A7">
        <w:rPr>
          <w:rFonts w:cs="Tahoma"/>
          <w:color w:val="000000"/>
          <w:szCs w:val="18"/>
          <w:lang w:val="de-DE"/>
        </w:rPr>
        <w:t xml:space="preserve">. </w:t>
      </w:r>
      <w:r w:rsidRPr="008849B7">
        <w:rPr>
          <w:rFonts w:cs="Tahoma"/>
          <w:color w:val="000000"/>
          <w:szCs w:val="18"/>
          <w:lang w:val="de-DE"/>
        </w:rPr>
        <w:t>Bei Verträgen, die auf eine Fremdwährung lauten, haben berechtigte Kunden Anspruch auf mindestens vier autorisierte Kontaktpersonen plus eine weitere Kontaktperson pro inkrementellen SA-Ausgaben, die 125</w:t>
      </w:r>
      <w:r w:rsidR="00102660">
        <w:rPr>
          <w:rFonts w:cs="Tahoma"/>
          <w:color w:val="000000"/>
          <w:szCs w:val="18"/>
          <w:lang w:val="de-DE"/>
        </w:rPr>
        <w:t>.</w:t>
      </w:r>
      <w:r w:rsidRPr="008849B7">
        <w:rPr>
          <w:rFonts w:cs="Tahoma"/>
          <w:color w:val="000000"/>
          <w:szCs w:val="18"/>
          <w:lang w:val="de-DE"/>
        </w:rPr>
        <w:t>000 US-Dollar an durchschnittlichen Ausgaben für SA pro Jahr in der jeweiligen Fremdwährung entsprechen</w:t>
      </w:r>
      <w:r w:rsidR="006257A7">
        <w:rPr>
          <w:rFonts w:cs="Tahoma"/>
          <w:color w:val="000000"/>
          <w:szCs w:val="18"/>
          <w:lang w:val="de-DE"/>
        </w:rPr>
        <w:t xml:space="preserve">. </w:t>
      </w:r>
      <w:r w:rsidRPr="008849B7">
        <w:rPr>
          <w:rFonts w:cs="Tahoma"/>
          <w:color w:val="000000"/>
          <w:szCs w:val="18"/>
          <w:lang w:val="de-DE"/>
        </w:rPr>
        <w:t>Siehe folgende Tabelle:</w:t>
      </w:r>
    </w:p>
    <w:p w:rsidR="008D4EE5" w:rsidRPr="008849B7" w:rsidRDefault="008D4EE5" w:rsidP="008D4EE5">
      <w:pPr>
        <w:jc w:val="both"/>
        <w:rPr>
          <w:lang w:val="de-DE"/>
        </w:rPr>
      </w:pPr>
    </w:p>
    <w:p w:rsidR="008D4EE5" w:rsidRPr="008849B7" w:rsidRDefault="008D4EE5" w:rsidP="008D4EE5">
      <w:pPr>
        <w:jc w:val="both"/>
        <w:rPr>
          <w:lang w:val="de-DE"/>
        </w:rPr>
      </w:pPr>
      <w:r w:rsidRPr="008849B7">
        <w:rPr>
          <w:rFonts w:cs="Tahoma"/>
          <w:color w:val="000000"/>
          <w:szCs w:val="18"/>
          <w:lang w:val="de-DE"/>
        </w:rPr>
        <w:t>Die folgende Tabelle gilt für Kunden, die über einen Beitritt zur Anwendungsplattform (EAP) oder einen Anwendungsplattformvertrag (APA) verfügen:</w:t>
      </w:r>
    </w:p>
    <w:p w:rsidR="008D4EE5" w:rsidRPr="008849B7" w:rsidRDefault="008D4EE5" w:rsidP="008D4EE5">
      <w:pPr>
        <w:rPr>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8D4EE5" w:rsidRPr="004A4D28" w:rsidTr="00A67771">
        <w:tc>
          <w:tcPr>
            <w:tcW w:w="2160" w:type="dxa"/>
            <w:shd w:val="clear" w:color="auto" w:fill="FABF8F"/>
          </w:tcPr>
          <w:p w:rsidR="008D4EE5" w:rsidRPr="008849B7" w:rsidRDefault="008D4EE5" w:rsidP="00A67771">
            <w:pPr>
              <w:jc w:val="center"/>
              <w:rPr>
                <w:rFonts w:cs="Tahoma"/>
                <w:color w:val="000000"/>
                <w:szCs w:val="18"/>
                <w:lang w:val="de-DE"/>
              </w:rPr>
            </w:pPr>
            <w:r w:rsidRPr="008849B7">
              <w:rPr>
                <w:rFonts w:cs="Tahoma"/>
                <w:b/>
                <w:bCs/>
                <w:color w:val="000000"/>
                <w:szCs w:val="18"/>
                <w:lang w:val="de-DE"/>
              </w:rPr>
              <w:t>Durchschnittliche SA-Ausgaben pro Jahr</w:t>
            </w:r>
          </w:p>
        </w:tc>
        <w:tc>
          <w:tcPr>
            <w:tcW w:w="2520" w:type="dxa"/>
            <w:shd w:val="clear" w:color="auto" w:fill="FABF8F"/>
          </w:tcPr>
          <w:p w:rsidR="008D4EE5" w:rsidRPr="004A4D28" w:rsidRDefault="008D4EE5" w:rsidP="00A67771">
            <w:pPr>
              <w:jc w:val="center"/>
              <w:rPr>
                <w:rFonts w:cs="Tahoma"/>
                <w:color w:val="000000"/>
                <w:szCs w:val="18"/>
              </w:rPr>
            </w:pPr>
            <w:r>
              <w:rPr>
                <w:rFonts w:cs="Tahoma"/>
                <w:b/>
                <w:bCs/>
                <w:color w:val="000000"/>
                <w:szCs w:val="18"/>
              </w:rPr>
              <w:t>Zulässige Supportkontaktpersonen</w:t>
            </w:r>
          </w:p>
        </w:tc>
      </w:tr>
      <w:tr w:rsidR="008D4EE5" w:rsidRPr="004A4D28" w:rsidTr="00A67771">
        <w:tc>
          <w:tcPr>
            <w:tcW w:w="2160" w:type="dxa"/>
          </w:tcPr>
          <w:p w:rsidR="008D4EE5" w:rsidRPr="004A4D28" w:rsidRDefault="008D4EE5" w:rsidP="00F11649">
            <w:pPr>
              <w:jc w:val="center"/>
              <w:rPr>
                <w:rFonts w:cs="Tahoma"/>
                <w:color w:val="000000"/>
                <w:szCs w:val="18"/>
              </w:rPr>
            </w:pPr>
            <w:r>
              <w:rPr>
                <w:rFonts w:cs="Tahoma"/>
                <w:color w:val="000000"/>
                <w:szCs w:val="18"/>
              </w:rPr>
              <w:t>$250</w:t>
            </w:r>
            <w:r w:rsidR="00102660">
              <w:rPr>
                <w:rFonts w:cs="Tahoma"/>
                <w:color w:val="000000"/>
                <w:szCs w:val="18"/>
              </w:rPr>
              <w:t>.</w:t>
            </w:r>
            <w:r>
              <w:rPr>
                <w:rFonts w:cs="Tahoma"/>
                <w:color w:val="000000"/>
                <w:szCs w:val="18"/>
              </w:rPr>
              <w:t>000 - $374</w:t>
            </w:r>
            <w:r w:rsidR="00102660">
              <w:rPr>
                <w:rFonts w:cs="Tahoma"/>
                <w:color w:val="000000"/>
                <w:szCs w:val="18"/>
              </w:rPr>
              <w:t>.</w:t>
            </w:r>
            <w:r>
              <w:rPr>
                <w:rFonts w:cs="Tahoma"/>
                <w:color w:val="000000"/>
                <w:szCs w:val="18"/>
              </w:rPr>
              <w:t>999</w:t>
            </w:r>
          </w:p>
        </w:tc>
        <w:tc>
          <w:tcPr>
            <w:tcW w:w="2520" w:type="dxa"/>
          </w:tcPr>
          <w:p w:rsidR="008D4EE5" w:rsidRPr="004A4D28" w:rsidRDefault="008D4EE5" w:rsidP="00A67771">
            <w:pPr>
              <w:jc w:val="center"/>
              <w:rPr>
                <w:rFonts w:cs="Tahoma"/>
                <w:color w:val="000000"/>
                <w:szCs w:val="18"/>
              </w:rPr>
            </w:pPr>
            <w:r>
              <w:rPr>
                <w:rFonts w:cs="Tahoma"/>
                <w:color w:val="000000"/>
                <w:szCs w:val="18"/>
              </w:rPr>
              <w:t>4</w:t>
            </w:r>
          </w:p>
        </w:tc>
      </w:tr>
      <w:tr w:rsidR="008D4EE5" w:rsidRPr="00DD1A50" w:rsidTr="00A67771">
        <w:tc>
          <w:tcPr>
            <w:tcW w:w="2160" w:type="dxa"/>
          </w:tcPr>
          <w:p w:rsidR="008D4EE5" w:rsidRPr="001712B4" w:rsidRDefault="008D4EE5" w:rsidP="00F11649">
            <w:pPr>
              <w:jc w:val="center"/>
              <w:rPr>
                <w:rFonts w:cs="Tahoma"/>
                <w:szCs w:val="18"/>
              </w:rPr>
            </w:pPr>
            <w:r>
              <w:rPr>
                <w:rFonts w:cs="Tahoma"/>
                <w:szCs w:val="18"/>
              </w:rPr>
              <w:t>$375</w:t>
            </w:r>
            <w:r w:rsidR="00102660">
              <w:rPr>
                <w:rFonts w:cs="Tahoma"/>
                <w:szCs w:val="18"/>
              </w:rPr>
              <w:t>.</w:t>
            </w:r>
            <w:r>
              <w:rPr>
                <w:rFonts w:cs="Tahoma"/>
                <w:szCs w:val="18"/>
              </w:rPr>
              <w:t>000 - $499</w:t>
            </w:r>
            <w:r w:rsidR="00102660">
              <w:rPr>
                <w:rFonts w:cs="Tahoma"/>
                <w:szCs w:val="18"/>
              </w:rPr>
              <w:t>.</w:t>
            </w:r>
            <w:r>
              <w:rPr>
                <w:rFonts w:cs="Tahoma"/>
                <w:szCs w:val="18"/>
              </w:rPr>
              <w:t>999</w:t>
            </w:r>
          </w:p>
        </w:tc>
        <w:tc>
          <w:tcPr>
            <w:tcW w:w="2520" w:type="dxa"/>
          </w:tcPr>
          <w:p w:rsidR="008D4EE5" w:rsidRPr="001712B4" w:rsidRDefault="008D4EE5" w:rsidP="00A67771">
            <w:pPr>
              <w:jc w:val="center"/>
              <w:rPr>
                <w:rFonts w:cs="Tahoma"/>
                <w:szCs w:val="18"/>
              </w:rPr>
            </w:pPr>
            <w:r>
              <w:rPr>
                <w:rFonts w:cs="Tahoma"/>
                <w:szCs w:val="18"/>
              </w:rPr>
              <w:t>5</w:t>
            </w:r>
          </w:p>
        </w:tc>
      </w:tr>
      <w:tr w:rsidR="008D4EE5" w:rsidRPr="00DD1A50" w:rsidTr="00A67771">
        <w:tc>
          <w:tcPr>
            <w:tcW w:w="2160" w:type="dxa"/>
          </w:tcPr>
          <w:p w:rsidR="008D4EE5" w:rsidRPr="001712B4" w:rsidRDefault="008D4EE5" w:rsidP="00F11649">
            <w:pPr>
              <w:jc w:val="center"/>
              <w:rPr>
                <w:rFonts w:cs="Tahoma"/>
                <w:szCs w:val="18"/>
              </w:rPr>
            </w:pPr>
            <w:r>
              <w:rPr>
                <w:rFonts w:cs="Tahoma"/>
                <w:szCs w:val="18"/>
              </w:rPr>
              <w:t>$500</w:t>
            </w:r>
            <w:r w:rsidR="00102660">
              <w:rPr>
                <w:rFonts w:cs="Tahoma"/>
                <w:szCs w:val="18"/>
              </w:rPr>
              <w:t>.</w:t>
            </w:r>
            <w:r>
              <w:rPr>
                <w:rFonts w:cs="Tahoma"/>
                <w:szCs w:val="18"/>
              </w:rPr>
              <w:t>000 - $624</w:t>
            </w:r>
            <w:r w:rsidR="00102660">
              <w:rPr>
                <w:rFonts w:cs="Tahoma"/>
                <w:szCs w:val="18"/>
              </w:rPr>
              <w:t>.</w:t>
            </w:r>
            <w:r>
              <w:rPr>
                <w:rFonts w:cs="Tahoma"/>
                <w:szCs w:val="18"/>
              </w:rPr>
              <w:t>999</w:t>
            </w:r>
          </w:p>
        </w:tc>
        <w:tc>
          <w:tcPr>
            <w:tcW w:w="2520" w:type="dxa"/>
          </w:tcPr>
          <w:p w:rsidR="008D4EE5" w:rsidRPr="001712B4" w:rsidRDefault="008D4EE5" w:rsidP="00A67771">
            <w:pPr>
              <w:jc w:val="center"/>
              <w:rPr>
                <w:rFonts w:cs="Tahoma"/>
                <w:szCs w:val="18"/>
              </w:rPr>
            </w:pPr>
            <w:r>
              <w:rPr>
                <w:rFonts w:cs="Tahoma"/>
                <w:szCs w:val="18"/>
              </w:rPr>
              <w:t>6</w:t>
            </w:r>
          </w:p>
        </w:tc>
      </w:tr>
      <w:tr w:rsidR="008D4EE5" w:rsidRPr="00DD1A50" w:rsidTr="00A67771">
        <w:tc>
          <w:tcPr>
            <w:tcW w:w="2160" w:type="dxa"/>
          </w:tcPr>
          <w:p w:rsidR="008D4EE5" w:rsidRPr="001712B4" w:rsidRDefault="008D4EE5" w:rsidP="00F11649">
            <w:pPr>
              <w:jc w:val="center"/>
              <w:rPr>
                <w:rFonts w:cs="Tahoma"/>
                <w:szCs w:val="18"/>
              </w:rPr>
            </w:pPr>
            <w:r>
              <w:rPr>
                <w:rFonts w:cs="Tahoma"/>
                <w:szCs w:val="18"/>
              </w:rPr>
              <w:t>$625</w:t>
            </w:r>
            <w:r w:rsidR="00102660">
              <w:rPr>
                <w:rFonts w:cs="Tahoma"/>
                <w:szCs w:val="18"/>
              </w:rPr>
              <w:t>.</w:t>
            </w:r>
            <w:r>
              <w:rPr>
                <w:rFonts w:cs="Tahoma"/>
                <w:szCs w:val="18"/>
              </w:rPr>
              <w:t>000 - $749</w:t>
            </w:r>
            <w:r w:rsidR="00102660">
              <w:rPr>
                <w:rFonts w:cs="Tahoma"/>
                <w:szCs w:val="18"/>
              </w:rPr>
              <w:t>.</w:t>
            </w:r>
            <w:r>
              <w:rPr>
                <w:rFonts w:cs="Tahoma"/>
                <w:szCs w:val="18"/>
              </w:rPr>
              <w:t>999</w:t>
            </w:r>
          </w:p>
        </w:tc>
        <w:tc>
          <w:tcPr>
            <w:tcW w:w="2520" w:type="dxa"/>
          </w:tcPr>
          <w:p w:rsidR="008D4EE5" w:rsidRPr="001712B4" w:rsidRDefault="008D4EE5" w:rsidP="00A67771">
            <w:pPr>
              <w:jc w:val="center"/>
              <w:rPr>
                <w:rFonts w:cs="Tahoma"/>
                <w:szCs w:val="18"/>
              </w:rPr>
            </w:pPr>
            <w:r>
              <w:rPr>
                <w:rFonts w:cs="Tahoma"/>
                <w:szCs w:val="18"/>
              </w:rPr>
              <w:t>7</w:t>
            </w:r>
          </w:p>
        </w:tc>
      </w:tr>
      <w:tr w:rsidR="008D4EE5" w:rsidRPr="00DD1A50" w:rsidTr="00A67771">
        <w:tc>
          <w:tcPr>
            <w:tcW w:w="2160" w:type="dxa"/>
          </w:tcPr>
          <w:p w:rsidR="008D4EE5" w:rsidRPr="001712B4" w:rsidRDefault="008D4EE5" w:rsidP="00F11649">
            <w:pPr>
              <w:jc w:val="center"/>
              <w:rPr>
                <w:rFonts w:cs="Tahoma"/>
                <w:szCs w:val="18"/>
              </w:rPr>
            </w:pPr>
            <w:r>
              <w:rPr>
                <w:rFonts w:cs="Tahoma"/>
                <w:szCs w:val="18"/>
              </w:rPr>
              <w:t>$750</w:t>
            </w:r>
            <w:r w:rsidR="00102660">
              <w:rPr>
                <w:rFonts w:cs="Tahoma"/>
                <w:szCs w:val="18"/>
              </w:rPr>
              <w:t>.</w:t>
            </w:r>
            <w:r>
              <w:rPr>
                <w:rFonts w:cs="Tahoma"/>
                <w:szCs w:val="18"/>
              </w:rPr>
              <w:t>000 - $874</w:t>
            </w:r>
            <w:r w:rsidR="00102660">
              <w:rPr>
                <w:rFonts w:cs="Tahoma"/>
                <w:szCs w:val="18"/>
              </w:rPr>
              <w:t>.</w:t>
            </w:r>
            <w:r>
              <w:rPr>
                <w:rFonts w:cs="Tahoma"/>
                <w:szCs w:val="18"/>
              </w:rPr>
              <w:t>999</w:t>
            </w:r>
          </w:p>
        </w:tc>
        <w:tc>
          <w:tcPr>
            <w:tcW w:w="2520" w:type="dxa"/>
          </w:tcPr>
          <w:p w:rsidR="008D4EE5" w:rsidRPr="001712B4" w:rsidRDefault="008D4EE5" w:rsidP="00A67771">
            <w:pPr>
              <w:jc w:val="center"/>
              <w:rPr>
                <w:rFonts w:cs="Tahoma"/>
                <w:szCs w:val="18"/>
              </w:rPr>
            </w:pPr>
            <w:r>
              <w:rPr>
                <w:rFonts w:cs="Tahoma"/>
                <w:szCs w:val="18"/>
              </w:rPr>
              <w:t>8</w:t>
            </w:r>
          </w:p>
        </w:tc>
      </w:tr>
    </w:tbl>
    <w:p w:rsidR="008D4EE5" w:rsidRPr="008849B7" w:rsidRDefault="008D4EE5" w:rsidP="008D4EE5">
      <w:pPr>
        <w:rPr>
          <w:lang w:val="de-DE"/>
        </w:rPr>
      </w:pPr>
      <w:r w:rsidRPr="008849B7">
        <w:rPr>
          <w:rFonts w:cs="Tahoma"/>
          <w:szCs w:val="18"/>
          <w:lang w:val="de-DE"/>
        </w:rPr>
        <w:t>Die folgende Tabelle gilt für Kunden, die über Lizenzen für Parallel Data Warehouse (PDW) verfügen:</w:t>
      </w:r>
    </w:p>
    <w:p w:rsidR="008D4EE5" w:rsidRPr="008849B7" w:rsidRDefault="008D4EE5" w:rsidP="008D4EE5">
      <w:pPr>
        <w:rPr>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8D4EE5" w:rsidRPr="00A17E03" w:rsidTr="00A67771">
        <w:tc>
          <w:tcPr>
            <w:tcW w:w="2160" w:type="dxa"/>
            <w:shd w:val="clear" w:color="auto" w:fill="FABF8F"/>
          </w:tcPr>
          <w:p w:rsidR="008D4EE5" w:rsidRPr="008849B7" w:rsidRDefault="008D4EE5" w:rsidP="00A67771">
            <w:pPr>
              <w:jc w:val="center"/>
              <w:rPr>
                <w:rFonts w:cs="Tahoma"/>
                <w:color w:val="000000"/>
                <w:szCs w:val="18"/>
                <w:lang w:val="de-DE"/>
              </w:rPr>
            </w:pPr>
            <w:r w:rsidRPr="008849B7">
              <w:rPr>
                <w:rFonts w:cs="Tahoma"/>
                <w:b/>
                <w:bCs/>
                <w:color w:val="000000"/>
                <w:szCs w:val="18"/>
                <w:lang w:val="de-DE"/>
              </w:rPr>
              <w:t>Durchschnittliche SA-Ausgaben pro Jahr</w:t>
            </w:r>
          </w:p>
        </w:tc>
        <w:tc>
          <w:tcPr>
            <w:tcW w:w="2520" w:type="dxa"/>
            <w:shd w:val="clear" w:color="auto" w:fill="FABF8F"/>
          </w:tcPr>
          <w:p w:rsidR="008D4EE5" w:rsidRPr="00A17E03" w:rsidRDefault="008D4EE5" w:rsidP="00A67771">
            <w:pPr>
              <w:jc w:val="center"/>
              <w:rPr>
                <w:rFonts w:cs="Tahoma"/>
                <w:color w:val="000000"/>
                <w:szCs w:val="18"/>
              </w:rPr>
            </w:pPr>
            <w:r>
              <w:rPr>
                <w:rFonts w:cs="Tahoma"/>
                <w:b/>
                <w:bCs/>
                <w:color w:val="000000"/>
                <w:szCs w:val="18"/>
              </w:rPr>
              <w:t>Zulässige Supportkontaktpersonen</w:t>
            </w:r>
          </w:p>
        </w:tc>
      </w:tr>
      <w:tr w:rsidR="008D4EE5" w:rsidRPr="00A17E03" w:rsidTr="00A67771">
        <w:tc>
          <w:tcPr>
            <w:tcW w:w="2160" w:type="dxa"/>
          </w:tcPr>
          <w:p w:rsidR="008D4EE5" w:rsidRPr="00A17E03" w:rsidRDefault="008D4EE5" w:rsidP="00F11649">
            <w:pPr>
              <w:jc w:val="center"/>
              <w:rPr>
                <w:rFonts w:cs="Tahoma"/>
                <w:color w:val="000000"/>
                <w:szCs w:val="18"/>
              </w:rPr>
            </w:pPr>
            <w:r>
              <w:rPr>
                <w:rFonts w:cs="Tahoma"/>
                <w:color w:val="000000"/>
                <w:szCs w:val="18"/>
              </w:rPr>
              <w:t>$0 - $374</w:t>
            </w:r>
            <w:r w:rsidR="00102660">
              <w:rPr>
                <w:rFonts w:cs="Tahoma"/>
                <w:color w:val="000000"/>
                <w:szCs w:val="18"/>
              </w:rPr>
              <w:t>.</w:t>
            </w:r>
            <w:r>
              <w:rPr>
                <w:rFonts w:cs="Tahoma"/>
                <w:color w:val="000000"/>
                <w:szCs w:val="18"/>
              </w:rPr>
              <w:t>999</w:t>
            </w:r>
          </w:p>
        </w:tc>
        <w:tc>
          <w:tcPr>
            <w:tcW w:w="2520" w:type="dxa"/>
          </w:tcPr>
          <w:p w:rsidR="008D4EE5" w:rsidRPr="00A17E03" w:rsidRDefault="008D4EE5" w:rsidP="00A67771">
            <w:pPr>
              <w:jc w:val="center"/>
              <w:rPr>
                <w:rFonts w:cs="Tahoma"/>
                <w:color w:val="000000"/>
                <w:szCs w:val="18"/>
              </w:rPr>
            </w:pPr>
            <w:r>
              <w:rPr>
                <w:rFonts w:cs="Tahoma"/>
                <w:color w:val="000000"/>
                <w:szCs w:val="18"/>
              </w:rPr>
              <w:t>4</w:t>
            </w:r>
          </w:p>
        </w:tc>
      </w:tr>
      <w:tr w:rsidR="008D4EE5" w:rsidRPr="00A17E03" w:rsidTr="00A67771">
        <w:tc>
          <w:tcPr>
            <w:tcW w:w="2160" w:type="dxa"/>
          </w:tcPr>
          <w:p w:rsidR="008D4EE5" w:rsidRPr="00A17E03" w:rsidRDefault="008D4EE5" w:rsidP="00F11649">
            <w:pPr>
              <w:jc w:val="center"/>
              <w:rPr>
                <w:rFonts w:cs="Tahoma"/>
                <w:szCs w:val="18"/>
              </w:rPr>
            </w:pPr>
            <w:r>
              <w:rPr>
                <w:rFonts w:cs="Tahoma"/>
                <w:szCs w:val="18"/>
              </w:rPr>
              <w:t>$375</w:t>
            </w:r>
            <w:r w:rsidR="00102660">
              <w:rPr>
                <w:rFonts w:cs="Tahoma"/>
                <w:szCs w:val="18"/>
              </w:rPr>
              <w:t>.</w:t>
            </w:r>
            <w:r>
              <w:rPr>
                <w:rFonts w:cs="Tahoma"/>
                <w:szCs w:val="18"/>
              </w:rPr>
              <w:t>000 - $499</w:t>
            </w:r>
            <w:r w:rsidR="00102660">
              <w:rPr>
                <w:rFonts w:cs="Tahoma"/>
                <w:szCs w:val="18"/>
              </w:rPr>
              <w:t>.</w:t>
            </w:r>
            <w:r>
              <w:rPr>
                <w:rFonts w:cs="Tahoma"/>
                <w:szCs w:val="18"/>
              </w:rPr>
              <w:t>999</w:t>
            </w:r>
          </w:p>
        </w:tc>
        <w:tc>
          <w:tcPr>
            <w:tcW w:w="2520" w:type="dxa"/>
          </w:tcPr>
          <w:p w:rsidR="008D4EE5" w:rsidRPr="00A17E03" w:rsidRDefault="008D4EE5" w:rsidP="00A67771">
            <w:pPr>
              <w:jc w:val="center"/>
              <w:rPr>
                <w:rFonts w:cs="Tahoma"/>
                <w:szCs w:val="18"/>
              </w:rPr>
            </w:pPr>
            <w:r>
              <w:rPr>
                <w:rFonts w:cs="Tahoma"/>
                <w:szCs w:val="18"/>
              </w:rPr>
              <w:t>5</w:t>
            </w:r>
          </w:p>
        </w:tc>
      </w:tr>
      <w:tr w:rsidR="008D4EE5" w:rsidRPr="00A17E03" w:rsidTr="00A67771">
        <w:tc>
          <w:tcPr>
            <w:tcW w:w="2160" w:type="dxa"/>
          </w:tcPr>
          <w:p w:rsidR="008D4EE5" w:rsidRPr="00A17E03" w:rsidRDefault="008D4EE5" w:rsidP="00F11649">
            <w:pPr>
              <w:jc w:val="center"/>
              <w:rPr>
                <w:rFonts w:cs="Tahoma"/>
                <w:szCs w:val="18"/>
              </w:rPr>
            </w:pPr>
            <w:r>
              <w:rPr>
                <w:rFonts w:cs="Tahoma"/>
                <w:szCs w:val="18"/>
              </w:rPr>
              <w:t>$500</w:t>
            </w:r>
            <w:r w:rsidR="00102660">
              <w:rPr>
                <w:rFonts w:cs="Tahoma"/>
                <w:szCs w:val="18"/>
              </w:rPr>
              <w:t>.</w:t>
            </w:r>
            <w:r>
              <w:rPr>
                <w:rFonts w:cs="Tahoma"/>
                <w:szCs w:val="18"/>
              </w:rPr>
              <w:t>000 - $624</w:t>
            </w:r>
            <w:r w:rsidR="00102660">
              <w:rPr>
                <w:rFonts w:cs="Tahoma"/>
                <w:szCs w:val="18"/>
              </w:rPr>
              <w:t>.</w:t>
            </w:r>
            <w:r>
              <w:rPr>
                <w:rFonts w:cs="Tahoma"/>
                <w:szCs w:val="18"/>
              </w:rPr>
              <w:t>999</w:t>
            </w:r>
          </w:p>
        </w:tc>
        <w:tc>
          <w:tcPr>
            <w:tcW w:w="2520" w:type="dxa"/>
          </w:tcPr>
          <w:p w:rsidR="008D4EE5" w:rsidRPr="00A17E03" w:rsidRDefault="008D4EE5" w:rsidP="00A67771">
            <w:pPr>
              <w:jc w:val="center"/>
              <w:rPr>
                <w:rFonts w:cs="Tahoma"/>
                <w:szCs w:val="18"/>
              </w:rPr>
            </w:pPr>
            <w:r>
              <w:rPr>
                <w:rFonts w:cs="Tahoma"/>
                <w:szCs w:val="18"/>
              </w:rPr>
              <w:t>6</w:t>
            </w:r>
          </w:p>
        </w:tc>
      </w:tr>
      <w:tr w:rsidR="008D4EE5" w:rsidRPr="00A17E03" w:rsidTr="00A67771">
        <w:tc>
          <w:tcPr>
            <w:tcW w:w="2160" w:type="dxa"/>
          </w:tcPr>
          <w:p w:rsidR="008D4EE5" w:rsidRPr="00A17E03" w:rsidRDefault="008D4EE5" w:rsidP="00F11649">
            <w:pPr>
              <w:jc w:val="center"/>
              <w:rPr>
                <w:rFonts w:cs="Tahoma"/>
                <w:szCs w:val="18"/>
              </w:rPr>
            </w:pPr>
            <w:r>
              <w:rPr>
                <w:rFonts w:cs="Tahoma"/>
                <w:szCs w:val="18"/>
              </w:rPr>
              <w:t>$625</w:t>
            </w:r>
            <w:r w:rsidR="00102660">
              <w:rPr>
                <w:rFonts w:cs="Tahoma"/>
                <w:szCs w:val="18"/>
              </w:rPr>
              <w:t>.</w:t>
            </w:r>
            <w:r>
              <w:rPr>
                <w:rFonts w:cs="Tahoma"/>
                <w:szCs w:val="18"/>
              </w:rPr>
              <w:t>000 - $749</w:t>
            </w:r>
            <w:r w:rsidR="00102660">
              <w:rPr>
                <w:rFonts w:cs="Tahoma"/>
                <w:szCs w:val="18"/>
              </w:rPr>
              <w:t>.</w:t>
            </w:r>
            <w:r>
              <w:rPr>
                <w:rFonts w:cs="Tahoma"/>
                <w:szCs w:val="18"/>
              </w:rPr>
              <w:t>999</w:t>
            </w:r>
          </w:p>
        </w:tc>
        <w:tc>
          <w:tcPr>
            <w:tcW w:w="2520" w:type="dxa"/>
          </w:tcPr>
          <w:p w:rsidR="008D4EE5" w:rsidRPr="00A17E03" w:rsidRDefault="008D4EE5" w:rsidP="00A67771">
            <w:pPr>
              <w:jc w:val="center"/>
              <w:rPr>
                <w:rFonts w:cs="Tahoma"/>
                <w:szCs w:val="18"/>
              </w:rPr>
            </w:pPr>
            <w:r>
              <w:rPr>
                <w:rFonts w:cs="Tahoma"/>
                <w:szCs w:val="18"/>
              </w:rPr>
              <w:t>7</w:t>
            </w:r>
          </w:p>
        </w:tc>
      </w:tr>
      <w:tr w:rsidR="008D4EE5" w:rsidRPr="00F11649" w:rsidTr="00A67771">
        <w:tc>
          <w:tcPr>
            <w:tcW w:w="2160" w:type="dxa"/>
          </w:tcPr>
          <w:p w:rsidR="008D4EE5" w:rsidRPr="00F11649" w:rsidRDefault="008D4EE5" w:rsidP="00F11649">
            <w:pPr>
              <w:jc w:val="center"/>
              <w:rPr>
                <w:rFonts w:cs="Tahoma"/>
                <w:szCs w:val="18"/>
                <w:lang w:val="de-DE"/>
              </w:rPr>
            </w:pPr>
            <w:r w:rsidRPr="00F11649">
              <w:rPr>
                <w:rFonts w:cs="Tahoma"/>
                <w:szCs w:val="18"/>
                <w:lang w:val="de-DE"/>
              </w:rPr>
              <w:t>$750</w:t>
            </w:r>
            <w:r w:rsidR="00102660">
              <w:rPr>
                <w:rFonts w:cs="Tahoma"/>
                <w:szCs w:val="18"/>
                <w:lang w:val="de-DE"/>
              </w:rPr>
              <w:t>.</w:t>
            </w:r>
            <w:r w:rsidRPr="00F11649">
              <w:rPr>
                <w:rFonts w:cs="Tahoma"/>
                <w:szCs w:val="18"/>
                <w:lang w:val="de-DE"/>
              </w:rPr>
              <w:t>000 - $874</w:t>
            </w:r>
            <w:r w:rsidR="00102660">
              <w:rPr>
                <w:rFonts w:cs="Tahoma"/>
                <w:szCs w:val="18"/>
                <w:lang w:val="de-DE"/>
              </w:rPr>
              <w:t>.</w:t>
            </w:r>
            <w:r w:rsidRPr="00F11649">
              <w:rPr>
                <w:rFonts w:cs="Tahoma"/>
                <w:szCs w:val="18"/>
                <w:lang w:val="de-DE"/>
              </w:rPr>
              <w:t>999</w:t>
            </w:r>
          </w:p>
        </w:tc>
        <w:tc>
          <w:tcPr>
            <w:tcW w:w="2520" w:type="dxa"/>
          </w:tcPr>
          <w:p w:rsidR="008D4EE5" w:rsidRPr="00F11649" w:rsidRDefault="008D4EE5" w:rsidP="00A67771">
            <w:pPr>
              <w:jc w:val="center"/>
              <w:rPr>
                <w:rFonts w:cs="Tahoma"/>
                <w:szCs w:val="18"/>
                <w:lang w:val="de-DE"/>
              </w:rPr>
            </w:pPr>
            <w:r w:rsidRPr="00F11649">
              <w:rPr>
                <w:rFonts w:cs="Tahoma"/>
                <w:szCs w:val="18"/>
                <w:lang w:val="de-DE"/>
              </w:rPr>
              <w:t>8</w:t>
            </w:r>
          </w:p>
        </w:tc>
      </w:tr>
    </w:tbl>
    <w:p w:rsidR="008D4EE5" w:rsidRPr="00F11649" w:rsidRDefault="008D4EE5" w:rsidP="008D4EE5">
      <w:pPr>
        <w:jc w:val="both"/>
        <w:rPr>
          <w:lang w:val="de-DE"/>
        </w:rPr>
      </w:pPr>
    </w:p>
    <w:p w:rsidR="008D4EE5" w:rsidRPr="008849B7" w:rsidRDefault="008D4EE5" w:rsidP="008D4EE5">
      <w:pPr>
        <w:jc w:val="both"/>
        <w:rPr>
          <w:lang w:val="de-DE"/>
        </w:rPr>
      </w:pPr>
      <w:r w:rsidRPr="008849B7">
        <w:rPr>
          <w:rFonts w:cs="Tahoma"/>
          <w:szCs w:val="18"/>
          <w:lang w:val="de-DE"/>
        </w:rPr>
        <w:t>Supportanfragen sollten von einer benannten Kontaktperson des Kunden telefonisch oder über die Website und nach der Vorgehensweise veranlasst werden, die im Premier-Servicevertrag des Kunden beschrieben ist</w:t>
      </w:r>
      <w:r w:rsidR="006257A7">
        <w:rPr>
          <w:rFonts w:cs="Tahoma"/>
          <w:szCs w:val="18"/>
          <w:lang w:val="de-DE"/>
        </w:rPr>
        <w:t xml:space="preserve">. </w:t>
      </w:r>
      <w:r w:rsidRPr="008849B7">
        <w:rPr>
          <w:rFonts w:cs="Tahoma"/>
          <w:szCs w:val="18"/>
          <w:lang w:val="de-DE"/>
        </w:rPr>
        <w:t>Die Vergünstigung für Unbegrenzten 24x7-Problembehebungssupport beinhaltet nur Problembehebungsservices</w:t>
      </w:r>
      <w:r w:rsidR="006257A7">
        <w:rPr>
          <w:rFonts w:cs="Tahoma"/>
          <w:szCs w:val="18"/>
          <w:lang w:val="de-DE"/>
        </w:rPr>
        <w:t xml:space="preserve">. </w:t>
      </w:r>
      <w:r w:rsidRPr="008849B7">
        <w:rPr>
          <w:rFonts w:cs="Tahoma"/>
          <w:szCs w:val="18"/>
          <w:lang w:val="de-DE"/>
        </w:rPr>
        <w:t>Jeder Zeitaufwand seitens des Technical Account Manager (TAM) oder des Designated Support Engineer (DSE) für die Bearbeitung der Anfrage wird unter dem Premier-Servicevertrag des Kunden abgerechnet</w:t>
      </w:r>
      <w:r w:rsidR="006257A7">
        <w:rPr>
          <w:rFonts w:cs="Tahoma"/>
          <w:szCs w:val="18"/>
          <w:lang w:val="de-DE"/>
        </w:rPr>
        <w:t xml:space="preserve">. </w:t>
      </w:r>
    </w:p>
    <w:p w:rsidR="008D4EE5" w:rsidRPr="008849B7" w:rsidRDefault="008D4EE5" w:rsidP="008D4EE5">
      <w:pPr>
        <w:pStyle w:val="Heading3"/>
        <w:rPr>
          <w:lang w:val="de-DE"/>
        </w:rPr>
      </w:pPr>
    </w:p>
    <w:p w:rsidR="008D4EE5" w:rsidRPr="008849B7" w:rsidRDefault="008D4EE5" w:rsidP="008D4EE5">
      <w:pPr>
        <w:pStyle w:val="Heading3"/>
        <w:rPr>
          <w:lang w:val="de-DE"/>
        </w:rPr>
      </w:pPr>
      <w:bookmarkStart w:id="749" w:name="_Toc336338238"/>
      <w:bookmarkStart w:id="750" w:name="_Toc363998976"/>
      <w:r w:rsidRPr="008849B7">
        <w:rPr>
          <w:rFonts w:ascii="Tahoma" w:hAnsi="Tahoma" w:cs="Tahoma"/>
          <w:color w:val="000000"/>
          <w:sz w:val="24"/>
          <w:szCs w:val="18"/>
          <w:lang w:val="de-DE"/>
        </w:rPr>
        <w:t>System Center Advisor</w:t>
      </w:r>
      <w:bookmarkEnd w:id="749"/>
      <w:bookmarkEnd w:id="750"/>
    </w:p>
    <w:p w:rsidR="008D4EE5" w:rsidRPr="008849B7" w:rsidRDefault="008D4EE5" w:rsidP="008D4EE5">
      <w:pPr>
        <w:rPr>
          <w:lang w:val="de-DE"/>
        </w:rPr>
      </w:pPr>
    </w:p>
    <w:p w:rsidR="008D4EE5" w:rsidRPr="008849B7" w:rsidRDefault="008D4EE5" w:rsidP="008D4EE5">
      <w:pPr>
        <w:rPr>
          <w:lang w:val="de-DE"/>
        </w:rPr>
      </w:pPr>
      <w:r w:rsidRPr="008849B7">
        <w:rPr>
          <w:rFonts w:cs="Tahoma"/>
          <w:szCs w:val="18"/>
          <w:lang w:val="de-DE"/>
        </w:rPr>
        <w:t>Kunden mit aktiver Software Assurance für Softwarelizenzen für die Editionen von Windows Server, SQL Server, Exchange Server und SharePoint Server, die in der Tabelle unten angegeben sind, sind berechtigt, System Center Advisor wie in den Produktbenutzungsrechten dargelegt zu verwenden</w:t>
      </w:r>
      <w:r w:rsidR="006257A7">
        <w:rPr>
          <w:rFonts w:cs="Tahoma"/>
          <w:szCs w:val="18"/>
          <w:lang w:val="de-DE"/>
        </w:rPr>
        <w:t xml:space="preserve">. </w:t>
      </w:r>
    </w:p>
    <w:p w:rsidR="008D4EE5" w:rsidRPr="008849B7" w:rsidRDefault="008D4EE5" w:rsidP="008D4EE5">
      <w:pPr>
        <w:outlineLvl w:val="2"/>
        <w:rPr>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8D4EE5" w:rsidRPr="003479E5" w:rsidTr="008623B7">
        <w:trPr>
          <w:tblHeader/>
        </w:trPr>
        <w:tc>
          <w:tcPr>
            <w:tcW w:w="3760" w:type="dxa"/>
            <w:gridSpan w:val="2"/>
            <w:shd w:val="clear" w:color="auto" w:fill="FABF8F"/>
          </w:tcPr>
          <w:p w:rsidR="008D4EE5" w:rsidRPr="003479E5" w:rsidRDefault="008D4EE5" w:rsidP="00A67771">
            <w:pPr>
              <w:spacing w:before="120" w:after="120" w:line="276" w:lineRule="auto"/>
              <w:jc w:val="center"/>
              <w:rPr>
                <w:rFonts w:cs="Tahoma"/>
                <w:b/>
                <w:bCs/>
                <w:color w:val="000000"/>
                <w:szCs w:val="18"/>
                <w:lang w:eastAsia="ja-JP"/>
              </w:rPr>
            </w:pPr>
            <w:r>
              <w:rPr>
                <w:rFonts w:cs="Tahoma"/>
                <w:b/>
                <w:bCs/>
                <w:color w:val="000000"/>
                <w:szCs w:val="18"/>
              </w:rPr>
              <w:t>Qualifizierende Serversoftware*</w:t>
            </w:r>
          </w:p>
        </w:tc>
        <w:tc>
          <w:tcPr>
            <w:tcW w:w="1774" w:type="dxa"/>
            <w:shd w:val="clear" w:color="auto" w:fill="FABF8F"/>
          </w:tcPr>
          <w:p w:rsidR="008D4EE5" w:rsidRPr="003479E5" w:rsidRDefault="008D4EE5" w:rsidP="00A67771">
            <w:pPr>
              <w:spacing w:after="200" w:line="276" w:lineRule="auto"/>
              <w:jc w:val="center"/>
              <w:rPr>
                <w:rFonts w:cs="Tahoma"/>
                <w:b/>
                <w:bCs/>
                <w:color w:val="000000"/>
                <w:szCs w:val="18"/>
                <w:lang w:eastAsia="ja-JP"/>
              </w:rPr>
            </w:pPr>
          </w:p>
        </w:tc>
        <w:tc>
          <w:tcPr>
            <w:tcW w:w="1913" w:type="dxa"/>
            <w:shd w:val="clear" w:color="auto" w:fill="FABF8F"/>
          </w:tcPr>
          <w:p w:rsidR="008D4EE5" w:rsidRPr="003479E5" w:rsidRDefault="008D4EE5" w:rsidP="00A67771">
            <w:pPr>
              <w:spacing w:after="200" w:line="276" w:lineRule="auto"/>
              <w:jc w:val="center"/>
              <w:rPr>
                <w:rFonts w:cs="Tahoma"/>
                <w:b/>
                <w:bCs/>
                <w:color w:val="000000"/>
                <w:szCs w:val="18"/>
                <w:lang w:eastAsia="ja-JP"/>
              </w:rPr>
            </w:pPr>
          </w:p>
        </w:tc>
        <w:tc>
          <w:tcPr>
            <w:tcW w:w="1391" w:type="dxa"/>
            <w:shd w:val="clear" w:color="auto" w:fill="FABF8F"/>
          </w:tcPr>
          <w:p w:rsidR="008D4EE5" w:rsidRPr="003479E5" w:rsidRDefault="008D4EE5" w:rsidP="00A67771">
            <w:pPr>
              <w:spacing w:after="200" w:line="276" w:lineRule="auto"/>
              <w:jc w:val="center"/>
              <w:rPr>
                <w:rFonts w:cs="Tahoma"/>
                <w:b/>
                <w:bCs/>
                <w:color w:val="000000"/>
                <w:szCs w:val="18"/>
                <w:lang w:eastAsia="ja-JP"/>
              </w:rPr>
            </w:pPr>
          </w:p>
        </w:tc>
      </w:tr>
      <w:tr w:rsidR="008D4EE5" w:rsidRPr="003479E5" w:rsidTr="008623B7">
        <w:trPr>
          <w:tblHeader/>
        </w:trPr>
        <w:tc>
          <w:tcPr>
            <w:tcW w:w="1912" w:type="dxa"/>
            <w:shd w:val="clear" w:color="auto" w:fill="FABF8F"/>
            <w:vAlign w:val="center"/>
          </w:tcPr>
          <w:p w:rsidR="008D4EE5" w:rsidRPr="003479E5" w:rsidRDefault="008D4EE5" w:rsidP="00A67771">
            <w:pPr>
              <w:spacing w:before="120" w:after="120" w:line="276" w:lineRule="auto"/>
              <w:jc w:val="center"/>
              <w:rPr>
                <w:rFonts w:cs="Tahoma"/>
                <w:color w:val="000000"/>
                <w:szCs w:val="18"/>
                <w:lang w:eastAsia="ja-JP"/>
              </w:rPr>
            </w:pPr>
            <w:r>
              <w:rPr>
                <w:rFonts w:cs="Tahoma"/>
                <w:b/>
                <w:bCs/>
                <w:color w:val="000000"/>
                <w:szCs w:val="18"/>
              </w:rPr>
              <w:t>Windows Server</w:t>
            </w:r>
          </w:p>
        </w:tc>
        <w:tc>
          <w:tcPr>
            <w:tcW w:w="1848" w:type="dxa"/>
            <w:shd w:val="clear" w:color="auto" w:fill="FABF8F"/>
            <w:vAlign w:val="center"/>
          </w:tcPr>
          <w:p w:rsidR="008D4EE5" w:rsidRPr="003479E5" w:rsidRDefault="008D4EE5" w:rsidP="00A67771">
            <w:pPr>
              <w:spacing w:before="120" w:after="120" w:line="276" w:lineRule="auto"/>
              <w:jc w:val="center"/>
              <w:rPr>
                <w:rFonts w:cs="Tahoma"/>
                <w:color w:val="000000"/>
                <w:szCs w:val="18"/>
                <w:lang w:eastAsia="ja-JP"/>
              </w:rPr>
            </w:pPr>
            <w:r>
              <w:rPr>
                <w:rFonts w:cs="Tahoma"/>
                <w:b/>
                <w:bCs/>
                <w:color w:val="000000"/>
                <w:szCs w:val="18"/>
              </w:rPr>
              <w:t>SQL Server</w:t>
            </w:r>
          </w:p>
        </w:tc>
        <w:tc>
          <w:tcPr>
            <w:tcW w:w="1774" w:type="dxa"/>
            <w:shd w:val="clear" w:color="auto" w:fill="FABF8F"/>
            <w:vAlign w:val="center"/>
          </w:tcPr>
          <w:p w:rsidR="008D4EE5" w:rsidRPr="00897CAE" w:rsidRDefault="008D4EE5" w:rsidP="00A67771">
            <w:pPr>
              <w:spacing w:before="120" w:after="120" w:line="276" w:lineRule="auto"/>
              <w:jc w:val="center"/>
              <w:rPr>
                <w:rFonts w:cs="Tahoma"/>
                <w:b/>
                <w:bCs/>
                <w:color w:val="000000"/>
                <w:szCs w:val="18"/>
                <w:lang w:eastAsia="ja-JP"/>
              </w:rPr>
            </w:pPr>
            <w:r>
              <w:rPr>
                <w:rFonts w:cs="Tahoma"/>
                <w:b/>
                <w:bCs/>
                <w:color w:val="000000"/>
                <w:szCs w:val="18"/>
              </w:rPr>
              <w:t>Exchange Server</w:t>
            </w:r>
          </w:p>
        </w:tc>
        <w:tc>
          <w:tcPr>
            <w:tcW w:w="1913" w:type="dxa"/>
            <w:shd w:val="clear" w:color="auto" w:fill="FABF8F"/>
            <w:vAlign w:val="center"/>
          </w:tcPr>
          <w:p w:rsidR="008D4EE5" w:rsidRPr="00897CAE" w:rsidRDefault="008D4EE5" w:rsidP="00A67771">
            <w:pPr>
              <w:spacing w:before="120" w:after="120" w:line="276" w:lineRule="auto"/>
              <w:jc w:val="center"/>
              <w:rPr>
                <w:rFonts w:cs="Tahoma"/>
                <w:b/>
                <w:bCs/>
                <w:color w:val="000000"/>
                <w:szCs w:val="18"/>
                <w:lang w:eastAsia="ja-JP"/>
              </w:rPr>
            </w:pPr>
            <w:r>
              <w:rPr>
                <w:rFonts w:cs="Tahoma"/>
                <w:b/>
                <w:bCs/>
                <w:color w:val="000000"/>
                <w:szCs w:val="18"/>
              </w:rPr>
              <w:t>SharePoint Server</w:t>
            </w:r>
          </w:p>
        </w:tc>
        <w:tc>
          <w:tcPr>
            <w:tcW w:w="1391" w:type="dxa"/>
            <w:shd w:val="clear" w:color="auto" w:fill="FABF8F"/>
            <w:vAlign w:val="center"/>
          </w:tcPr>
          <w:p w:rsidR="008D4EE5" w:rsidRPr="00897CAE" w:rsidRDefault="008D4EE5" w:rsidP="00A67771">
            <w:pPr>
              <w:spacing w:before="120" w:after="120" w:line="276" w:lineRule="auto"/>
              <w:jc w:val="center"/>
              <w:rPr>
                <w:rFonts w:cs="Tahoma"/>
                <w:b/>
                <w:bCs/>
                <w:color w:val="000000"/>
                <w:szCs w:val="18"/>
                <w:lang w:eastAsia="ja-JP"/>
              </w:rPr>
            </w:pPr>
            <w:r>
              <w:rPr>
                <w:rFonts w:cs="Tahoma"/>
                <w:b/>
                <w:bCs/>
                <w:color w:val="000000"/>
                <w:szCs w:val="18"/>
              </w:rPr>
              <w:t>Lync Server</w:t>
            </w:r>
          </w:p>
        </w:tc>
      </w:tr>
      <w:tr w:rsidR="008D4EE5" w:rsidRPr="003479E5" w:rsidTr="00A67771">
        <w:tc>
          <w:tcPr>
            <w:tcW w:w="1912" w:type="dxa"/>
          </w:tcPr>
          <w:p w:rsidR="008D4EE5" w:rsidRPr="003479E5" w:rsidRDefault="008D4EE5" w:rsidP="00A67771">
            <w:pPr>
              <w:spacing w:after="200" w:line="276" w:lineRule="auto"/>
              <w:jc w:val="center"/>
              <w:rPr>
                <w:rFonts w:cs="Tahoma"/>
                <w:color w:val="000000"/>
                <w:szCs w:val="18"/>
                <w:lang w:eastAsia="ja-JP"/>
              </w:rPr>
            </w:pPr>
            <w:r>
              <w:rPr>
                <w:rFonts w:cs="Tahoma"/>
                <w:color w:val="000000"/>
                <w:szCs w:val="18"/>
              </w:rPr>
              <w:t>Windows Server Datacenter</w:t>
            </w:r>
          </w:p>
        </w:tc>
        <w:tc>
          <w:tcPr>
            <w:tcW w:w="1848" w:type="dxa"/>
          </w:tcPr>
          <w:p w:rsidR="008D4EE5" w:rsidRPr="003479E5" w:rsidRDefault="008D4EE5" w:rsidP="00A67771">
            <w:pPr>
              <w:spacing w:after="200" w:line="276" w:lineRule="auto"/>
              <w:jc w:val="center"/>
              <w:rPr>
                <w:rFonts w:cs="Tahoma"/>
                <w:color w:val="000000"/>
                <w:szCs w:val="18"/>
                <w:lang w:eastAsia="ja-JP"/>
              </w:rPr>
            </w:pPr>
            <w:r>
              <w:rPr>
                <w:rFonts w:cs="Tahoma"/>
                <w:color w:val="000000"/>
                <w:szCs w:val="18"/>
              </w:rPr>
              <w:t xml:space="preserve">SQL Server Parallel Data Warehouse </w:t>
            </w:r>
          </w:p>
        </w:tc>
        <w:tc>
          <w:tcPr>
            <w:tcW w:w="1774" w:type="dxa"/>
          </w:tcPr>
          <w:p w:rsidR="008D4EE5" w:rsidRPr="00897CAE" w:rsidRDefault="008D4EE5" w:rsidP="00A67771">
            <w:pPr>
              <w:spacing w:after="200" w:line="276" w:lineRule="auto"/>
              <w:jc w:val="center"/>
              <w:rPr>
                <w:rFonts w:cs="Tahoma"/>
                <w:color w:val="000000"/>
                <w:szCs w:val="18"/>
                <w:lang w:eastAsia="ja-JP"/>
              </w:rPr>
            </w:pPr>
            <w:r>
              <w:rPr>
                <w:rFonts w:cs="Tahoma"/>
                <w:color w:val="000000"/>
                <w:szCs w:val="18"/>
              </w:rPr>
              <w:t>Exchange Small Business Server</w:t>
            </w:r>
          </w:p>
        </w:tc>
        <w:tc>
          <w:tcPr>
            <w:tcW w:w="1913" w:type="dxa"/>
          </w:tcPr>
          <w:p w:rsidR="008D4EE5" w:rsidRPr="00897CAE" w:rsidRDefault="008D4EE5" w:rsidP="00A67771">
            <w:pPr>
              <w:spacing w:after="200" w:line="276" w:lineRule="auto"/>
              <w:jc w:val="center"/>
              <w:rPr>
                <w:rFonts w:cs="Tahoma"/>
                <w:color w:val="000000"/>
                <w:szCs w:val="18"/>
                <w:lang w:eastAsia="ja-JP"/>
              </w:rPr>
            </w:pPr>
            <w:r>
              <w:rPr>
                <w:rFonts w:cs="Tahoma"/>
                <w:color w:val="000000"/>
                <w:szCs w:val="18"/>
              </w:rPr>
              <w:t>SharePoint for Internet Sites Server Enterprise</w:t>
            </w:r>
          </w:p>
        </w:tc>
        <w:tc>
          <w:tcPr>
            <w:tcW w:w="1391" w:type="dxa"/>
          </w:tcPr>
          <w:p w:rsidR="008D4EE5" w:rsidRPr="00897CAE" w:rsidRDefault="008D4EE5" w:rsidP="00A67771">
            <w:pPr>
              <w:spacing w:after="200" w:line="276" w:lineRule="auto"/>
              <w:jc w:val="center"/>
              <w:rPr>
                <w:rFonts w:cs="Tahoma"/>
                <w:color w:val="000000"/>
                <w:szCs w:val="18"/>
                <w:lang w:eastAsia="ja-JP"/>
              </w:rPr>
            </w:pPr>
            <w:r>
              <w:rPr>
                <w:rFonts w:cs="Tahoma"/>
                <w:color w:val="000000"/>
                <w:szCs w:val="18"/>
              </w:rPr>
              <w:t>Lync Server 2010 Enterprise Edition</w:t>
            </w:r>
          </w:p>
        </w:tc>
      </w:tr>
      <w:tr w:rsidR="008D4EE5" w:rsidRPr="003479E5" w:rsidTr="00A67771">
        <w:tc>
          <w:tcPr>
            <w:tcW w:w="1912" w:type="dxa"/>
          </w:tcPr>
          <w:p w:rsidR="008D4EE5" w:rsidRPr="003479E5" w:rsidRDefault="008D4EE5" w:rsidP="00A67771">
            <w:pPr>
              <w:spacing w:after="200" w:line="276" w:lineRule="auto"/>
              <w:jc w:val="center"/>
              <w:rPr>
                <w:rFonts w:cs="Tahoma"/>
                <w:szCs w:val="18"/>
              </w:rPr>
            </w:pPr>
            <w:r>
              <w:rPr>
                <w:rFonts w:cs="Tahoma"/>
                <w:color w:val="000000"/>
                <w:szCs w:val="18"/>
              </w:rPr>
              <w:t>Windows Server Enterprise</w:t>
            </w:r>
          </w:p>
        </w:tc>
        <w:tc>
          <w:tcPr>
            <w:tcW w:w="1848" w:type="dxa"/>
          </w:tcPr>
          <w:p w:rsidR="008D4EE5" w:rsidRPr="003479E5" w:rsidRDefault="008D4EE5" w:rsidP="00A67771">
            <w:pPr>
              <w:spacing w:after="200" w:line="276" w:lineRule="auto"/>
              <w:jc w:val="center"/>
              <w:rPr>
                <w:rFonts w:cs="Tahoma"/>
                <w:szCs w:val="18"/>
                <w:lang w:eastAsia="ja-JP"/>
              </w:rPr>
            </w:pPr>
            <w:r>
              <w:rPr>
                <w:rFonts w:cs="Tahoma"/>
                <w:color w:val="000000"/>
                <w:szCs w:val="18"/>
              </w:rPr>
              <w:t>SQL Server Datacenter</w:t>
            </w:r>
          </w:p>
        </w:tc>
        <w:tc>
          <w:tcPr>
            <w:tcW w:w="1774" w:type="dxa"/>
          </w:tcPr>
          <w:p w:rsidR="008D4EE5" w:rsidRPr="00897CAE" w:rsidRDefault="008D4EE5" w:rsidP="00A67771">
            <w:pPr>
              <w:spacing w:after="200" w:line="276" w:lineRule="auto"/>
              <w:jc w:val="center"/>
              <w:rPr>
                <w:rFonts w:cs="Tahoma"/>
                <w:color w:val="000000"/>
                <w:szCs w:val="18"/>
                <w:lang w:eastAsia="ja-JP"/>
              </w:rPr>
            </w:pPr>
            <w:r>
              <w:rPr>
                <w:rFonts w:cs="Tahoma"/>
                <w:color w:val="000000"/>
                <w:szCs w:val="18"/>
              </w:rPr>
              <w:t>Exchange Server Enterprise</w:t>
            </w:r>
          </w:p>
        </w:tc>
        <w:tc>
          <w:tcPr>
            <w:tcW w:w="1913" w:type="dxa"/>
          </w:tcPr>
          <w:p w:rsidR="008D4EE5" w:rsidRPr="00897CAE" w:rsidRDefault="008D4EE5" w:rsidP="00A67771">
            <w:pPr>
              <w:spacing w:after="200" w:line="276" w:lineRule="auto"/>
              <w:jc w:val="center"/>
              <w:rPr>
                <w:rFonts w:cs="Tahoma"/>
                <w:color w:val="000000"/>
                <w:szCs w:val="18"/>
                <w:lang w:eastAsia="ja-JP"/>
              </w:rPr>
            </w:pPr>
            <w:r>
              <w:rPr>
                <w:rFonts w:cs="Tahoma"/>
                <w:color w:val="000000"/>
                <w:szCs w:val="18"/>
              </w:rPr>
              <w:t>SharePoint for Internet Sites Server Standard</w:t>
            </w:r>
          </w:p>
        </w:tc>
        <w:tc>
          <w:tcPr>
            <w:tcW w:w="1391" w:type="dxa"/>
          </w:tcPr>
          <w:p w:rsidR="008D4EE5" w:rsidRPr="00897CAE" w:rsidRDefault="008D4EE5" w:rsidP="00A67771">
            <w:pPr>
              <w:spacing w:after="200" w:line="276" w:lineRule="auto"/>
              <w:jc w:val="center"/>
              <w:rPr>
                <w:rFonts w:cs="Tahoma"/>
                <w:color w:val="000000"/>
                <w:szCs w:val="18"/>
                <w:lang w:eastAsia="ja-JP"/>
              </w:rPr>
            </w:pPr>
            <w:r>
              <w:rPr>
                <w:rFonts w:cs="Tahoma"/>
                <w:color w:val="000000"/>
                <w:szCs w:val="18"/>
              </w:rPr>
              <w:t>Lync Server 2010 Standard Edition</w:t>
            </w:r>
          </w:p>
        </w:tc>
      </w:tr>
      <w:tr w:rsidR="008D4EE5" w:rsidRPr="003479E5" w:rsidTr="00A67771">
        <w:tc>
          <w:tcPr>
            <w:tcW w:w="1912" w:type="dxa"/>
          </w:tcPr>
          <w:p w:rsidR="008D4EE5" w:rsidRPr="003479E5" w:rsidRDefault="008D4EE5" w:rsidP="00A67771">
            <w:pPr>
              <w:spacing w:after="200" w:line="276" w:lineRule="auto"/>
              <w:jc w:val="center"/>
              <w:rPr>
                <w:rFonts w:cs="Tahoma"/>
                <w:szCs w:val="18"/>
                <w:lang w:eastAsia="ja-JP"/>
              </w:rPr>
            </w:pPr>
            <w:r>
              <w:rPr>
                <w:rFonts w:cs="Tahoma"/>
                <w:color w:val="000000"/>
                <w:szCs w:val="18"/>
              </w:rPr>
              <w:t>Windows Server Standard</w:t>
            </w:r>
          </w:p>
        </w:tc>
        <w:tc>
          <w:tcPr>
            <w:tcW w:w="1848" w:type="dxa"/>
          </w:tcPr>
          <w:p w:rsidR="008D4EE5" w:rsidRPr="003479E5" w:rsidRDefault="008D4EE5" w:rsidP="00A67771">
            <w:pPr>
              <w:spacing w:after="200" w:line="276" w:lineRule="auto"/>
              <w:jc w:val="center"/>
              <w:rPr>
                <w:rFonts w:cs="Tahoma"/>
                <w:szCs w:val="18"/>
                <w:lang w:eastAsia="ja-JP"/>
              </w:rPr>
            </w:pPr>
            <w:r>
              <w:rPr>
                <w:rFonts w:cs="Tahoma"/>
                <w:szCs w:val="18"/>
              </w:rPr>
              <w:t>SQL Server Enterprise</w:t>
            </w:r>
          </w:p>
        </w:tc>
        <w:tc>
          <w:tcPr>
            <w:tcW w:w="1774" w:type="dxa"/>
          </w:tcPr>
          <w:p w:rsidR="008D4EE5" w:rsidRPr="00897CAE" w:rsidRDefault="008D4EE5" w:rsidP="00A67771">
            <w:pPr>
              <w:spacing w:after="200" w:line="276" w:lineRule="auto"/>
              <w:jc w:val="center"/>
              <w:rPr>
                <w:rFonts w:cs="Tahoma"/>
                <w:color w:val="000000"/>
                <w:szCs w:val="18"/>
                <w:lang w:eastAsia="ja-JP"/>
              </w:rPr>
            </w:pPr>
            <w:r>
              <w:rPr>
                <w:rFonts w:cs="Tahoma"/>
                <w:color w:val="000000"/>
                <w:szCs w:val="18"/>
              </w:rPr>
              <w:t>Exchange Server Standard</w:t>
            </w:r>
          </w:p>
        </w:tc>
        <w:tc>
          <w:tcPr>
            <w:tcW w:w="1913" w:type="dxa"/>
          </w:tcPr>
          <w:p w:rsidR="008D4EE5" w:rsidRPr="00897CAE" w:rsidRDefault="008D4EE5" w:rsidP="00A67771">
            <w:pPr>
              <w:spacing w:after="200" w:line="276" w:lineRule="auto"/>
              <w:jc w:val="center"/>
              <w:rPr>
                <w:rFonts w:cs="Tahoma"/>
                <w:color w:val="000000"/>
                <w:szCs w:val="18"/>
                <w:lang w:eastAsia="ja-JP"/>
              </w:rPr>
            </w:pPr>
            <w:r>
              <w:rPr>
                <w:rFonts w:cs="Tahoma"/>
                <w:color w:val="000000"/>
                <w:szCs w:val="18"/>
              </w:rPr>
              <w:t>SharePoint Server</w:t>
            </w:r>
          </w:p>
        </w:tc>
        <w:tc>
          <w:tcPr>
            <w:tcW w:w="1391" w:type="dxa"/>
          </w:tcPr>
          <w:p w:rsidR="008D4EE5" w:rsidRPr="00897CAE" w:rsidRDefault="008D4EE5" w:rsidP="00A67771">
            <w:pPr>
              <w:spacing w:after="200" w:line="276" w:lineRule="auto"/>
              <w:jc w:val="center"/>
              <w:rPr>
                <w:rFonts w:cs="Tahoma"/>
                <w:color w:val="000000"/>
                <w:szCs w:val="18"/>
                <w:lang w:eastAsia="ja-JP"/>
              </w:rPr>
            </w:pPr>
          </w:p>
        </w:tc>
      </w:tr>
      <w:tr w:rsidR="008D4EE5" w:rsidRPr="003479E5" w:rsidTr="00A67771">
        <w:tc>
          <w:tcPr>
            <w:tcW w:w="1912" w:type="dxa"/>
          </w:tcPr>
          <w:p w:rsidR="008D4EE5" w:rsidRPr="003479E5" w:rsidRDefault="008D4EE5" w:rsidP="00A67771">
            <w:pPr>
              <w:spacing w:after="200" w:line="276" w:lineRule="auto"/>
              <w:jc w:val="center"/>
              <w:rPr>
                <w:rFonts w:cs="Tahoma"/>
                <w:szCs w:val="18"/>
                <w:lang w:eastAsia="ja-JP"/>
              </w:rPr>
            </w:pPr>
            <w:r>
              <w:rPr>
                <w:rFonts w:cs="Tahoma"/>
                <w:szCs w:val="18"/>
              </w:rPr>
              <w:t>Windows Small Business Server Premium Add-On</w:t>
            </w:r>
          </w:p>
        </w:tc>
        <w:tc>
          <w:tcPr>
            <w:tcW w:w="1848" w:type="dxa"/>
          </w:tcPr>
          <w:p w:rsidR="008D4EE5" w:rsidRPr="003479E5" w:rsidRDefault="008D4EE5" w:rsidP="00A67771">
            <w:pPr>
              <w:spacing w:after="200" w:line="276" w:lineRule="auto"/>
              <w:jc w:val="center"/>
              <w:rPr>
                <w:rFonts w:cs="Tahoma"/>
                <w:szCs w:val="18"/>
                <w:lang w:eastAsia="ja-JP"/>
              </w:rPr>
            </w:pPr>
            <w:r>
              <w:rPr>
                <w:rFonts w:cs="Tahoma"/>
                <w:szCs w:val="18"/>
              </w:rPr>
              <w:t>SQL Server Standard</w:t>
            </w:r>
          </w:p>
        </w:tc>
        <w:tc>
          <w:tcPr>
            <w:tcW w:w="1774" w:type="dxa"/>
          </w:tcPr>
          <w:p w:rsidR="008D4EE5" w:rsidRPr="003479E5" w:rsidRDefault="008D4EE5" w:rsidP="00A67771">
            <w:pPr>
              <w:spacing w:after="200" w:line="276" w:lineRule="auto"/>
              <w:jc w:val="center"/>
              <w:rPr>
                <w:rFonts w:cs="Tahoma"/>
                <w:szCs w:val="18"/>
                <w:lang w:eastAsia="ja-JP"/>
              </w:rPr>
            </w:pPr>
          </w:p>
        </w:tc>
        <w:tc>
          <w:tcPr>
            <w:tcW w:w="1913" w:type="dxa"/>
          </w:tcPr>
          <w:p w:rsidR="008D4EE5" w:rsidRPr="003479E5" w:rsidRDefault="008D4EE5" w:rsidP="00A67771">
            <w:pPr>
              <w:spacing w:after="200" w:line="276" w:lineRule="auto"/>
              <w:jc w:val="center"/>
              <w:rPr>
                <w:rFonts w:cs="Tahoma"/>
                <w:szCs w:val="18"/>
                <w:lang w:eastAsia="ja-JP"/>
              </w:rPr>
            </w:pPr>
          </w:p>
        </w:tc>
        <w:tc>
          <w:tcPr>
            <w:tcW w:w="1391" w:type="dxa"/>
          </w:tcPr>
          <w:p w:rsidR="008D4EE5" w:rsidRPr="003479E5" w:rsidRDefault="008D4EE5" w:rsidP="00A67771">
            <w:pPr>
              <w:spacing w:after="200" w:line="276" w:lineRule="auto"/>
              <w:jc w:val="center"/>
              <w:rPr>
                <w:rFonts w:cs="Tahoma"/>
                <w:szCs w:val="18"/>
                <w:lang w:eastAsia="ja-JP"/>
              </w:rPr>
            </w:pPr>
          </w:p>
        </w:tc>
      </w:tr>
      <w:tr w:rsidR="008D4EE5" w:rsidRPr="003479E5" w:rsidTr="00A67771">
        <w:tc>
          <w:tcPr>
            <w:tcW w:w="1912" w:type="dxa"/>
          </w:tcPr>
          <w:p w:rsidR="008D4EE5" w:rsidRPr="003479E5" w:rsidRDefault="008D4EE5" w:rsidP="00A67771">
            <w:pPr>
              <w:spacing w:after="200" w:line="276" w:lineRule="auto"/>
              <w:jc w:val="center"/>
              <w:rPr>
                <w:rFonts w:cs="Tahoma"/>
                <w:szCs w:val="18"/>
                <w:lang w:eastAsia="ja-JP"/>
              </w:rPr>
            </w:pPr>
            <w:r>
              <w:rPr>
                <w:rFonts w:cs="Tahoma"/>
                <w:szCs w:val="18"/>
              </w:rPr>
              <w:t>Windows Small Business Server Standard</w:t>
            </w:r>
          </w:p>
        </w:tc>
        <w:tc>
          <w:tcPr>
            <w:tcW w:w="1848" w:type="dxa"/>
          </w:tcPr>
          <w:p w:rsidR="008D4EE5" w:rsidRPr="003479E5" w:rsidRDefault="008D4EE5" w:rsidP="00A67771">
            <w:pPr>
              <w:spacing w:after="200" w:line="276" w:lineRule="auto"/>
              <w:jc w:val="center"/>
              <w:rPr>
                <w:rFonts w:cs="Tahoma"/>
                <w:szCs w:val="18"/>
                <w:lang w:eastAsia="ja-JP"/>
              </w:rPr>
            </w:pPr>
            <w:r>
              <w:rPr>
                <w:rFonts w:cs="Tahoma"/>
                <w:szCs w:val="18"/>
              </w:rPr>
              <w:t>SQL Server Workgroup</w:t>
            </w:r>
          </w:p>
        </w:tc>
        <w:tc>
          <w:tcPr>
            <w:tcW w:w="1774" w:type="dxa"/>
          </w:tcPr>
          <w:p w:rsidR="008D4EE5" w:rsidRPr="003479E5" w:rsidRDefault="008D4EE5" w:rsidP="00A67771">
            <w:pPr>
              <w:spacing w:after="200" w:line="276" w:lineRule="auto"/>
              <w:jc w:val="center"/>
              <w:rPr>
                <w:rFonts w:cs="Tahoma"/>
                <w:szCs w:val="18"/>
                <w:lang w:eastAsia="ja-JP"/>
              </w:rPr>
            </w:pPr>
          </w:p>
        </w:tc>
        <w:tc>
          <w:tcPr>
            <w:tcW w:w="1913" w:type="dxa"/>
          </w:tcPr>
          <w:p w:rsidR="008D4EE5" w:rsidRPr="003479E5" w:rsidRDefault="008D4EE5" w:rsidP="00A67771">
            <w:pPr>
              <w:spacing w:after="200" w:line="276" w:lineRule="auto"/>
              <w:jc w:val="center"/>
              <w:rPr>
                <w:rFonts w:cs="Tahoma"/>
                <w:szCs w:val="18"/>
                <w:lang w:eastAsia="ja-JP"/>
              </w:rPr>
            </w:pPr>
          </w:p>
        </w:tc>
        <w:tc>
          <w:tcPr>
            <w:tcW w:w="1391" w:type="dxa"/>
          </w:tcPr>
          <w:p w:rsidR="008D4EE5" w:rsidRPr="003479E5" w:rsidRDefault="008D4EE5" w:rsidP="00A67771">
            <w:pPr>
              <w:spacing w:after="200" w:line="276" w:lineRule="auto"/>
              <w:jc w:val="center"/>
              <w:rPr>
                <w:rFonts w:cs="Tahoma"/>
                <w:szCs w:val="18"/>
                <w:lang w:eastAsia="ja-JP"/>
              </w:rPr>
            </w:pPr>
          </w:p>
        </w:tc>
      </w:tr>
      <w:tr w:rsidR="008D4EE5" w:rsidRPr="003479E5" w:rsidTr="00A67771">
        <w:tc>
          <w:tcPr>
            <w:tcW w:w="1912" w:type="dxa"/>
          </w:tcPr>
          <w:p w:rsidR="008D4EE5" w:rsidRPr="003479E5" w:rsidRDefault="008D4EE5" w:rsidP="00A67771">
            <w:pPr>
              <w:spacing w:after="200" w:line="276" w:lineRule="auto"/>
              <w:jc w:val="center"/>
              <w:rPr>
                <w:rFonts w:cs="Tahoma"/>
                <w:szCs w:val="18"/>
                <w:lang w:eastAsia="ja-JP"/>
              </w:rPr>
            </w:pPr>
            <w:r>
              <w:rPr>
                <w:rFonts w:cs="Tahoma"/>
                <w:szCs w:val="18"/>
              </w:rPr>
              <w:t>Windows Small Business Server Essentials</w:t>
            </w:r>
          </w:p>
        </w:tc>
        <w:tc>
          <w:tcPr>
            <w:tcW w:w="1848" w:type="dxa"/>
          </w:tcPr>
          <w:p w:rsidR="008D4EE5" w:rsidRPr="003479E5" w:rsidRDefault="008D4EE5" w:rsidP="00A67771">
            <w:pPr>
              <w:spacing w:after="200" w:line="276" w:lineRule="auto"/>
              <w:jc w:val="center"/>
              <w:rPr>
                <w:rFonts w:cs="Tahoma"/>
                <w:szCs w:val="18"/>
                <w:lang w:eastAsia="ja-JP"/>
              </w:rPr>
            </w:pPr>
            <w:r>
              <w:rPr>
                <w:rFonts w:cs="Tahoma"/>
                <w:szCs w:val="18"/>
              </w:rPr>
              <w:t>SQL Server Small Business</w:t>
            </w:r>
          </w:p>
        </w:tc>
        <w:tc>
          <w:tcPr>
            <w:tcW w:w="1774" w:type="dxa"/>
          </w:tcPr>
          <w:p w:rsidR="008D4EE5" w:rsidRPr="003479E5" w:rsidRDefault="008D4EE5" w:rsidP="00A67771">
            <w:pPr>
              <w:spacing w:after="200" w:line="276" w:lineRule="auto"/>
              <w:jc w:val="center"/>
              <w:rPr>
                <w:rFonts w:cs="Tahoma"/>
                <w:szCs w:val="18"/>
                <w:lang w:eastAsia="ja-JP"/>
              </w:rPr>
            </w:pPr>
          </w:p>
        </w:tc>
        <w:tc>
          <w:tcPr>
            <w:tcW w:w="1913" w:type="dxa"/>
          </w:tcPr>
          <w:p w:rsidR="008D4EE5" w:rsidRPr="003479E5" w:rsidRDefault="008D4EE5" w:rsidP="00A67771">
            <w:pPr>
              <w:spacing w:after="200" w:line="276" w:lineRule="auto"/>
              <w:jc w:val="center"/>
              <w:rPr>
                <w:rFonts w:cs="Tahoma"/>
                <w:szCs w:val="18"/>
                <w:lang w:eastAsia="ja-JP"/>
              </w:rPr>
            </w:pPr>
          </w:p>
        </w:tc>
        <w:tc>
          <w:tcPr>
            <w:tcW w:w="1391" w:type="dxa"/>
          </w:tcPr>
          <w:p w:rsidR="008D4EE5" w:rsidRPr="003479E5" w:rsidRDefault="008D4EE5" w:rsidP="00A67771">
            <w:pPr>
              <w:spacing w:after="200" w:line="276" w:lineRule="auto"/>
              <w:jc w:val="center"/>
              <w:rPr>
                <w:rFonts w:cs="Tahoma"/>
                <w:szCs w:val="18"/>
                <w:lang w:eastAsia="ja-JP"/>
              </w:rPr>
            </w:pPr>
          </w:p>
        </w:tc>
      </w:tr>
      <w:tr w:rsidR="008D4EE5" w:rsidRPr="003479E5" w:rsidTr="00A67771">
        <w:tc>
          <w:tcPr>
            <w:tcW w:w="1912" w:type="dxa"/>
          </w:tcPr>
          <w:p w:rsidR="008D4EE5" w:rsidRPr="003479E5" w:rsidRDefault="008D4EE5" w:rsidP="00A67771">
            <w:pPr>
              <w:spacing w:after="200" w:line="276" w:lineRule="auto"/>
              <w:jc w:val="center"/>
              <w:rPr>
                <w:rFonts w:cs="Tahoma"/>
                <w:szCs w:val="18"/>
                <w:lang w:eastAsia="ja-JP"/>
              </w:rPr>
            </w:pPr>
            <w:r>
              <w:rPr>
                <w:rFonts w:cs="Tahoma"/>
                <w:szCs w:val="18"/>
              </w:rPr>
              <w:t>Windows Web Server</w:t>
            </w:r>
          </w:p>
        </w:tc>
        <w:tc>
          <w:tcPr>
            <w:tcW w:w="1848" w:type="dxa"/>
          </w:tcPr>
          <w:p w:rsidR="008D4EE5" w:rsidRPr="003479E5" w:rsidRDefault="008D4EE5" w:rsidP="00A67771">
            <w:pPr>
              <w:spacing w:after="200" w:line="276" w:lineRule="auto"/>
              <w:jc w:val="center"/>
              <w:rPr>
                <w:rFonts w:cs="Tahoma"/>
                <w:szCs w:val="18"/>
                <w:lang w:eastAsia="ja-JP"/>
              </w:rPr>
            </w:pPr>
            <w:r>
              <w:rPr>
                <w:rFonts w:cs="Tahoma"/>
                <w:szCs w:val="18"/>
              </w:rPr>
              <w:t>SQL Server Web</w:t>
            </w:r>
          </w:p>
        </w:tc>
        <w:tc>
          <w:tcPr>
            <w:tcW w:w="1774" w:type="dxa"/>
          </w:tcPr>
          <w:p w:rsidR="008D4EE5" w:rsidRPr="003479E5" w:rsidRDefault="008D4EE5" w:rsidP="00A67771">
            <w:pPr>
              <w:spacing w:after="200" w:line="276" w:lineRule="auto"/>
              <w:jc w:val="center"/>
              <w:rPr>
                <w:rFonts w:cs="Tahoma"/>
                <w:szCs w:val="18"/>
                <w:lang w:eastAsia="ja-JP"/>
              </w:rPr>
            </w:pPr>
          </w:p>
        </w:tc>
        <w:tc>
          <w:tcPr>
            <w:tcW w:w="1913" w:type="dxa"/>
          </w:tcPr>
          <w:p w:rsidR="008D4EE5" w:rsidRPr="003479E5" w:rsidRDefault="008D4EE5" w:rsidP="00A67771">
            <w:pPr>
              <w:spacing w:after="200" w:line="276" w:lineRule="auto"/>
              <w:jc w:val="center"/>
              <w:rPr>
                <w:rFonts w:cs="Tahoma"/>
                <w:szCs w:val="18"/>
                <w:lang w:eastAsia="ja-JP"/>
              </w:rPr>
            </w:pPr>
          </w:p>
        </w:tc>
        <w:tc>
          <w:tcPr>
            <w:tcW w:w="1391" w:type="dxa"/>
          </w:tcPr>
          <w:p w:rsidR="008D4EE5" w:rsidRPr="003479E5" w:rsidRDefault="008D4EE5" w:rsidP="00A67771">
            <w:pPr>
              <w:spacing w:after="200" w:line="276" w:lineRule="auto"/>
              <w:jc w:val="center"/>
              <w:rPr>
                <w:rFonts w:cs="Tahoma"/>
                <w:szCs w:val="18"/>
                <w:lang w:eastAsia="ja-JP"/>
              </w:rPr>
            </w:pPr>
          </w:p>
        </w:tc>
      </w:tr>
      <w:tr w:rsidR="008D4EE5" w:rsidRPr="003479E5" w:rsidTr="00A67771">
        <w:tc>
          <w:tcPr>
            <w:tcW w:w="1912" w:type="dxa"/>
          </w:tcPr>
          <w:p w:rsidR="008D4EE5" w:rsidRPr="003479E5" w:rsidRDefault="008D4EE5" w:rsidP="00A67771">
            <w:pPr>
              <w:spacing w:after="200" w:line="276" w:lineRule="auto"/>
              <w:jc w:val="center"/>
              <w:rPr>
                <w:rFonts w:cs="Tahoma"/>
                <w:szCs w:val="18"/>
                <w:lang w:eastAsia="ja-JP"/>
              </w:rPr>
            </w:pPr>
            <w:r>
              <w:rPr>
                <w:rFonts w:cs="Tahoma"/>
                <w:szCs w:val="18"/>
              </w:rPr>
              <w:t>Windows HPC Server Suite</w:t>
            </w:r>
          </w:p>
        </w:tc>
        <w:tc>
          <w:tcPr>
            <w:tcW w:w="1848" w:type="dxa"/>
          </w:tcPr>
          <w:p w:rsidR="008D4EE5" w:rsidRPr="003479E5" w:rsidRDefault="008D4EE5" w:rsidP="00A67771">
            <w:pPr>
              <w:spacing w:after="200" w:line="276" w:lineRule="auto"/>
              <w:jc w:val="center"/>
              <w:rPr>
                <w:rFonts w:cs="Tahoma"/>
                <w:szCs w:val="18"/>
                <w:lang w:eastAsia="ja-JP"/>
              </w:rPr>
            </w:pPr>
            <w:r>
              <w:rPr>
                <w:rFonts w:cs="Tahoma"/>
                <w:szCs w:val="18"/>
              </w:rPr>
              <w:t>SQL Server Developer</w:t>
            </w:r>
          </w:p>
        </w:tc>
        <w:tc>
          <w:tcPr>
            <w:tcW w:w="1774" w:type="dxa"/>
          </w:tcPr>
          <w:p w:rsidR="008D4EE5" w:rsidRPr="003479E5" w:rsidRDefault="008D4EE5" w:rsidP="00A67771">
            <w:pPr>
              <w:spacing w:after="200" w:line="276" w:lineRule="auto"/>
              <w:jc w:val="center"/>
              <w:rPr>
                <w:rFonts w:cs="Tahoma"/>
                <w:szCs w:val="18"/>
                <w:lang w:eastAsia="ja-JP"/>
              </w:rPr>
            </w:pPr>
          </w:p>
        </w:tc>
        <w:tc>
          <w:tcPr>
            <w:tcW w:w="1913" w:type="dxa"/>
          </w:tcPr>
          <w:p w:rsidR="008D4EE5" w:rsidRPr="003479E5" w:rsidRDefault="008D4EE5" w:rsidP="00A67771">
            <w:pPr>
              <w:spacing w:after="200" w:line="276" w:lineRule="auto"/>
              <w:jc w:val="center"/>
              <w:rPr>
                <w:rFonts w:cs="Tahoma"/>
                <w:szCs w:val="18"/>
                <w:lang w:eastAsia="ja-JP"/>
              </w:rPr>
            </w:pPr>
          </w:p>
        </w:tc>
        <w:tc>
          <w:tcPr>
            <w:tcW w:w="1391" w:type="dxa"/>
          </w:tcPr>
          <w:p w:rsidR="008D4EE5" w:rsidRPr="003479E5" w:rsidRDefault="008D4EE5" w:rsidP="00A67771">
            <w:pPr>
              <w:spacing w:after="200" w:line="276" w:lineRule="auto"/>
              <w:jc w:val="center"/>
              <w:rPr>
                <w:rFonts w:cs="Tahoma"/>
                <w:szCs w:val="18"/>
                <w:lang w:eastAsia="ja-JP"/>
              </w:rPr>
            </w:pPr>
          </w:p>
        </w:tc>
      </w:tr>
      <w:tr w:rsidR="008D4EE5" w:rsidRPr="003479E5" w:rsidTr="00A67771">
        <w:tc>
          <w:tcPr>
            <w:tcW w:w="1912" w:type="dxa"/>
          </w:tcPr>
          <w:p w:rsidR="008D4EE5" w:rsidRPr="003479E5" w:rsidRDefault="008D4EE5" w:rsidP="00A67771">
            <w:pPr>
              <w:spacing w:after="200" w:line="276" w:lineRule="auto"/>
              <w:jc w:val="center"/>
              <w:rPr>
                <w:rFonts w:cs="Tahoma"/>
                <w:szCs w:val="18"/>
                <w:lang w:eastAsia="ja-JP"/>
              </w:rPr>
            </w:pPr>
            <w:r>
              <w:rPr>
                <w:rFonts w:cs="Tahoma"/>
                <w:szCs w:val="18"/>
              </w:rPr>
              <w:t>Windows Server HPC Edition</w:t>
            </w:r>
          </w:p>
        </w:tc>
        <w:tc>
          <w:tcPr>
            <w:tcW w:w="1848" w:type="dxa"/>
          </w:tcPr>
          <w:p w:rsidR="008D4EE5" w:rsidRPr="003479E5" w:rsidRDefault="008D4EE5" w:rsidP="00A67771">
            <w:pPr>
              <w:spacing w:after="200" w:line="276" w:lineRule="auto"/>
              <w:jc w:val="center"/>
              <w:rPr>
                <w:rFonts w:cs="Tahoma"/>
                <w:szCs w:val="18"/>
                <w:lang w:eastAsia="ja-JP"/>
              </w:rPr>
            </w:pPr>
            <w:r>
              <w:rPr>
                <w:rFonts w:cs="Tahoma"/>
                <w:szCs w:val="18"/>
              </w:rPr>
              <w:t>SQL Server Business Intelligence</w:t>
            </w:r>
          </w:p>
        </w:tc>
        <w:tc>
          <w:tcPr>
            <w:tcW w:w="1774" w:type="dxa"/>
          </w:tcPr>
          <w:p w:rsidR="008D4EE5" w:rsidRPr="003479E5" w:rsidRDefault="008D4EE5" w:rsidP="00A67771">
            <w:pPr>
              <w:spacing w:after="200" w:line="276" w:lineRule="auto"/>
              <w:jc w:val="center"/>
              <w:rPr>
                <w:rFonts w:cs="Tahoma"/>
                <w:szCs w:val="18"/>
                <w:lang w:eastAsia="ja-JP"/>
              </w:rPr>
            </w:pPr>
          </w:p>
        </w:tc>
        <w:tc>
          <w:tcPr>
            <w:tcW w:w="1913" w:type="dxa"/>
          </w:tcPr>
          <w:p w:rsidR="008D4EE5" w:rsidRPr="003479E5" w:rsidRDefault="008D4EE5" w:rsidP="00A67771">
            <w:pPr>
              <w:spacing w:after="200" w:line="276" w:lineRule="auto"/>
              <w:jc w:val="center"/>
              <w:rPr>
                <w:rFonts w:cs="Tahoma"/>
                <w:szCs w:val="18"/>
                <w:lang w:eastAsia="ja-JP"/>
              </w:rPr>
            </w:pPr>
          </w:p>
        </w:tc>
        <w:tc>
          <w:tcPr>
            <w:tcW w:w="1391" w:type="dxa"/>
          </w:tcPr>
          <w:p w:rsidR="008D4EE5" w:rsidRPr="003479E5" w:rsidRDefault="008D4EE5" w:rsidP="00A67771">
            <w:pPr>
              <w:spacing w:after="200" w:line="276" w:lineRule="auto"/>
              <w:jc w:val="center"/>
              <w:rPr>
                <w:rFonts w:cs="Tahoma"/>
                <w:szCs w:val="18"/>
                <w:lang w:eastAsia="ja-JP"/>
              </w:rPr>
            </w:pPr>
          </w:p>
        </w:tc>
      </w:tr>
      <w:tr w:rsidR="008D4EE5" w:rsidRPr="00FB51BA" w:rsidTr="00A67771">
        <w:tc>
          <w:tcPr>
            <w:tcW w:w="1912" w:type="dxa"/>
          </w:tcPr>
          <w:p w:rsidR="008D4EE5" w:rsidRPr="008849B7" w:rsidRDefault="008D4EE5" w:rsidP="00A67771">
            <w:pPr>
              <w:spacing w:after="200" w:line="276" w:lineRule="auto"/>
              <w:jc w:val="center"/>
              <w:rPr>
                <w:rFonts w:cs="Tahoma"/>
                <w:szCs w:val="18"/>
                <w:lang w:val="fr-FR" w:eastAsia="ja-JP"/>
              </w:rPr>
            </w:pPr>
            <w:r w:rsidRPr="008849B7">
              <w:rPr>
                <w:rFonts w:cs="Tahoma"/>
                <w:szCs w:val="18"/>
                <w:lang w:val="fr-FR"/>
              </w:rPr>
              <w:t xml:space="preserve">Core Infrastructure Server Suite Datacenter </w:t>
            </w:r>
          </w:p>
        </w:tc>
        <w:tc>
          <w:tcPr>
            <w:tcW w:w="1848" w:type="dxa"/>
          </w:tcPr>
          <w:p w:rsidR="008D4EE5" w:rsidRPr="008849B7" w:rsidRDefault="008D4EE5" w:rsidP="00A67771">
            <w:pPr>
              <w:spacing w:after="200" w:line="276" w:lineRule="auto"/>
              <w:jc w:val="center"/>
              <w:rPr>
                <w:rFonts w:cs="Tahoma"/>
                <w:szCs w:val="18"/>
                <w:lang w:val="fr-FR"/>
              </w:rPr>
            </w:pPr>
          </w:p>
        </w:tc>
        <w:tc>
          <w:tcPr>
            <w:tcW w:w="1774" w:type="dxa"/>
          </w:tcPr>
          <w:p w:rsidR="008D4EE5" w:rsidRPr="008849B7" w:rsidRDefault="008D4EE5" w:rsidP="00A67771">
            <w:pPr>
              <w:spacing w:after="200" w:line="276" w:lineRule="auto"/>
              <w:jc w:val="center"/>
              <w:rPr>
                <w:rFonts w:cs="Tahoma"/>
                <w:szCs w:val="18"/>
                <w:lang w:val="fr-FR"/>
              </w:rPr>
            </w:pPr>
          </w:p>
        </w:tc>
        <w:tc>
          <w:tcPr>
            <w:tcW w:w="1913" w:type="dxa"/>
          </w:tcPr>
          <w:p w:rsidR="008D4EE5" w:rsidRPr="008849B7" w:rsidRDefault="008D4EE5" w:rsidP="00A67771">
            <w:pPr>
              <w:spacing w:after="200" w:line="276" w:lineRule="auto"/>
              <w:jc w:val="center"/>
              <w:rPr>
                <w:rFonts w:cs="Tahoma"/>
                <w:szCs w:val="18"/>
                <w:lang w:val="fr-FR"/>
              </w:rPr>
            </w:pPr>
          </w:p>
        </w:tc>
        <w:tc>
          <w:tcPr>
            <w:tcW w:w="1391" w:type="dxa"/>
          </w:tcPr>
          <w:p w:rsidR="008D4EE5" w:rsidRPr="008849B7" w:rsidRDefault="008D4EE5" w:rsidP="00A67771">
            <w:pPr>
              <w:spacing w:after="200" w:line="276" w:lineRule="auto"/>
              <w:jc w:val="center"/>
              <w:rPr>
                <w:rFonts w:cs="Tahoma"/>
                <w:szCs w:val="18"/>
                <w:lang w:val="fr-FR"/>
              </w:rPr>
            </w:pPr>
          </w:p>
        </w:tc>
      </w:tr>
      <w:tr w:rsidR="008D4EE5" w:rsidRPr="00FB51BA" w:rsidTr="008623B7">
        <w:trPr>
          <w:cantSplit/>
        </w:trPr>
        <w:tc>
          <w:tcPr>
            <w:tcW w:w="1912" w:type="dxa"/>
          </w:tcPr>
          <w:p w:rsidR="008D4EE5" w:rsidRPr="008849B7" w:rsidRDefault="008D4EE5" w:rsidP="00A67771">
            <w:pPr>
              <w:spacing w:after="200" w:line="276" w:lineRule="auto"/>
              <w:jc w:val="center"/>
              <w:rPr>
                <w:rFonts w:cs="Tahoma"/>
                <w:szCs w:val="18"/>
                <w:lang w:val="fr-FR" w:eastAsia="ja-JP"/>
              </w:rPr>
            </w:pPr>
            <w:r w:rsidRPr="008849B7">
              <w:rPr>
                <w:rFonts w:cs="Tahoma"/>
                <w:szCs w:val="18"/>
                <w:lang w:val="fr-FR"/>
              </w:rPr>
              <w:t>Core Infrastructure Server Suite Enterprise</w:t>
            </w:r>
          </w:p>
        </w:tc>
        <w:tc>
          <w:tcPr>
            <w:tcW w:w="1848" w:type="dxa"/>
          </w:tcPr>
          <w:p w:rsidR="008D4EE5" w:rsidRPr="008849B7" w:rsidRDefault="008D4EE5" w:rsidP="00A67771">
            <w:pPr>
              <w:spacing w:after="200" w:line="276" w:lineRule="auto"/>
              <w:jc w:val="center"/>
              <w:rPr>
                <w:rFonts w:cs="Tahoma"/>
                <w:szCs w:val="18"/>
                <w:lang w:val="fr-FR"/>
              </w:rPr>
            </w:pPr>
          </w:p>
        </w:tc>
        <w:tc>
          <w:tcPr>
            <w:tcW w:w="1774" w:type="dxa"/>
          </w:tcPr>
          <w:p w:rsidR="008D4EE5" w:rsidRPr="008849B7" w:rsidRDefault="008D4EE5" w:rsidP="00A67771">
            <w:pPr>
              <w:spacing w:after="200" w:line="276" w:lineRule="auto"/>
              <w:jc w:val="center"/>
              <w:rPr>
                <w:rFonts w:cs="Tahoma"/>
                <w:szCs w:val="18"/>
                <w:lang w:val="fr-FR"/>
              </w:rPr>
            </w:pPr>
          </w:p>
        </w:tc>
        <w:tc>
          <w:tcPr>
            <w:tcW w:w="1913" w:type="dxa"/>
          </w:tcPr>
          <w:p w:rsidR="008D4EE5" w:rsidRPr="008849B7" w:rsidRDefault="008D4EE5" w:rsidP="00A67771">
            <w:pPr>
              <w:spacing w:after="200" w:line="276" w:lineRule="auto"/>
              <w:jc w:val="center"/>
              <w:rPr>
                <w:rFonts w:cs="Tahoma"/>
                <w:szCs w:val="18"/>
                <w:lang w:val="fr-FR"/>
              </w:rPr>
            </w:pPr>
          </w:p>
        </w:tc>
        <w:tc>
          <w:tcPr>
            <w:tcW w:w="1391" w:type="dxa"/>
          </w:tcPr>
          <w:p w:rsidR="008D4EE5" w:rsidRPr="008849B7" w:rsidRDefault="008D4EE5" w:rsidP="00A67771">
            <w:pPr>
              <w:spacing w:after="200" w:line="276" w:lineRule="auto"/>
              <w:jc w:val="center"/>
              <w:rPr>
                <w:rFonts w:cs="Tahoma"/>
                <w:szCs w:val="18"/>
                <w:lang w:val="fr-FR"/>
              </w:rPr>
            </w:pPr>
          </w:p>
        </w:tc>
      </w:tr>
      <w:tr w:rsidR="008D4EE5" w:rsidRPr="00FB51BA" w:rsidTr="008623B7">
        <w:tc>
          <w:tcPr>
            <w:tcW w:w="1912" w:type="dxa"/>
          </w:tcPr>
          <w:p w:rsidR="008D4EE5" w:rsidRPr="008849B7" w:rsidRDefault="008D4EE5" w:rsidP="00A67771">
            <w:pPr>
              <w:spacing w:after="200" w:line="276" w:lineRule="auto"/>
              <w:jc w:val="center"/>
              <w:rPr>
                <w:rFonts w:cs="Tahoma"/>
                <w:szCs w:val="18"/>
                <w:lang w:val="fr-FR" w:eastAsia="ja-JP"/>
              </w:rPr>
            </w:pPr>
            <w:r w:rsidRPr="008849B7">
              <w:rPr>
                <w:rFonts w:cs="Tahoma"/>
                <w:szCs w:val="18"/>
                <w:lang w:val="fr-FR"/>
              </w:rPr>
              <w:t>Core Infrastructure Server Suite Standard</w:t>
            </w:r>
          </w:p>
        </w:tc>
        <w:tc>
          <w:tcPr>
            <w:tcW w:w="1848" w:type="dxa"/>
          </w:tcPr>
          <w:p w:rsidR="008D4EE5" w:rsidRPr="008849B7" w:rsidRDefault="008D4EE5" w:rsidP="00A67771">
            <w:pPr>
              <w:spacing w:after="200" w:line="276" w:lineRule="auto"/>
              <w:jc w:val="center"/>
              <w:rPr>
                <w:rFonts w:cs="Tahoma"/>
                <w:szCs w:val="18"/>
                <w:lang w:val="fr-FR"/>
              </w:rPr>
            </w:pPr>
          </w:p>
        </w:tc>
        <w:tc>
          <w:tcPr>
            <w:tcW w:w="1774" w:type="dxa"/>
          </w:tcPr>
          <w:p w:rsidR="008D4EE5" w:rsidRPr="008849B7" w:rsidRDefault="008D4EE5" w:rsidP="00A67771">
            <w:pPr>
              <w:spacing w:after="200" w:line="276" w:lineRule="auto"/>
              <w:jc w:val="center"/>
              <w:rPr>
                <w:rFonts w:cs="Tahoma"/>
                <w:szCs w:val="18"/>
                <w:lang w:val="fr-FR"/>
              </w:rPr>
            </w:pPr>
          </w:p>
        </w:tc>
        <w:tc>
          <w:tcPr>
            <w:tcW w:w="1913" w:type="dxa"/>
          </w:tcPr>
          <w:p w:rsidR="008D4EE5" w:rsidRPr="008849B7" w:rsidRDefault="008D4EE5" w:rsidP="00A67771">
            <w:pPr>
              <w:spacing w:after="200" w:line="276" w:lineRule="auto"/>
              <w:jc w:val="center"/>
              <w:rPr>
                <w:rFonts w:cs="Tahoma"/>
                <w:szCs w:val="18"/>
                <w:lang w:val="fr-FR"/>
              </w:rPr>
            </w:pPr>
          </w:p>
        </w:tc>
        <w:tc>
          <w:tcPr>
            <w:tcW w:w="1391" w:type="dxa"/>
          </w:tcPr>
          <w:p w:rsidR="008D4EE5" w:rsidRPr="008849B7" w:rsidRDefault="008D4EE5" w:rsidP="00A67771">
            <w:pPr>
              <w:spacing w:after="200" w:line="276" w:lineRule="auto"/>
              <w:jc w:val="center"/>
              <w:rPr>
                <w:rFonts w:cs="Tahoma"/>
                <w:szCs w:val="18"/>
                <w:lang w:val="fr-FR"/>
              </w:rPr>
            </w:pPr>
          </w:p>
        </w:tc>
      </w:tr>
    </w:tbl>
    <w:p w:rsidR="008D4EE5" w:rsidRPr="00551726" w:rsidRDefault="008D4EE5" w:rsidP="008D4EE5">
      <w:pPr>
        <w:rPr>
          <w:sz w:val="20"/>
          <w:szCs w:val="20"/>
          <w:lang w:val="fr-FR"/>
        </w:rPr>
      </w:pPr>
    </w:p>
    <w:p w:rsidR="008D4EE5" w:rsidRPr="006257A7" w:rsidRDefault="008D4EE5" w:rsidP="008D4EE5">
      <w:pPr>
        <w:rPr>
          <w:lang w:val="de-DE"/>
        </w:rPr>
      </w:pPr>
      <w:r w:rsidRPr="008849B7">
        <w:rPr>
          <w:rFonts w:cs="Tahoma"/>
          <w:bCs/>
          <w:szCs w:val="18"/>
          <w:lang w:val="fr-FR"/>
        </w:rPr>
        <w:t>*Software Assurance für CALs für Qualifizierende Serversoftware qualifiziert Kunden nicht zur Software Assurance-Vergünstigung System Center Advisor</w:t>
      </w:r>
      <w:r w:rsidR="006257A7">
        <w:rPr>
          <w:rFonts w:cs="Tahoma"/>
          <w:bCs/>
          <w:szCs w:val="18"/>
          <w:lang w:val="fr-FR"/>
        </w:rPr>
        <w:t xml:space="preserve">. </w:t>
      </w:r>
      <w:r w:rsidRPr="006257A7">
        <w:rPr>
          <w:rFonts w:cs="Tahoma"/>
          <w:bCs/>
          <w:szCs w:val="18"/>
          <w:lang w:val="de-DE"/>
        </w:rPr>
        <w:t>Kunden müssen für die Softwarelizenzen, unter denen die Qualifizierende Serversoftware ausgeführt wird, über Software Assurance verfügen</w:t>
      </w:r>
      <w:r w:rsidR="006257A7" w:rsidRPr="006257A7">
        <w:rPr>
          <w:rFonts w:cs="Tahoma"/>
          <w:bCs/>
          <w:szCs w:val="18"/>
          <w:lang w:val="de-DE"/>
        </w:rPr>
        <w:t xml:space="preserve">. </w:t>
      </w:r>
    </w:p>
    <w:p w:rsidR="008D4EE5" w:rsidRPr="006257A7" w:rsidRDefault="008D4EE5" w:rsidP="008D4EE5">
      <w:pPr>
        <w:rPr>
          <w:sz w:val="20"/>
          <w:szCs w:val="20"/>
          <w:lang w:val="de-DE"/>
        </w:rPr>
      </w:pPr>
    </w:p>
    <w:p w:rsidR="008D4EE5" w:rsidRPr="008849B7" w:rsidRDefault="008D4EE5" w:rsidP="008D4EE5">
      <w:pPr>
        <w:rPr>
          <w:lang w:val="de-DE"/>
        </w:rPr>
      </w:pPr>
      <w:r w:rsidRPr="008849B7">
        <w:rPr>
          <w:rFonts w:cs="Tahoma"/>
          <w:szCs w:val="18"/>
          <w:lang w:val="de-DE"/>
        </w:rPr>
        <w:t>Kunden mit aktiver Software Assurance für Management-Lizenzen, die in der Tabelle unten angegeben sind, sind berechtigt, System Center Advisor wie in den Produktbenutzungsrechten dargelegt zu verwenden</w:t>
      </w:r>
      <w:r w:rsidR="006257A7">
        <w:rPr>
          <w:rFonts w:cs="Tahoma"/>
          <w:szCs w:val="18"/>
          <w:lang w:val="de-DE"/>
        </w:rPr>
        <w:t xml:space="preserve">. </w:t>
      </w:r>
    </w:p>
    <w:p w:rsidR="008D4EE5" w:rsidRPr="00551726" w:rsidRDefault="008D4EE5" w:rsidP="008D4EE5">
      <w:pPr>
        <w:outlineLvl w:val="2"/>
        <w:rPr>
          <w:sz w:val="20"/>
          <w:szCs w:val="20"/>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8D4EE5" w:rsidRPr="002765CF" w:rsidTr="00A6777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8D4EE5" w:rsidRPr="002765CF" w:rsidRDefault="008D4EE5" w:rsidP="00A67771">
            <w:pPr>
              <w:spacing w:before="120" w:after="120" w:line="276" w:lineRule="auto"/>
              <w:jc w:val="center"/>
              <w:rPr>
                <w:rFonts w:cs="Tahoma"/>
                <w:b/>
                <w:color w:val="000000"/>
                <w:szCs w:val="18"/>
                <w:lang w:eastAsia="ja-JP"/>
              </w:rPr>
            </w:pPr>
            <w:r>
              <w:rPr>
                <w:rFonts w:cs="Tahoma"/>
                <w:b/>
                <w:color w:val="000000"/>
                <w:szCs w:val="18"/>
              </w:rPr>
              <w:t>Qualifizierende Management-Lizenzen</w:t>
            </w:r>
          </w:p>
        </w:tc>
      </w:tr>
      <w:tr w:rsidR="008D4EE5" w:rsidTr="00A6777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8D4EE5" w:rsidRDefault="008D4EE5" w:rsidP="00A67771">
            <w:pPr>
              <w:spacing w:before="120" w:after="120"/>
              <w:jc w:val="center"/>
              <w:rPr>
                <w:rFonts w:cs="Tahoma"/>
                <w:color w:val="000000"/>
                <w:szCs w:val="18"/>
                <w:lang w:eastAsia="ja-JP"/>
              </w:rPr>
            </w:pPr>
            <w:r>
              <w:rPr>
                <w:rFonts w:cs="Tahoma"/>
                <w:color w:val="000000"/>
                <w:szCs w:val="18"/>
              </w:rPr>
              <w:t>Server-Management-Lizenz für System Center 2012 Datacenter</w:t>
            </w:r>
          </w:p>
        </w:tc>
      </w:tr>
      <w:tr w:rsidR="008D4EE5" w:rsidRPr="00FB51BA" w:rsidTr="00A6777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8D4EE5" w:rsidRPr="008849B7" w:rsidRDefault="008D4EE5" w:rsidP="00A67771">
            <w:pPr>
              <w:spacing w:before="120" w:after="120" w:line="276" w:lineRule="auto"/>
              <w:jc w:val="center"/>
              <w:rPr>
                <w:rFonts w:cs="Tahoma"/>
                <w:szCs w:val="18"/>
                <w:lang w:val="de-DE"/>
              </w:rPr>
            </w:pPr>
            <w:r w:rsidRPr="008849B7">
              <w:rPr>
                <w:rFonts w:cs="Tahoma"/>
                <w:color w:val="000000"/>
                <w:szCs w:val="18"/>
                <w:lang w:val="de-DE"/>
              </w:rPr>
              <w:t>Server-Management-Lizenz für System Center 2012 Standard</w:t>
            </w:r>
          </w:p>
        </w:tc>
      </w:tr>
    </w:tbl>
    <w:p w:rsidR="008D4EE5" w:rsidRPr="008849B7" w:rsidRDefault="008D4EE5" w:rsidP="008D4EE5">
      <w:pPr>
        <w:keepNext/>
        <w:keepLines/>
        <w:spacing w:before="40" w:line="259" w:lineRule="auto"/>
        <w:outlineLvl w:val="2"/>
        <w:rPr>
          <w:lang w:val="de-DE"/>
        </w:rPr>
      </w:pPr>
      <w:bookmarkStart w:id="751" w:name="_Toc336338239"/>
      <w:r w:rsidRPr="00551726">
        <w:rPr>
          <w:rFonts w:eastAsiaTheme="majorEastAsia" w:cs="Tahoma"/>
          <w:vanish/>
          <w:color w:val="000000"/>
          <w:sz w:val="20"/>
          <w:szCs w:val="20"/>
          <w:lang w:val="de-DE"/>
        </w:rPr>
        <w:cr/>
      </w:r>
      <w:r w:rsidRPr="008849B7">
        <w:rPr>
          <w:rFonts w:eastAsiaTheme="majorEastAsia" w:cs="Tahoma"/>
          <w:b/>
          <w:color w:val="000000"/>
          <w:sz w:val="24"/>
          <w:szCs w:val="18"/>
          <w:lang w:val="de-DE"/>
        </w:rPr>
        <w:t>Globaler System Center-Dienstmonitor</w:t>
      </w:r>
    </w:p>
    <w:p w:rsidR="008D4EE5" w:rsidRPr="008849B7" w:rsidRDefault="008D4EE5" w:rsidP="00FF301E">
      <w:pPr>
        <w:rPr>
          <w:lang w:val="de-DE"/>
        </w:rPr>
      </w:pPr>
      <w:r w:rsidRPr="008849B7">
        <w:rPr>
          <w:rFonts w:cs="Tahoma"/>
          <w:szCs w:val="18"/>
          <w:lang w:val="de-DE"/>
        </w:rPr>
        <w:t>Kunden mit aktiver Software Assurance für Management-Lizenzen, die in der Tabelle unten angegeben sind, sind</w:t>
      </w:r>
      <w:r w:rsidR="00FF301E">
        <w:rPr>
          <w:rFonts w:cs="Tahoma"/>
          <w:szCs w:val="18"/>
          <w:lang w:val="de-DE"/>
        </w:rPr>
        <w:t> </w:t>
      </w:r>
      <w:r w:rsidRPr="008849B7">
        <w:rPr>
          <w:rFonts w:cs="Tahoma"/>
          <w:szCs w:val="18"/>
          <w:lang w:val="de-DE"/>
        </w:rPr>
        <w:t>berechtigt, einen globalen System Center-Dienstmonitor wie in den Produktbenutzungsrechten dargelegt zu verwenden</w:t>
      </w:r>
      <w:r w:rsidR="006257A7">
        <w:rPr>
          <w:rFonts w:cs="Tahoma"/>
          <w:szCs w:val="18"/>
          <w:lang w:val="de-DE"/>
        </w:rPr>
        <w:t xml:space="preserve">. </w:t>
      </w:r>
    </w:p>
    <w:p w:rsidR="008D4EE5" w:rsidRPr="00551726" w:rsidRDefault="008D4EE5" w:rsidP="008D4EE5">
      <w:pPr>
        <w:rPr>
          <w:sz w:val="20"/>
          <w:szCs w:val="20"/>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8D4EE5" w:rsidRPr="000E6E21" w:rsidTr="00A6777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8D4EE5" w:rsidRPr="007E466C" w:rsidRDefault="008D4EE5" w:rsidP="00A67771">
            <w:pPr>
              <w:spacing w:before="120" w:after="120"/>
              <w:jc w:val="center"/>
              <w:rPr>
                <w:rFonts w:cs="Tahoma"/>
                <w:b/>
                <w:szCs w:val="18"/>
              </w:rPr>
            </w:pPr>
            <w:r>
              <w:rPr>
                <w:rFonts w:cs="Tahoma"/>
                <w:b/>
                <w:szCs w:val="18"/>
              </w:rPr>
              <w:t>Qualifizierende Management-Lizenzen</w:t>
            </w:r>
          </w:p>
        </w:tc>
      </w:tr>
      <w:tr w:rsidR="008D4EE5" w:rsidRPr="000E6E21" w:rsidTr="00A6777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8D4EE5" w:rsidRPr="007E466C" w:rsidRDefault="008D4EE5" w:rsidP="00A67771">
            <w:pPr>
              <w:spacing w:before="120" w:after="120"/>
              <w:jc w:val="center"/>
              <w:rPr>
                <w:rFonts w:cs="Tahoma"/>
                <w:szCs w:val="18"/>
              </w:rPr>
            </w:pPr>
            <w:r>
              <w:rPr>
                <w:rFonts w:cs="Tahoma"/>
                <w:szCs w:val="18"/>
              </w:rPr>
              <w:t>Server-Management-Lizenz für System Center Datacenter</w:t>
            </w:r>
          </w:p>
        </w:tc>
      </w:tr>
      <w:tr w:rsidR="008D4EE5" w:rsidRPr="00FB51BA" w:rsidTr="00A6777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8D4EE5" w:rsidRPr="008849B7" w:rsidRDefault="008D4EE5" w:rsidP="00A67771">
            <w:pPr>
              <w:spacing w:before="120" w:after="120"/>
              <w:jc w:val="center"/>
              <w:rPr>
                <w:rFonts w:cs="Tahoma"/>
                <w:szCs w:val="18"/>
                <w:lang w:val="de-DE"/>
              </w:rPr>
            </w:pPr>
            <w:r w:rsidRPr="008849B7">
              <w:rPr>
                <w:rFonts w:cs="Tahoma"/>
                <w:szCs w:val="18"/>
                <w:lang w:val="de-DE"/>
              </w:rPr>
              <w:t>Server-Management-Lizenz für System Center Standard</w:t>
            </w:r>
          </w:p>
        </w:tc>
      </w:tr>
    </w:tbl>
    <w:p w:rsidR="008D4EE5" w:rsidRPr="00551726" w:rsidRDefault="008D4EE5" w:rsidP="008D4EE5">
      <w:pPr>
        <w:rPr>
          <w:sz w:val="20"/>
          <w:szCs w:val="20"/>
          <w:lang w:val="de-DE"/>
        </w:rPr>
      </w:pPr>
    </w:p>
    <w:p w:rsidR="008D4EE5" w:rsidRPr="008849B7" w:rsidRDefault="008D4EE5" w:rsidP="008D4EE5">
      <w:pPr>
        <w:pStyle w:val="Heading3"/>
        <w:rPr>
          <w:lang w:val="de-DE"/>
        </w:rPr>
      </w:pPr>
      <w:bookmarkStart w:id="752" w:name="_Toc363998977"/>
      <w:r w:rsidRPr="008849B7">
        <w:rPr>
          <w:rFonts w:ascii="Tahoma" w:hAnsi="Tahoma" w:cs="Tahoma"/>
          <w:sz w:val="24"/>
          <w:lang w:val="de-DE"/>
        </w:rPr>
        <w:t>„Cold Backup“ für die Wiederherstellung im Notfall</w:t>
      </w:r>
      <w:bookmarkEnd w:id="751"/>
      <w:bookmarkEnd w:id="752"/>
      <w:r w:rsidRPr="008849B7">
        <w:rPr>
          <w:rFonts w:ascii="Tahoma" w:hAnsi="Tahoma" w:cs="Tahoma"/>
          <w:sz w:val="24"/>
          <w:lang w:val="de-DE"/>
        </w:rPr>
        <w:t xml:space="preserve"> </w:t>
      </w:r>
    </w:p>
    <w:p w:rsidR="008D4EE5" w:rsidRPr="00551726" w:rsidRDefault="008D4EE5" w:rsidP="008D4EE5">
      <w:pPr>
        <w:rPr>
          <w:sz w:val="20"/>
          <w:szCs w:val="20"/>
          <w:lang w:val="de-DE"/>
        </w:rPr>
      </w:pPr>
    </w:p>
    <w:p w:rsidR="008D4EE5" w:rsidRPr="008849B7" w:rsidRDefault="008D4EE5" w:rsidP="008D4EE5">
      <w:pPr>
        <w:rPr>
          <w:lang w:val="de-DE"/>
        </w:rPr>
      </w:pPr>
      <w:r w:rsidRPr="008849B7">
        <w:rPr>
          <w:rFonts w:eastAsia="Calibri" w:cs="Tahoma"/>
          <w:szCs w:val="18"/>
          <w:lang w:val="de-DE"/>
        </w:rPr>
        <w:t>Kunden mit Software Assurance für qualifizierende Serverprodukte und zugehörige CALs haben Anspruch auf zusätzliche Serverlizenzen für diese Produkte zum Zwecke der Wiederherstellung im Notfall</w:t>
      </w:r>
      <w:r w:rsidR="006257A7">
        <w:rPr>
          <w:rFonts w:eastAsia="Calibri" w:cs="Tahoma"/>
          <w:szCs w:val="18"/>
          <w:lang w:val="de-DE"/>
        </w:rPr>
        <w:t xml:space="preserve">. </w:t>
      </w:r>
    </w:p>
    <w:p w:rsidR="008D4EE5" w:rsidRPr="00551726" w:rsidRDefault="008D4EE5" w:rsidP="008D4EE5">
      <w:pPr>
        <w:rPr>
          <w:sz w:val="20"/>
          <w:szCs w:val="20"/>
          <w:lang w:val="de-DE"/>
        </w:rPr>
      </w:pPr>
    </w:p>
    <w:p w:rsidR="008D4EE5" w:rsidRPr="008849B7" w:rsidRDefault="008D4EE5" w:rsidP="008D4EE5">
      <w:pPr>
        <w:pStyle w:val="AppendixFlushBulletedList"/>
        <w:tabs>
          <w:tab w:val="clear" w:pos="360"/>
          <w:tab w:val="num" w:pos="0"/>
        </w:tabs>
        <w:ind w:left="0" w:firstLine="0"/>
        <w:rPr>
          <w:lang w:val="de-DE"/>
        </w:rPr>
      </w:pPr>
      <w:r w:rsidRPr="008849B7">
        <w:rPr>
          <w:rFonts w:ascii="Tahoma" w:hAnsi="Tahoma" w:cs="Tahoma"/>
          <w:sz w:val="18"/>
          <w:szCs w:val="18"/>
          <w:lang w:val="de-DE"/>
        </w:rPr>
        <w:t>In Bezug auf jede qualifizierende Serverlizenz, (i) die ein Kunde bei SA angemeldet hat und (ii) für die der Kunde alle zugehörigen CALs (sofern für das Produkt erforderlich) bei SA angemeldet hat, wird angenommen, dass der Kunde über eine zweite Serverlizenz verfügt, unter der er dasselbe Produkt auf einem „Cold Backup-Server“ ausschließlich zu Zwecken der Wiederherstellung im Notfall während der Software Assurance-Laufzeit bereitstellen kann</w:t>
      </w:r>
      <w:r w:rsidR="006257A7">
        <w:rPr>
          <w:rFonts w:ascii="Tahoma" w:hAnsi="Tahoma" w:cs="Tahoma"/>
          <w:sz w:val="18"/>
          <w:szCs w:val="18"/>
          <w:lang w:val="de-DE"/>
        </w:rPr>
        <w:t xml:space="preserve">. </w:t>
      </w:r>
      <w:r w:rsidRPr="008849B7">
        <w:rPr>
          <w:rFonts w:ascii="Tahoma" w:hAnsi="Tahoma" w:cs="Tahoma"/>
          <w:sz w:val="18"/>
          <w:szCs w:val="18"/>
          <w:lang w:val="de-DE"/>
        </w:rPr>
        <w:t>Die Bereitstellung und Nutzung von Software durch Kunden im Rahmen der Lizenzen für die Wiederherstellung im Notfall unterliegt den Bestimmungen ihres Lizenzvertrages</w:t>
      </w:r>
      <w:r w:rsidR="006257A7">
        <w:rPr>
          <w:rFonts w:ascii="Tahoma" w:hAnsi="Tahoma" w:cs="Tahoma"/>
          <w:sz w:val="18"/>
          <w:szCs w:val="18"/>
          <w:lang w:val="de-DE"/>
        </w:rPr>
        <w:t xml:space="preserve">. </w:t>
      </w:r>
    </w:p>
    <w:p w:rsidR="008D4EE5" w:rsidRPr="00551726" w:rsidRDefault="008D4EE5" w:rsidP="008D4EE5">
      <w:pPr>
        <w:pStyle w:val="AppendixBodyText"/>
        <w:spacing w:after="0"/>
        <w:rPr>
          <w:rFonts w:ascii="Tahoma" w:hAnsi="Tahoma" w:cs="Tahoma"/>
          <w:sz w:val="22"/>
          <w:szCs w:val="22"/>
          <w:lang w:val="de-DE"/>
        </w:rPr>
      </w:pPr>
    </w:p>
    <w:p w:rsidR="008D4EE5" w:rsidRPr="008849B7" w:rsidRDefault="008D4EE5" w:rsidP="008D4EE5">
      <w:pPr>
        <w:pStyle w:val="Heading3"/>
        <w:rPr>
          <w:lang w:val="de-DE"/>
        </w:rPr>
      </w:pPr>
      <w:bookmarkStart w:id="753" w:name="_Toc336338240"/>
      <w:bookmarkStart w:id="754" w:name="_Toc363998978"/>
      <w:r w:rsidRPr="008849B7">
        <w:rPr>
          <w:rFonts w:ascii="Tahoma" w:hAnsi="Tahoma" w:cs="Tahoma"/>
          <w:sz w:val="24"/>
          <w:lang w:val="de-DE"/>
        </w:rPr>
        <w:t>TechNet SA-Abonnementservices</w:t>
      </w:r>
      <w:bookmarkEnd w:id="753"/>
      <w:bookmarkEnd w:id="754"/>
    </w:p>
    <w:p w:rsidR="008D4EE5" w:rsidRPr="008849B7" w:rsidRDefault="008D4EE5" w:rsidP="008D4EE5">
      <w:pPr>
        <w:rPr>
          <w:lang w:val="de-DE"/>
        </w:rPr>
      </w:pPr>
    </w:p>
    <w:p w:rsidR="008D4EE5" w:rsidRPr="008849B7" w:rsidRDefault="008D4EE5" w:rsidP="008623B7">
      <w:pPr>
        <w:pStyle w:val="AppendixBodyText"/>
        <w:spacing w:after="0"/>
        <w:rPr>
          <w:lang w:val="de-DE"/>
        </w:rPr>
      </w:pPr>
      <w:r w:rsidRPr="008849B7">
        <w:rPr>
          <w:rFonts w:ascii="Tahoma" w:eastAsia="Calibri" w:hAnsi="Tahoma" w:cs="Tahoma"/>
          <w:sz w:val="18"/>
          <w:szCs w:val="18"/>
          <w:lang w:val="de-DE"/>
        </w:rPr>
        <w:t>Kunden mit Software Assurance für qualifizierende Produkte innerhalb des Server-Pools haben während der Software</w:t>
      </w:r>
      <w:r w:rsidR="008623B7">
        <w:rPr>
          <w:rFonts w:ascii="Tahoma" w:eastAsia="Calibri" w:hAnsi="Tahoma" w:cs="Tahoma"/>
          <w:sz w:val="18"/>
          <w:szCs w:val="18"/>
          <w:lang w:val="de-DE"/>
        </w:rPr>
        <w:t> </w:t>
      </w:r>
      <w:r w:rsidRPr="008849B7">
        <w:rPr>
          <w:rFonts w:ascii="Tahoma" w:eastAsia="Calibri" w:hAnsi="Tahoma" w:cs="Tahoma"/>
          <w:sz w:val="18"/>
          <w:szCs w:val="18"/>
          <w:lang w:val="de-DE"/>
        </w:rPr>
        <w:t>Assurance-Laufzeit Anspruch auf Support durch TechNet SA-Abonnementservices</w:t>
      </w:r>
      <w:r w:rsidR="006257A7">
        <w:rPr>
          <w:rFonts w:ascii="Tahoma" w:eastAsia="Calibri" w:hAnsi="Tahoma" w:cs="Tahoma"/>
          <w:sz w:val="18"/>
          <w:szCs w:val="18"/>
          <w:lang w:val="de-DE"/>
        </w:rPr>
        <w:t xml:space="preserve">. </w:t>
      </w:r>
      <w:r w:rsidRPr="008849B7">
        <w:rPr>
          <w:rFonts w:ascii="Tahoma" w:hAnsi="Tahoma" w:cs="Tahoma"/>
          <w:sz w:val="18"/>
          <w:szCs w:val="18"/>
          <w:lang w:val="de-DE"/>
        </w:rPr>
        <w:t>Hierdurch erhalten IT-Fachleute Antworten auf technische Fragen von Branchenkollegen</w:t>
      </w:r>
      <w:r w:rsidR="006257A7">
        <w:rPr>
          <w:rFonts w:ascii="Tahoma" w:hAnsi="Tahoma" w:cs="Tahoma"/>
          <w:sz w:val="18"/>
          <w:szCs w:val="18"/>
          <w:lang w:val="de-DE"/>
        </w:rPr>
        <w:t xml:space="preserve">. </w:t>
      </w:r>
      <w:r w:rsidRPr="008849B7">
        <w:rPr>
          <w:rFonts w:ascii="Tahoma" w:hAnsi="Tahoma" w:cs="Tahoma"/>
          <w:sz w:val="18"/>
          <w:szCs w:val="18"/>
          <w:lang w:val="de-DE"/>
        </w:rPr>
        <w:t>Supportfachleute von Microsoft beobachten die Newsgroups, um die Genauigkeit der Informationen sicherzustellen</w:t>
      </w:r>
      <w:r w:rsidR="006257A7">
        <w:rPr>
          <w:rFonts w:ascii="Tahoma" w:hAnsi="Tahoma" w:cs="Tahoma"/>
          <w:sz w:val="18"/>
          <w:szCs w:val="18"/>
          <w:lang w:val="de-DE"/>
        </w:rPr>
        <w:t xml:space="preserve">. </w:t>
      </w:r>
      <w:r w:rsidRPr="008849B7">
        <w:rPr>
          <w:rFonts w:ascii="Tahoma" w:hAnsi="Tahoma" w:cs="Tahoma"/>
          <w:sz w:val="18"/>
          <w:szCs w:val="18"/>
          <w:lang w:val="de-DE"/>
        </w:rPr>
        <w:t>Berechtigte Kunden erhalten Nutzer-IDs, die ihnen den Zugriff auf die Onlinedienste ermöglichen</w:t>
      </w:r>
      <w:r w:rsidR="006257A7">
        <w:rPr>
          <w:rFonts w:ascii="Tahoma" w:hAnsi="Tahoma" w:cs="Tahoma"/>
          <w:sz w:val="18"/>
          <w:szCs w:val="18"/>
          <w:lang w:val="de-DE"/>
        </w:rPr>
        <w:t xml:space="preserve">. </w:t>
      </w:r>
    </w:p>
    <w:p w:rsidR="008D4EE5" w:rsidRPr="008849B7" w:rsidRDefault="008D4EE5" w:rsidP="008D4EE5">
      <w:pPr>
        <w:pStyle w:val="AppendixBodyText"/>
        <w:spacing w:after="0"/>
        <w:rPr>
          <w:lang w:val="de-DE"/>
        </w:rPr>
      </w:pPr>
    </w:p>
    <w:p w:rsidR="008D4EE5" w:rsidRPr="008849B7" w:rsidRDefault="008D4EE5" w:rsidP="008D4EE5">
      <w:pPr>
        <w:pStyle w:val="AppendixBodyText"/>
        <w:spacing w:after="0"/>
        <w:rPr>
          <w:lang w:val="de-DE"/>
        </w:rPr>
      </w:pPr>
      <w:r w:rsidRPr="008849B7">
        <w:rPr>
          <w:rFonts w:ascii="Tahoma" w:hAnsi="Tahoma" w:cs="Tahoma"/>
          <w:sz w:val="18"/>
          <w:szCs w:val="18"/>
          <w:lang w:val="de-DE"/>
        </w:rPr>
        <w:t>Die Kunden erhalten eine Nutzer-ID für jedes berechtigte Produkt mit Software Assurance, wie nachfolgend dargestellt:</w:t>
      </w:r>
    </w:p>
    <w:p w:rsidR="008D4EE5" w:rsidRPr="008849B7" w:rsidRDefault="008D4EE5" w:rsidP="008D4EE5">
      <w:pPr>
        <w:pStyle w:val="AppendixBodyText"/>
        <w:spacing w:after="0"/>
        <w:rPr>
          <w:lang w:val="de-DE"/>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8D4EE5" w:rsidTr="00A67771">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Default="008D4EE5" w:rsidP="00A67771">
            <w:pPr>
              <w:pStyle w:val="AppendixTableHeadings"/>
              <w:keepNext/>
              <w:rPr>
                <w:rFonts w:ascii="Tahoma" w:hAnsi="Tahoma" w:cs="Tahoma"/>
                <w:sz w:val="20"/>
                <w:szCs w:val="20"/>
              </w:rPr>
            </w:pPr>
            <w:r>
              <w:rPr>
                <w:rFonts w:ascii="Tahoma" w:hAnsi="Tahoma" w:cs="Tahoma"/>
                <w:sz w:val="20"/>
                <w:szCs w:val="20"/>
              </w:rPr>
              <w:t>Produkt-Pools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Pr="008849B7" w:rsidRDefault="008D4EE5" w:rsidP="00A67771">
            <w:pPr>
              <w:pStyle w:val="AppendixTableHeadings"/>
              <w:rPr>
                <w:rFonts w:ascii="Tahoma" w:hAnsi="Tahoma" w:cs="Tahoma"/>
                <w:sz w:val="20"/>
                <w:szCs w:val="20"/>
                <w:lang w:val="de-DE"/>
              </w:rPr>
            </w:pPr>
            <w:r w:rsidRPr="008849B7">
              <w:rPr>
                <w:rFonts w:ascii="Tahoma" w:hAnsi="Tahoma" w:cs="Tahoma"/>
                <w:sz w:val="20"/>
                <w:szCs w:val="20"/>
                <w:lang w:val="de-DE"/>
              </w:rPr>
              <w:t>Open-Lizenz, Open Value Subscription – Bildungslösungen, Open Value und Forschung &amp; Lehre mit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8D4EE5" w:rsidRDefault="008D4EE5" w:rsidP="00A67771">
            <w:pPr>
              <w:pStyle w:val="AppendixTableHeadings"/>
              <w:rPr>
                <w:rFonts w:ascii="Tahoma" w:hAnsi="Tahoma" w:cs="Tahoma"/>
                <w:sz w:val="20"/>
                <w:szCs w:val="20"/>
              </w:rPr>
            </w:pPr>
            <w:r>
              <w:rPr>
                <w:rFonts w:ascii="Tahoma" w:hAnsi="Tahoma" w:cs="Tahoma"/>
                <w:sz w:val="20"/>
                <w:szCs w:val="20"/>
              </w:rPr>
              <w:t>Select/Select Plus/EA</w:t>
            </w:r>
          </w:p>
        </w:tc>
      </w:tr>
      <w:tr w:rsidR="008D4EE5" w:rsidTr="00A67771">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8D4EE5" w:rsidRPr="007E466C" w:rsidRDefault="008D4EE5" w:rsidP="00A67771">
            <w:pPr>
              <w:pStyle w:val="AppendixTableText"/>
              <w:keepNext/>
              <w:rPr>
                <w:rFonts w:ascii="Tahoma" w:hAnsi="Tahoma" w:cs="Tahoma"/>
                <w:b/>
              </w:rPr>
            </w:pPr>
            <w:r>
              <w:rPr>
                <w:rFonts w:ascii="Tahoma" w:hAnsi="Tahoma" w:cs="Tahoma"/>
                <w:b/>
                <w:sz w:val="20"/>
              </w:rPr>
              <w:t>Server-Pool</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8D4EE5" w:rsidRPr="008849B7" w:rsidRDefault="008D4EE5" w:rsidP="00A67771">
            <w:pPr>
              <w:pStyle w:val="AppendixTableText"/>
              <w:rPr>
                <w:lang w:val="de-DE"/>
              </w:rPr>
            </w:pPr>
            <w:r w:rsidRPr="008849B7">
              <w:rPr>
                <w:rFonts w:ascii="Tahoma" w:hAnsi="Tahoma" w:cs="Tahoma"/>
                <w:lang w:val="de-DE"/>
              </w:rPr>
              <w:t>1 Nutzer-ID pro</w:t>
            </w:r>
          </w:p>
          <w:p w:rsidR="008D4EE5" w:rsidRPr="008849B7" w:rsidRDefault="008D4EE5" w:rsidP="00A67771">
            <w:pPr>
              <w:pStyle w:val="AppendixTableText"/>
              <w:rPr>
                <w:lang w:val="de-DE"/>
              </w:rPr>
            </w:pPr>
            <w:r w:rsidRPr="008849B7">
              <w:rPr>
                <w:rFonts w:ascii="Tahoma" w:hAnsi="Tahoma" w:cs="Tahoma"/>
                <w:lang w:val="de-DE"/>
              </w:rPr>
              <w:t>Serverlizenz</w:t>
            </w:r>
          </w:p>
          <w:p w:rsidR="008D4EE5" w:rsidRPr="008849B7" w:rsidRDefault="008D4EE5" w:rsidP="00FF301E">
            <w:pPr>
              <w:pStyle w:val="AppendixTableText"/>
              <w:rPr>
                <w:rFonts w:ascii="Tahoma" w:hAnsi="Tahoma" w:cs="Tahoma"/>
                <w:lang w:val="de-DE"/>
              </w:rPr>
            </w:pPr>
            <w:r w:rsidRPr="008849B7">
              <w:rPr>
                <w:rFonts w:ascii="Tahoma" w:hAnsi="Tahoma" w:cs="Tahoma"/>
                <w:lang w:val="de-DE"/>
              </w:rPr>
              <w:t>(sobald das SA-Erfordernis von 5</w:t>
            </w:r>
            <w:r w:rsidR="00FF301E">
              <w:rPr>
                <w:rFonts w:ascii="Tahoma" w:hAnsi="Tahoma" w:cs="Tahoma"/>
                <w:lang w:val="de-DE"/>
              </w:rPr>
              <w:t> </w:t>
            </w:r>
            <w:r w:rsidRPr="008849B7">
              <w:rPr>
                <w:rFonts w:ascii="Tahoma" w:hAnsi="Tahoma" w:cs="Tahoma"/>
                <w:lang w:val="de-DE"/>
              </w:rPr>
              <w:t>Servern erfüllt ist)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8D4EE5" w:rsidRPr="0062435A" w:rsidRDefault="008D4EE5" w:rsidP="00A67771">
            <w:pPr>
              <w:pStyle w:val="AppendixTableText"/>
            </w:pPr>
            <w:r>
              <w:rPr>
                <w:rFonts w:ascii="Tahoma" w:hAnsi="Tahoma" w:cs="Tahoma"/>
              </w:rPr>
              <w:t>1 Nutzer-ID pro</w:t>
            </w:r>
          </w:p>
          <w:p w:rsidR="008D4EE5" w:rsidRDefault="008D4EE5" w:rsidP="00A67771">
            <w:pPr>
              <w:pStyle w:val="AppendixTableText"/>
              <w:rPr>
                <w:rFonts w:ascii="Tahoma" w:hAnsi="Tahoma" w:cs="Tahoma"/>
              </w:rPr>
            </w:pPr>
            <w:r>
              <w:rPr>
                <w:rFonts w:ascii="Tahoma" w:hAnsi="Tahoma" w:cs="Tahoma"/>
              </w:rPr>
              <w:t>Serverlizenz</w:t>
            </w:r>
          </w:p>
        </w:tc>
      </w:tr>
    </w:tbl>
    <w:p w:rsidR="008D4EE5" w:rsidRPr="0062435A" w:rsidRDefault="008D4EE5" w:rsidP="008D4EE5">
      <w:pPr>
        <w:pStyle w:val="AppendixBodyText"/>
      </w:pPr>
    </w:p>
    <w:p w:rsidR="008D4EE5" w:rsidRPr="0062435A" w:rsidRDefault="008D4EE5" w:rsidP="008D4EE5">
      <w:pPr>
        <w:pStyle w:val="AppendixBodyText"/>
        <w:spacing w:after="0"/>
      </w:pPr>
    </w:p>
    <w:tbl>
      <w:tblPr>
        <w:tblpPr w:leftFromText="180" w:rightFromText="180" w:vertAnchor="text" w:horzAnchor="margin" w:tblpX="77" w:tblpY="-94"/>
        <w:tblW w:w="963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9"/>
        <w:gridCol w:w="1080"/>
        <w:gridCol w:w="1260"/>
        <w:gridCol w:w="1440"/>
        <w:gridCol w:w="1620"/>
        <w:gridCol w:w="1260"/>
        <w:gridCol w:w="1530"/>
      </w:tblGrid>
      <w:tr w:rsidR="008623B7" w:rsidRPr="00FB51BA" w:rsidTr="008623B7">
        <w:trPr>
          <w:trHeight w:val="178"/>
        </w:trPr>
        <w:tc>
          <w:tcPr>
            <w:tcW w:w="1449" w:type="dxa"/>
            <w:shd w:val="clear" w:color="auto" w:fill="FFCC99"/>
            <w:vAlign w:val="center"/>
          </w:tcPr>
          <w:p w:rsidR="008D4EE5" w:rsidRDefault="008D4EE5" w:rsidP="00A67771">
            <w:pPr>
              <w:pStyle w:val="AppendixTableHeadings"/>
              <w:keepNext/>
              <w:spacing w:line="240" w:lineRule="auto"/>
              <w:rPr>
                <w:rFonts w:ascii="Tahoma" w:hAnsi="Tahoma" w:cs="Tahoma"/>
                <w:sz w:val="20"/>
                <w:szCs w:val="20"/>
              </w:rPr>
            </w:pPr>
            <w:r>
              <w:rPr>
                <w:rFonts w:ascii="Tahoma" w:hAnsi="Tahoma" w:cs="Tahoma"/>
                <w:sz w:val="20"/>
                <w:szCs w:val="20"/>
              </w:rPr>
              <w:t>Produkt-Pools</w:t>
            </w:r>
          </w:p>
        </w:tc>
        <w:tc>
          <w:tcPr>
            <w:tcW w:w="1080" w:type="dxa"/>
            <w:shd w:val="clear" w:color="auto" w:fill="FFCC99"/>
            <w:vAlign w:val="center"/>
          </w:tcPr>
          <w:p w:rsidR="008D4EE5" w:rsidRDefault="008D4EE5" w:rsidP="00A67771">
            <w:pPr>
              <w:pStyle w:val="AppendixTableHeadings"/>
              <w:keepNext/>
              <w:spacing w:line="240" w:lineRule="auto"/>
              <w:rPr>
                <w:rFonts w:ascii="Tahoma" w:hAnsi="Tahoma" w:cs="Tahoma"/>
                <w:sz w:val="20"/>
                <w:szCs w:val="20"/>
              </w:rPr>
            </w:pPr>
            <w:r>
              <w:rPr>
                <w:rFonts w:ascii="Tahoma" w:hAnsi="Tahoma" w:cs="Tahoma"/>
                <w:sz w:val="20"/>
                <w:szCs w:val="20"/>
              </w:rPr>
              <w:t>Open Value mit SAM</w:t>
            </w:r>
          </w:p>
        </w:tc>
        <w:tc>
          <w:tcPr>
            <w:tcW w:w="1260" w:type="dxa"/>
            <w:shd w:val="clear" w:color="auto" w:fill="FFCC99"/>
            <w:vAlign w:val="center"/>
          </w:tcPr>
          <w:p w:rsidR="008D4EE5" w:rsidRPr="0062435A" w:rsidRDefault="008D4EE5" w:rsidP="00A67771">
            <w:pPr>
              <w:pStyle w:val="AppendixTableHeadings"/>
              <w:keepNext/>
              <w:spacing w:line="240" w:lineRule="auto"/>
            </w:pPr>
            <w:r>
              <w:rPr>
                <w:rFonts w:ascii="Tahoma" w:hAnsi="Tahoma" w:cs="Tahoma"/>
                <w:sz w:val="20"/>
                <w:szCs w:val="20"/>
              </w:rPr>
              <w:t>SAM</w:t>
            </w:r>
          </w:p>
          <w:p w:rsidR="008D4EE5" w:rsidRDefault="008D4EE5" w:rsidP="00102660">
            <w:pPr>
              <w:pStyle w:val="AppendixTableHeadings"/>
              <w:keepNext/>
              <w:spacing w:line="240" w:lineRule="auto"/>
              <w:rPr>
                <w:rFonts w:ascii="Tahoma" w:hAnsi="Tahoma" w:cs="Tahoma"/>
                <w:sz w:val="20"/>
                <w:szCs w:val="20"/>
              </w:rPr>
            </w:pPr>
            <w:r>
              <w:rPr>
                <w:rFonts w:ascii="Tahoma" w:hAnsi="Tahoma" w:cs="Tahoma"/>
                <w:sz w:val="20"/>
                <w:szCs w:val="20"/>
              </w:rPr>
              <w:t>250-2</w:t>
            </w:r>
            <w:r w:rsidR="006257A7">
              <w:rPr>
                <w:rFonts w:ascii="Tahoma" w:hAnsi="Tahoma" w:cs="Tahoma"/>
                <w:sz w:val="20"/>
                <w:szCs w:val="20"/>
              </w:rPr>
              <w:t>.</w:t>
            </w:r>
            <w:r>
              <w:rPr>
                <w:rFonts w:ascii="Tahoma" w:hAnsi="Tahoma" w:cs="Tahoma"/>
                <w:sz w:val="20"/>
                <w:szCs w:val="20"/>
              </w:rPr>
              <w:t xml:space="preserve">399 </w:t>
            </w:r>
          </w:p>
        </w:tc>
        <w:tc>
          <w:tcPr>
            <w:tcW w:w="1440" w:type="dxa"/>
            <w:shd w:val="clear" w:color="auto" w:fill="FFCC99"/>
            <w:vAlign w:val="center"/>
          </w:tcPr>
          <w:p w:rsidR="008D4EE5" w:rsidRPr="0062435A" w:rsidRDefault="008D4EE5" w:rsidP="00A67771">
            <w:pPr>
              <w:pStyle w:val="AppendixTableHeadings"/>
              <w:keepNext/>
              <w:spacing w:line="240" w:lineRule="auto"/>
            </w:pPr>
            <w:r>
              <w:rPr>
                <w:rFonts w:ascii="Tahoma" w:hAnsi="Tahoma" w:cs="Tahoma"/>
                <w:sz w:val="20"/>
                <w:szCs w:val="20"/>
              </w:rPr>
              <w:t>SAM</w:t>
            </w:r>
          </w:p>
          <w:p w:rsidR="008D4EE5" w:rsidRDefault="008D4EE5" w:rsidP="00102660">
            <w:pPr>
              <w:pStyle w:val="AppendixTableHeadings"/>
              <w:keepNext/>
              <w:spacing w:line="240" w:lineRule="auto"/>
              <w:rPr>
                <w:rFonts w:ascii="Tahoma" w:hAnsi="Tahoma" w:cs="Tahoma"/>
                <w:sz w:val="20"/>
                <w:szCs w:val="20"/>
              </w:rPr>
            </w:pPr>
            <w:r>
              <w:rPr>
                <w:rFonts w:ascii="Tahoma" w:hAnsi="Tahoma" w:cs="Tahoma"/>
                <w:sz w:val="20"/>
                <w:szCs w:val="20"/>
              </w:rPr>
              <w:t>2</w:t>
            </w:r>
            <w:r w:rsidR="00102660">
              <w:rPr>
                <w:rFonts w:ascii="Tahoma" w:hAnsi="Tahoma" w:cs="Tahoma"/>
                <w:sz w:val="20"/>
                <w:szCs w:val="20"/>
              </w:rPr>
              <w:t>.</w:t>
            </w:r>
            <w:r>
              <w:rPr>
                <w:rFonts w:ascii="Tahoma" w:hAnsi="Tahoma" w:cs="Tahoma"/>
                <w:sz w:val="20"/>
                <w:szCs w:val="20"/>
              </w:rPr>
              <w:t>400-5</w:t>
            </w:r>
            <w:r w:rsidR="006257A7">
              <w:rPr>
                <w:rFonts w:ascii="Tahoma" w:hAnsi="Tahoma" w:cs="Tahoma"/>
                <w:sz w:val="20"/>
                <w:szCs w:val="20"/>
              </w:rPr>
              <w:t>.</w:t>
            </w:r>
            <w:r>
              <w:rPr>
                <w:rFonts w:ascii="Tahoma" w:hAnsi="Tahoma" w:cs="Tahoma"/>
                <w:sz w:val="20"/>
                <w:szCs w:val="20"/>
              </w:rPr>
              <w:t>999</w:t>
            </w:r>
          </w:p>
        </w:tc>
        <w:tc>
          <w:tcPr>
            <w:tcW w:w="1620" w:type="dxa"/>
            <w:shd w:val="clear" w:color="auto" w:fill="FFCC99"/>
            <w:vAlign w:val="center"/>
          </w:tcPr>
          <w:p w:rsidR="008D4EE5" w:rsidRPr="0062435A" w:rsidRDefault="008D4EE5" w:rsidP="00A67771">
            <w:pPr>
              <w:pStyle w:val="AppendixTableHeadings"/>
              <w:keepNext/>
              <w:spacing w:line="240" w:lineRule="auto"/>
            </w:pPr>
            <w:r>
              <w:rPr>
                <w:rFonts w:ascii="Tahoma" w:hAnsi="Tahoma" w:cs="Tahoma"/>
                <w:sz w:val="20"/>
                <w:szCs w:val="20"/>
              </w:rPr>
              <w:t>SAM</w:t>
            </w:r>
          </w:p>
          <w:p w:rsidR="008D4EE5" w:rsidRDefault="008D4EE5" w:rsidP="008623B7">
            <w:pPr>
              <w:pStyle w:val="AppendixTableHeadings"/>
              <w:keepNext/>
              <w:spacing w:line="240" w:lineRule="auto"/>
              <w:rPr>
                <w:rFonts w:ascii="Tahoma" w:hAnsi="Tahoma" w:cs="Tahoma"/>
                <w:sz w:val="20"/>
                <w:szCs w:val="20"/>
              </w:rPr>
            </w:pPr>
            <w:r>
              <w:rPr>
                <w:rFonts w:ascii="Tahoma" w:hAnsi="Tahoma" w:cs="Tahoma"/>
                <w:sz w:val="20"/>
                <w:szCs w:val="20"/>
              </w:rPr>
              <w:t>6</w:t>
            </w:r>
            <w:r w:rsidR="00102660">
              <w:rPr>
                <w:rFonts w:ascii="Tahoma" w:hAnsi="Tahoma" w:cs="Tahoma"/>
                <w:sz w:val="20"/>
                <w:szCs w:val="20"/>
              </w:rPr>
              <w:t>.</w:t>
            </w:r>
            <w:r>
              <w:rPr>
                <w:rFonts w:ascii="Tahoma" w:hAnsi="Tahoma" w:cs="Tahoma"/>
                <w:sz w:val="20"/>
                <w:szCs w:val="20"/>
              </w:rPr>
              <w:t>000-14</w:t>
            </w:r>
            <w:r w:rsidR="00102660">
              <w:rPr>
                <w:rFonts w:ascii="Tahoma" w:hAnsi="Tahoma" w:cs="Tahoma"/>
                <w:sz w:val="20"/>
                <w:szCs w:val="20"/>
              </w:rPr>
              <w:t>.</w:t>
            </w:r>
            <w:r>
              <w:rPr>
                <w:rFonts w:ascii="Tahoma" w:hAnsi="Tahoma" w:cs="Tahoma"/>
                <w:sz w:val="20"/>
                <w:szCs w:val="20"/>
              </w:rPr>
              <w:t>999</w:t>
            </w:r>
          </w:p>
        </w:tc>
        <w:tc>
          <w:tcPr>
            <w:tcW w:w="1260" w:type="dxa"/>
            <w:shd w:val="clear" w:color="auto" w:fill="FFCC99"/>
            <w:vAlign w:val="center"/>
          </w:tcPr>
          <w:p w:rsidR="008D4EE5" w:rsidRPr="0062435A" w:rsidRDefault="008D4EE5" w:rsidP="00A67771">
            <w:pPr>
              <w:pStyle w:val="AppendixTableHeadings"/>
              <w:keepNext/>
              <w:spacing w:line="240" w:lineRule="auto"/>
            </w:pPr>
            <w:r>
              <w:rPr>
                <w:rFonts w:ascii="Tahoma" w:hAnsi="Tahoma" w:cs="Tahoma"/>
                <w:sz w:val="20"/>
                <w:szCs w:val="20"/>
              </w:rPr>
              <w:t>SAM</w:t>
            </w:r>
          </w:p>
          <w:p w:rsidR="008D4EE5" w:rsidRDefault="008D4EE5" w:rsidP="008623B7">
            <w:pPr>
              <w:pStyle w:val="AppendixTableHeadings"/>
              <w:keepNext/>
              <w:spacing w:line="240" w:lineRule="auto"/>
              <w:rPr>
                <w:rFonts w:ascii="Tahoma" w:hAnsi="Tahoma" w:cs="Tahoma"/>
                <w:sz w:val="20"/>
                <w:szCs w:val="20"/>
              </w:rPr>
            </w:pPr>
            <w:r>
              <w:rPr>
                <w:rFonts w:ascii="Tahoma" w:hAnsi="Tahoma" w:cs="Tahoma"/>
                <w:sz w:val="20"/>
                <w:szCs w:val="20"/>
              </w:rPr>
              <w:t>15</w:t>
            </w:r>
            <w:r w:rsidR="00102660">
              <w:rPr>
                <w:rFonts w:ascii="Tahoma" w:hAnsi="Tahoma" w:cs="Tahoma"/>
                <w:sz w:val="20"/>
                <w:szCs w:val="20"/>
              </w:rPr>
              <w:t>.</w:t>
            </w:r>
            <w:r>
              <w:rPr>
                <w:rFonts w:ascii="Tahoma" w:hAnsi="Tahoma" w:cs="Tahoma"/>
                <w:sz w:val="20"/>
                <w:szCs w:val="20"/>
              </w:rPr>
              <w:t>000+</w:t>
            </w:r>
          </w:p>
        </w:tc>
        <w:tc>
          <w:tcPr>
            <w:tcW w:w="1530" w:type="dxa"/>
            <w:shd w:val="clear" w:color="auto" w:fill="FFCC99"/>
            <w:vAlign w:val="center"/>
          </w:tcPr>
          <w:p w:rsidR="008D4EE5" w:rsidRPr="008849B7" w:rsidRDefault="008D4EE5" w:rsidP="00A67771">
            <w:pPr>
              <w:pStyle w:val="AppendixTableHeadings"/>
              <w:keepNext/>
              <w:spacing w:line="240" w:lineRule="auto"/>
              <w:rPr>
                <w:rFonts w:ascii="Tahoma" w:hAnsi="Tahoma" w:cs="Tahoma"/>
                <w:sz w:val="20"/>
                <w:szCs w:val="20"/>
                <w:lang w:val="de-DE"/>
              </w:rPr>
            </w:pPr>
            <w:r w:rsidRPr="008849B7">
              <w:rPr>
                <w:rFonts w:ascii="Tahoma" w:hAnsi="Tahoma" w:cs="Tahoma"/>
                <w:sz w:val="20"/>
                <w:szCs w:val="20"/>
                <w:lang w:val="de-DE"/>
              </w:rPr>
              <w:t>Select für Forschung &amp; Lehre/Select Plus für Forschung &amp; Lehre/Open mit SAM</w:t>
            </w:r>
          </w:p>
        </w:tc>
      </w:tr>
      <w:tr w:rsidR="008D4EE5" w:rsidRPr="00FB51BA" w:rsidTr="008623B7">
        <w:trPr>
          <w:trHeight w:val="236"/>
        </w:trPr>
        <w:tc>
          <w:tcPr>
            <w:tcW w:w="1449" w:type="dxa"/>
            <w:vAlign w:val="center"/>
          </w:tcPr>
          <w:p w:rsidR="008D4EE5" w:rsidRDefault="008D4EE5" w:rsidP="00A67771">
            <w:pPr>
              <w:pStyle w:val="AppendixTableText"/>
              <w:keepNext/>
              <w:spacing w:line="240" w:lineRule="auto"/>
              <w:rPr>
                <w:rFonts w:ascii="Tahoma" w:hAnsi="Tahoma" w:cs="Tahoma"/>
              </w:rPr>
            </w:pPr>
            <w:r>
              <w:rPr>
                <w:rFonts w:ascii="Tahoma" w:hAnsi="Tahoma" w:cs="Tahoma"/>
                <w:b/>
              </w:rPr>
              <w:t>Anwendungs-</w:t>
            </w:r>
            <w:r>
              <w:rPr>
                <w:rFonts w:ascii="Tahoma" w:hAnsi="Tahoma" w:cs="Tahoma"/>
              </w:rPr>
              <w:t xml:space="preserve"> </w:t>
            </w:r>
            <w:r>
              <w:rPr>
                <w:rFonts w:ascii="Tahoma" w:hAnsi="Tahoma" w:cs="Tahoma"/>
                <w:b/>
              </w:rPr>
              <w:t>Pool</w:t>
            </w:r>
          </w:p>
        </w:tc>
        <w:tc>
          <w:tcPr>
            <w:tcW w:w="1080" w:type="dxa"/>
            <w:vAlign w:val="center"/>
          </w:tcPr>
          <w:p w:rsidR="008D4EE5" w:rsidRDefault="008D4EE5" w:rsidP="00A67771">
            <w:pPr>
              <w:pStyle w:val="AppendixTableText"/>
              <w:keepNext/>
              <w:spacing w:line="240" w:lineRule="auto"/>
              <w:rPr>
                <w:rFonts w:ascii="Tahoma" w:hAnsi="Tahoma" w:cs="Tahoma"/>
              </w:rPr>
            </w:pPr>
            <w:r>
              <w:rPr>
                <w:rFonts w:ascii="Tahoma" w:hAnsi="Tahoma" w:cs="Tahoma"/>
              </w:rPr>
              <w:t>1 Nutzer-ID pro Vertrag</w:t>
            </w:r>
          </w:p>
        </w:tc>
        <w:tc>
          <w:tcPr>
            <w:tcW w:w="1260" w:type="dxa"/>
            <w:vAlign w:val="center"/>
          </w:tcPr>
          <w:p w:rsidR="008D4EE5" w:rsidRPr="008849B7" w:rsidRDefault="008D4EE5" w:rsidP="00A67771">
            <w:pPr>
              <w:pStyle w:val="AppendixTableText"/>
              <w:keepNext/>
              <w:spacing w:line="240" w:lineRule="auto"/>
              <w:rPr>
                <w:lang w:val="de-DE"/>
              </w:rPr>
            </w:pPr>
            <w:r w:rsidRPr="008849B7">
              <w:rPr>
                <w:rFonts w:ascii="Tahoma" w:hAnsi="Tahoma" w:cs="Tahoma"/>
                <w:lang w:val="de-DE"/>
              </w:rPr>
              <w:t>2 Nutzer-IDs pro</w:t>
            </w:r>
          </w:p>
          <w:p w:rsidR="008D4EE5" w:rsidRPr="008849B7" w:rsidRDefault="008D4EE5" w:rsidP="00A67771">
            <w:pPr>
              <w:pStyle w:val="AppendixTableText"/>
              <w:keepNext/>
              <w:spacing w:line="240" w:lineRule="auto"/>
              <w:rPr>
                <w:lang w:val="de-DE"/>
              </w:rPr>
            </w:pPr>
            <w:r w:rsidRPr="008849B7">
              <w:rPr>
                <w:rFonts w:ascii="Tahoma" w:hAnsi="Tahoma" w:cs="Tahoma"/>
                <w:lang w:val="de-DE"/>
              </w:rPr>
              <w:t>berechtigtem</w:t>
            </w:r>
          </w:p>
          <w:p w:rsidR="008D4EE5" w:rsidRPr="008849B7" w:rsidRDefault="008D4EE5" w:rsidP="00A67771">
            <w:pPr>
              <w:pStyle w:val="AppendixTableText"/>
              <w:keepNext/>
              <w:spacing w:line="240" w:lineRule="auto"/>
              <w:rPr>
                <w:rFonts w:ascii="Tahoma" w:hAnsi="Tahoma" w:cs="Tahoma"/>
                <w:lang w:val="de-DE"/>
              </w:rPr>
            </w:pPr>
            <w:r w:rsidRPr="008849B7">
              <w:rPr>
                <w:rFonts w:ascii="Tahoma" w:hAnsi="Tahoma" w:cs="Tahoma"/>
                <w:lang w:val="de-DE"/>
              </w:rPr>
              <w:t>Beitritt</w:t>
            </w:r>
          </w:p>
        </w:tc>
        <w:tc>
          <w:tcPr>
            <w:tcW w:w="1440" w:type="dxa"/>
            <w:vAlign w:val="center"/>
          </w:tcPr>
          <w:p w:rsidR="008D4EE5" w:rsidRPr="008849B7" w:rsidRDefault="008D4EE5" w:rsidP="00A67771">
            <w:pPr>
              <w:pStyle w:val="AppendixTableText"/>
              <w:keepNext/>
              <w:spacing w:line="240" w:lineRule="auto"/>
              <w:rPr>
                <w:lang w:val="de-DE"/>
              </w:rPr>
            </w:pPr>
            <w:r w:rsidRPr="008849B7">
              <w:rPr>
                <w:rFonts w:ascii="Tahoma" w:hAnsi="Tahoma" w:cs="Tahoma"/>
                <w:lang w:val="de-DE"/>
              </w:rPr>
              <w:t>5 Nutzer-IDs pro</w:t>
            </w:r>
          </w:p>
          <w:p w:rsidR="008D4EE5" w:rsidRPr="008849B7" w:rsidRDefault="008D4EE5" w:rsidP="00A67771">
            <w:pPr>
              <w:pStyle w:val="AppendixTableText"/>
              <w:keepNext/>
              <w:spacing w:line="240" w:lineRule="auto"/>
              <w:rPr>
                <w:lang w:val="de-DE"/>
              </w:rPr>
            </w:pPr>
            <w:r w:rsidRPr="008849B7">
              <w:rPr>
                <w:rFonts w:ascii="Tahoma" w:hAnsi="Tahoma" w:cs="Tahoma"/>
                <w:lang w:val="de-DE"/>
              </w:rPr>
              <w:t>berechtigtem</w:t>
            </w:r>
          </w:p>
          <w:p w:rsidR="008D4EE5" w:rsidRPr="008849B7" w:rsidRDefault="008D4EE5" w:rsidP="00A67771">
            <w:pPr>
              <w:pStyle w:val="AppendixTableText"/>
              <w:keepNext/>
              <w:spacing w:line="240" w:lineRule="auto"/>
              <w:rPr>
                <w:rFonts w:ascii="Tahoma" w:hAnsi="Tahoma" w:cs="Tahoma"/>
                <w:lang w:val="de-DE"/>
              </w:rPr>
            </w:pPr>
            <w:r w:rsidRPr="008849B7">
              <w:rPr>
                <w:rFonts w:ascii="Tahoma" w:hAnsi="Tahoma" w:cs="Tahoma"/>
                <w:lang w:val="de-DE"/>
              </w:rPr>
              <w:t>Beitritt</w:t>
            </w:r>
          </w:p>
        </w:tc>
        <w:tc>
          <w:tcPr>
            <w:tcW w:w="1620" w:type="dxa"/>
            <w:vAlign w:val="center"/>
          </w:tcPr>
          <w:p w:rsidR="008D4EE5" w:rsidRPr="008849B7" w:rsidRDefault="008D4EE5" w:rsidP="00A67771">
            <w:pPr>
              <w:pStyle w:val="AppendixTableText"/>
              <w:keepNext/>
              <w:spacing w:line="240" w:lineRule="auto"/>
              <w:rPr>
                <w:lang w:val="de-DE"/>
              </w:rPr>
            </w:pPr>
            <w:r w:rsidRPr="008849B7">
              <w:rPr>
                <w:rFonts w:ascii="Tahoma" w:hAnsi="Tahoma" w:cs="Tahoma"/>
                <w:lang w:val="de-DE"/>
              </w:rPr>
              <w:t>10 Nutzer-IDs pro</w:t>
            </w:r>
          </w:p>
          <w:p w:rsidR="008D4EE5" w:rsidRPr="008849B7" w:rsidRDefault="008D4EE5" w:rsidP="00A67771">
            <w:pPr>
              <w:pStyle w:val="AppendixTableText"/>
              <w:keepNext/>
              <w:spacing w:line="240" w:lineRule="auto"/>
              <w:rPr>
                <w:lang w:val="de-DE"/>
              </w:rPr>
            </w:pPr>
            <w:r w:rsidRPr="008849B7">
              <w:rPr>
                <w:rFonts w:ascii="Tahoma" w:hAnsi="Tahoma" w:cs="Tahoma"/>
                <w:lang w:val="de-DE"/>
              </w:rPr>
              <w:t>berechtigtem</w:t>
            </w:r>
          </w:p>
          <w:p w:rsidR="008D4EE5" w:rsidRPr="008849B7" w:rsidRDefault="008D4EE5" w:rsidP="00A67771">
            <w:pPr>
              <w:pStyle w:val="AppendixTableText"/>
              <w:keepNext/>
              <w:spacing w:line="240" w:lineRule="auto"/>
              <w:rPr>
                <w:rFonts w:ascii="Tahoma" w:hAnsi="Tahoma" w:cs="Tahoma"/>
                <w:lang w:val="de-DE"/>
              </w:rPr>
            </w:pPr>
            <w:r w:rsidRPr="008849B7">
              <w:rPr>
                <w:rFonts w:ascii="Tahoma" w:hAnsi="Tahoma" w:cs="Tahoma"/>
                <w:lang w:val="de-DE"/>
              </w:rPr>
              <w:t>Beitritt</w:t>
            </w:r>
          </w:p>
        </w:tc>
        <w:tc>
          <w:tcPr>
            <w:tcW w:w="1260" w:type="dxa"/>
            <w:vAlign w:val="center"/>
          </w:tcPr>
          <w:p w:rsidR="008D4EE5" w:rsidRPr="008849B7" w:rsidRDefault="008D4EE5" w:rsidP="00A67771">
            <w:pPr>
              <w:pStyle w:val="AppendixTableText"/>
              <w:keepNext/>
              <w:spacing w:line="240" w:lineRule="auto"/>
              <w:rPr>
                <w:lang w:val="de-DE"/>
              </w:rPr>
            </w:pPr>
            <w:r w:rsidRPr="008849B7">
              <w:rPr>
                <w:rFonts w:ascii="Tahoma" w:hAnsi="Tahoma" w:cs="Tahoma"/>
                <w:lang w:val="de-DE"/>
              </w:rPr>
              <w:t>20 Nutzer-IDs pro</w:t>
            </w:r>
          </w:p>
          <w:p w:rsidR="008D4EE5" w:rsidRPr="008849B7" w:rsidRDefault="008D4EE5" w:rsidP="00A67771">
            <w:pPr>
              <w:pStyle w:val="AppendixTableText"/>
              <w:keepNext/>
              <w:spacing w:line="240" w:lineRule="auto"/>
              <w:rPr>
                <w:lang w:val="de-DE"/>
              </w:rPr>
            </w:pPr>
            <w:r w:rsidRPr="008849B7">
              <w:rPr>
                <w:rFonts w:ascii="Tahoma" w:hAnsi="Tahoma" w:cs="Tahoma"/>
                <w:lang w:val="de-DE"/>
              </w:rPr>
              <w:t>berechtigtem</w:t>
            </w:r>
          </w:p>
          <w:p w:rsidR="008D4EE5" w:rsidRPr="008849B7" w:rsidRDefault="008D4EE5" w:rsidP="00A67771">
            <w:pPr>
              <w:pStyle w:val="AppendixTableText"/>
              <w:keepNext/>
              <w:spacing w:line="240" w:lineRule="auto"/>
              <w:rPr>
                <w:rFonts w:ascii="Tahoma" w:hAnsi="Tahoma" w:cs="Tahoma"/>
                <w:lang w:val="de-DE"/>
              </w:rPr>
            </w:pPr>
            <w:r w:rsidRPr="008849B7">
              <w:rPr>
                <w:rFonts w:ascii="Tahoma" w:hAnsi="Tahoma" w:cs="Tahoma"/>
                <w:lang w:val="de-DE"/>
              </w:rPr>
              <w:t>Beitritt</w:t>
            </w:r>
          </w:p>
        </w:tc>
        <w:tc>
          <w:tcPr>
            <w:tcW w:w="1530" w:type="dxa"/>
            <w:vAlign w:val="center"/>
          </w:tcPr>
          <w:p w:rsidR="008D4EE5" w:rsidRPr="008849B7" w:rsidRDefault="008D4EE5" w:rsidP="00A67771">
            <w:pPr>
              <w:pStyle w:val="AppendixTableText"/>
              <w:keepNext/>
              <w:spacing w:line="240" w:lineRule="auto"/>
              <w:rPr>
                <w:rFonts w:ascii="Tahoma" w:hAnsi="Tahoma" w:cs="Tahoma"/>
                <w:lang w:val="de-DE"/>
              </w:rPr>
            </w:pPr>
            <w:r w:rsidRPr="008849B7">
              <w:rPr>
                <w:rFonts w:ascii="Tahoma" w:hAnsi="Tahoma" w:cs="Tahoma"/>
                <w:lang w:val="de-DE"/>
              </w:rPr>
              <w:t>1 Nutzer-ID pro Beitritt/Vertrag</w:t>
            </w:r>
          </w:p>
        </w:tc>
      </w:tr>
      <w:tr w:rsidR="008D4EE5" w:rsidRPr="00FB51BA" w:rsidTr="008623B7">
        <w:trPr>
          <w:trHeight w:val="236"/>
        </w:trPr>
        <w:tc>
          <w:tcPr>
            <w:tcW w:w="1449" w:type="dxa"/>
            <w:vAlign w:val="center"/>
          </w:tcPr>
          <w:p w:rsidR="008D4EE5" w:rsidRDefault="008D4EE5" w:rsidP="00A67771">
            <w:pPr>
              <w:pStyle w:val="AppendixTableText"/>
              <w:keepNext/>
              <w:spacing w:line="240" w:lineRule="auto"/>
              <w:rPr>
                <w:rFonts w:ascii="Tahoma" w:hAnsi="Tahoma" w:cs="Tahoma"/>
              </w:rPr>
            </w:pPr>
            <w:r>
              <w:rPr>
                <w:rFonts w:ascii="Tahoma" w:hAnsi="Tahoma" w:cs="Tahoma"/>
                <w:b/>
              </w:rPr>
              <w:t>System-</w:t>
            </w:r>
            <w:r>
              <w:rPr>
                <w:rFonts w:ascii="Tahoma" w:hAnsi="Tahoma" w:cs="Tahoma"/>
              </w:rPr>
              <w:t xml:space="preserve"> </w:t>
            </w:r>
            <w:r>
              <w:rPr>
                <w:rFonts w:ascii="Tahoma" w:hAnsi="Tahoma" w:cs="Tahoma"/>
                <w:b/>
              </w:rPr>
              <w:t>Pool</w:t>
            </w:r>
          </w:p>
        </w:tc>
        <w:tc>
          <w:tcPr>
            <w:tcW w:w="1080" w:type="dxa"/>
            <w:vAlign w:val="center"/>
          </w:tcPr>
          <w:p w:rsidR="008D4EE5" w:rsidRDefault="008D4EE5" w:rsidP="00A67771">
            <w:pPr>
              <w:pStyle w:val="AppendixTableText"/>
              <w:keepNext/>
              <w:spacing w:line="240" w:lineRule="auto"/>
              <w:rPr>
                <w:rFonts w:ascii="Tahoma" w:hAnsi="Tahoma" w:cs="Tahoma"/>
              </w:rPr>
            </w:pPr>
            <w:r>
              <w:rPr>
                <w:rFonts w:ascii="Tahoma" w:hAnsi="Tahoma" w:cs="Tahoma"/>
              </w:rPr>
              <w:t>1 Nutzer-ID pro Vertrag</w:t>
            </w:r>
          </w:p>
        </w:tc>
        <w:tc>
          <w:tcPr>
            <w:tcW w:w="1260" w:type="dxa"/>
            <w:vAlign w:val="center"/>
          </w:tcPr>
          <w:p w:rsidR="008D4EE5" w:rsidRPr="008849B7" w:rsidRDefault="008D4EE5" w:rsidP="00A67771">
            <w:pPr>
              <w:pStyle w:val="AppendixTableText"/>
              <w:keepNext/>
              <w:spacing w:line="240" w:lineRule="auto"/>
              <w:rPr>
                <w:lang w:val="de-DE"/>
              </w:rPr>
            </w:pPr>
            <w:r w:rsidRPr="008849B7">
              <w:rPr>
                <w:rFonts w:ascii="Tahoma" w:hAnsi="Tahoma" w:cs="Tahoma"/>
                <w:lang w:val="de-DE"/>
              </w:rPr>
              <w:t>2 Nutzer-IDs pro</w:t>
            </w:r>
          </w:p>
          <w:p w:rsidR="008D4EE5" w:rsidRPr="008849B7" w:rsidRDefault="008D4EE5" w:rsidP="00A67771">
            <w:pPr>
              <w:pStyle w:val="AppendixTableText"/>
              <w:keepNext/>
              <w:spacing w:line="240" w:lineRule="auto"/>
              <w:rPr>
                <w:lang w:val="de-DE"/>
              </w:rPr>
            </w:pPr>
            <w:r w:rsidRPr="008849B7">
              <w:rPr>
                <w:rFonts w:ascii="Tahoma" w:hAnsi="Tahoma" w:cs="Tahoma"/>
                <w:lang w:val="de-DE"/>
              </w:rPr>
              <w:t>berechtigtem</w:t>
            </w:r>
          </w:p>
          <w:p w:rsidR="008D4EE5" w:rsidRPr="008849B7" w:rsidRDefault="008D4EE5" w:rsidP="00A67771">
            <w:pPr>
              <w:pStyle w:val="AppendixTableText"/>
              <w:keepNext/>
              <w:spacing w:line="240" w:lineRule="auto"/>
              <w:rPr>
                <w:rFonts w:ascii="Tahoma" w:hAnsi="Tahoma" w:cs="Tahoma"/>
                <w:lang w:val="de-DE"/>
              </w:rPr>
            </w:pPr>
            <w:r w:rsidRPr="008849B7">
              <w:rPr>
                <w:rFonts w:ascii="Tahoma" w:hAnsi="Tahoma" w:cs="Tahoma"/>
                <w:lang w:val="de-DE"/>
              </w:rPr>
              <w:t>Beitritt</w:t>
            </w:r>
          </w:p>
        </w:tc>
        <w:tc>
          <w:tcPr>
            <w:tcW w:w="1440" w:type="dxa"/>
            <w:vAlign w:val="center"/>
          </w:tcPr>
          <w:p w:rsidR="008D4EE5" w:rsidRPr="008849B7" w:rsidRDefault="008D4EE5" w:rsidP="00A67771">
            <w:pPr>
              <w:pStyle w:val="AppendixTableText"/>
              <w:keepNext/>
              <w:spacing w:line="240" w:lineRule="auto"/>
              <w:rPr>
                <w:lang w:val="de-DE"/>
              </w:rPr>
            </w:pPr>
            <w:r w:rsidRPr="008849B7">
              <w:rPr>
                <w:rFonts w:ascii="Tahoma" w:hAnsi="Tahoma" w:cs="Tahoma"/>
                <w:lang w:val="de-DE"/>
              </w:rPr>
              <w:t>3 Nutzer-IDs pro</w:t>
            </w:r>
          </w:p>
          <w:p w:rsidR="008D4EE5" w:rsidRPr="008849B7" w:rsidRDefault="008D4EE5" w:rsidP="00A67771">
            <w:pPr>
              <w:pStyle w:val="AppendixTableText"/>
              <w:keepNext/>
              <w:spacing w:line="240" w:lineRule="auto"/>
              <w:rPr>
                <w:lang w:val="de-DE"/>
              </w:rPr>
            </w:pPr>
            <w:r w:rsidRPr="008849B7">
              <w:rPr>
                <w:rFonts w:ascii="Tahoma" w:hAnsi="Tahoma" w:cs="Tahoma"/>
                <w:lang w:val="de-DE"/>
              </w:rPr>
              <w:t>berechtigtem</w:t>
            </w:r>
          </w:p>
          <w:p w:rsidR="008D4EE5" w:rsidRPr="008849B7" w:rsidRDefault="008D4EE5" w:rsidP="00A67771">
            <w:pPr>
              <w:pStyle w:val="AppendixTableText"/>
              <w:keepNext/>
              <w:spacing w:line="240" w:lineRule="auto"/>
              <w:rPr>
                <w:rFonts w:ascii="Tahoma" w:hAnsi="Tahoma" w:cs="Tahoma"/>
                <w:lang w:val="de-DE"/>
              </w:rPr>
            </w:pPr>
            <w:r w:rsidRPr="008849B7">
              <w:rPr>
                <w:rFonts w:ascii="Tahoma" w:hAnsi="Tahoma" w:cs="Tahoma"/>
                <w:lang w:val="de-DE"/>
              </w:rPr>
              <w:t>Beitritt</w:t>
            </w:r>
          </w:p>
        </w:tc>
        <w:tc>
          <w:tcPr>
            <w:tcW w:w="1620" w:type="dxa"/>
            <w:vAlign w:val="center"/>
          </w:tcPr>
          <w:p w:rsidR="008D4EE5" w:rsidRPr="008849B7" w:rsidRDefault="008D4EE5" w:rsidP="00A67771">
            <w:pPr>
              <w:pStyle w:val="AppendixTableText"/>
              <w:keepNext/>
              <w:spacing w:line="240" w:lineRule="auto"/>
              <w:rPr>
                <w:lang w:val="de-DE"/>
              </w:rPr>
            </w:pPr>
            <w:r w:rsidRPr="008849B7">
              <w:rPr>
                <w:rFonts w:ascii="Tahoma" w:hAnsi="Tahoma" w:cs="Tahoma"/>
                <w:lang w:val="de-DE"/>
              </w:rPr>
              <w:t>5 Nutzer-IDs pro</w:t>
            </w:r>
          </w:p>
          <w:p w:rsidR="008D4EE5" w:rsidRPr="008849B7" w:rsidRDefault="008D4EE5" w:rsidP="00A67771">
            <w:pPr>
              <w:pStyle w:val="AppendixTableText"/>
              <w:keepNext/>
              <w:spacing w:line="240" w:lineRule="auto"/>
              <w:rPr>
                <w:lang w:val="de-DE"/>
              </w:rPr>
            </w:pPr>
            <w:r w:rsidRPr="008849B7">
              <w:rPr>
                <w:rFonts w:ascii="Tahoma" w:hAnsi="Tahoma" w:cs="Tahoma"/>
                <w:lang w:val="de-DE"/>
              </w:rPr>
              <w:t>berechtigtem</w:t>
            </w:r>
          </w:p>
          <w:p w:rsidR="008D4EE5" w:rsidRPr="008849B7" w:rsidRDefault="008D4EE5" w:rsidP="00A67771">
            <w:pPr>
              <w:pStyle w:val="AppendixTableText"/>
              <w:keepNext/>
              <w:spacing w:line="240" w:lineRule="auto"/>
              <w:rPr>
                <w:rFonts w:ascii="Tahoma" w:hAnsi="Tahoma" w:cs="Tahoma"/>
                <w:lang w:val="de-DE"/>
              </w:rPr>
            </w:pPr>
            <w:r w:rsidRPr="008849B7">
              <w:rPr>
                <w:rFonts w:ascii="Tahoma" w:hAnsi="Tahoma" w:cs="Tahoma"/>
                <w:lang w:val="de-DE"/>
              </w:rPr>
              <w:t>Beitritt</w:t>
            </w:r>
          </w:p>
        </w:tc>
        <w:tc>
          <w:tcPr>
            <w:tcW w:w="1260" w:type="dxa"/>
            <w:vAlign w:val="center"/>
          </w:tcPr>
          <w:p w:rsidR="008D4EE5" w:rsidRPr="008849B7" w:rsidRDefault="008D4EE5" w:rsidP="00A67771">
            <w:pPr>
              <w:pStyle w:val="AppendixTableText"/>
              <w:keepNext/>
              <w:spacing w:line="240" w:lineRule="auto"/>
              <w:rPr>
                <w:lang w:val="de-DE"/>
              </w:rPr>
            </w:pPr>
            <w:r w:rsidRPr="008849B7">
              <w:rPr>
                <w:rFonts w:ascii="Tahoma" w:hAnsi="Tahoma" w:cs="Tahoma"/>
                <w:lang w:val="de-DE"/>
              </w:rPr>
              <w:t>10 Nutzer-IDs pro</w:t>
            </w:r>
          </w:p>
          <w:p w:rsidR="008D4EE5" w:rsidRPr="008849B7" w:rsidRDefault="008D4EE5" w:rsidP="00A67771">
            <w:pPr>
              <w:pStyle w:val="AppendixTableText"/>
              <w:keepNext/>
              <w:spacing w:line="240" w:lineRule="auto"/>
              <w:rPr>
                <w:lang w:val="de-DE"/>
              </w:rPr>
            </w:pPr>
            <w:r w:rsidRPr="008849B7">
              <w:rPr>
                <w:rFonts w:ascii="Tahoma" w:hAnsi="Tahoma" w:cs="Tahoma"/>
                <w:lang w:val="de-DE"/>
              </w:rPr>
              <w:t>berechtigtem</w:t>
            </w:r>
          </w:p>
          <w:p w:rsidR="008D4EE5" w:rsidRPr="008849B7" w:rsidRDefault="008D4EE5" w:rsidP="00A67771">
            <w:pPr>
              <w:pStyle w:val="AppendixTableText"/>
              <w:keepNext/>
              <w:spacing w:line="240" w:lineRule="auto"/>
              <w:rPr>
                <w:rFonts w:ascii="Tahoma" w:hAnsi="Tahoma" w:cs="Tahoma"/>
                <w:lang w:val="de-DE"/>
              </w:rPr>
            </w:pPr>
            <w:r w:rsidRPr="008849B7">
              <w:rPr>
                <w:rFonts w:ascii="Tahoma" w:hAnsi="Tahoma" w:cs="Tahoma"/>
                <w:lang w:val="de-DE"/>
              </w:rPr>
              <w:t>Beitritt</w:t>
            </w:r>
          </w:p>
        </w:tc>
        <w:tc>
          <w:tcPr>
            <w:tcW w:w="1530" w:type="dxa"/>
            <w:vAlign w:val="center"/>
          </w:tcPr>
          <w:p w:rsidR="008D4EE5" w:rsidRPr="008849B7" w:rsidRDefault="008D4EE5" w:rsidP="00A67771">
            <w:pPr>
              <w:pStyle w:val="AppendixTableText"/>
              <w:keepNext/>
              <w:spacing w:line="240" w:lineRule="auto"/>
              <w:rPr>
                <w:rFonts w:ascii="Tahoma" w:hAnsi="Tahoma" w:cs="Tahoma"/>
                <w:lang w:val="de-DE"/>
              </w:rPr>
            </w:pPr>
            <w:r w:rsidRPr="008849B7">
              <w:rPr>
                <w:rFonts w:ascii="Tahoma" w:hAnsi="Tahoma" w:cs="Tahoma"/>
                <w:lang w:val="de-DE"/>
              </w:rPr>
              <w:t>1 Nutzer-ID pro Beitritt/Vertrag</w:t>
            </w:r>
          </w:p>
        </w:tc>
      </w:tr>
    </w:tbl>
    <w:p w:rsidR="008D4EE5" w:rsidRPr="008849B7" w:rsidRDefault="008D4EE5" w:rsidP="008D4EE5">
      <w:pPr>
        <w:pStyle w:val="AppendixFlushBulletedList"/>
        <w:tabs>
          <w:tab w:val="clear" w:pos="360"/>
          <w:tab w:val="num" w:pos="0"/>
        </w:tabs>
        <w:ind w:left="0" w:firstLine="0"/>
        <w:rPr>
          <w:lang w:val="de-DE"/>
        </w:rPr>
      </w:pPr>
      <w:r w:rsidRPr="008849B7">
        <w:rPr>
          <w:rFonts w:ascii="Tahoma" w:hAnsi="Tahoma" w:cs="Tahoma"/>
          <w:sz w:val="18"/>
          <w:szCs w:val="18"/>
          <w:lang w:val="de-DE"/>
        </w:rPr>
        <w:t>Jede Nutzer-ID berechtigt eine einzelne Person, sich bei den ausschließlich Abonnenten zur Verfügung stehenden Onlinediensten zu registrieren und auf diese zuzugreifen, einschließlich, aber nicht beschränkt auf: Online Concierge Chat, Verwaltete Newsgroups und Premium-Inhalte</w:t>
      </w:r>
      <w:r w:rsidR="006257A7">
        <w:rPr>
          <w:rFonts w:ascii="Tahoma" w:hAnsi="Tahoma" w:cs="Tahoma"/>
          <w:sz w:val="18"/>
          <w:szCs w:val="18"/>
          <w:lang w:val="de-DE"/>
        </w:rPr>
        <w:t xml:space="preserve">. </w:t>
      </w:r>
    </w:p>
    <w:p w:rsidR="008D4EE5" w:rsidRPr="008849B7" w:rsidRDefault="008D4EE5" w:rsidP="008D4EE5">
      <w:pPr>
        <w:pStyle w:val="AppendixFlushBulletedList"/>
        <w:tabs>
          <w:tab w:val="clear" w:pos="360"/>
          <w:tab w:val="num" w:pos="0"/>
        </w:tabs>
        <w:ind w:left="0" w:firstLine="0"/>
        <w:rPr>
          <w:lang w:val="de-DE"/>
        </w:rPr>
      </w:pPr>
    </w:p>
    <w:p w:rsidR="008D4EE5" w:rsidRPr="008849B7" w:rsidRDefault="008D4EE5" w:rsidP="008623B7">
      <w:pPr>
        <w:pStyle w:val="AppendixFlushBulletedList"/>
        <w:tabs>
          <w:tab w:val="clear" w:pos="360"/>
          <w:tab w:val="num" w:pos="0"/>
        </w:tabs>
        <w:ind w:left="0" w:firstLine="0"/>
        <w:rPr>
          <w:lang w:val="de-DE"/>
        </w:rPr>
      </w:pPr>
      <w:r w:rsidRPr="008849B7">
        <w:rPr>
          <w:rFonts w:ascii="Tahoma" w:hAnsi="Tahoma" w:cs="Tahoma"/>
          <w:sz w:val="18"/>
          <w:szCs w:val="18"/>
          <w:lang w:val="de-DE"/>
        </w:rPr>
        <w:t>Kunden mit Open-Lizenz, Open Value, Open Value Subscription – Bildungslösungen, Select-Lizenz für Forschung &amp;</w:t>
      </w:r>
      <w:r w:rsidR="008623B7">
        <w:rPr>
          <w:rFonts w:ascii="Tahoma" w:hAnsi="Tahoma" w:cs="Tahoma"/>
          <w:sz w:val="18"/>
          <w:szCs w:val="18"/>
          <w:lang w:val="de-DE"/>
        </w:rPr>
        <w:t> </w:t>
      </w:r>
      <w:r w:rsidRPr="008849B7">
        <w:rPr>
          <w:rFonts w:ascii="Tahoma" w:hAnsi="Tahoma" w:cs="Tahoma"/>
          <w:sz w:val="18"/>
          <w:szCs w:val="18"/>
          <w:lang w:val="de-DE"/>
        </w:rPr>
        <w:t>Lehre und Select Plus für Forschung &amp; Lehre müssen Software Assurance für mindestens fünf Serverlizenzen für qualifizierende Produkte erwerben, um Anspruch auf diese Vergünstigung zu haben</w:t>
      </w:r>
      <w:r w:rsidR="006257A7">
        <w:rPr>
          <w:rFonts w:ascii="Tahoma" w:hAnsi="Tahoma" w:cs="Tahoma"/>
          <w:sz w:val="18"/>
          <w:szCs w:val="18"/>
          <w:lang w:val="de-DE"/>
        </w:rPr>
        <w:t xml:space="preserve">. </w:t>
      </w:r>
    </w:p>
    <w:p w:rsidR="008D4EE5" w:rsidRPr="008849B7" w:rsidRDefault="008D4EE5" w:rsidP="008D4EE5">
      <w:pPr>
        <w:pStyle w:val="AppendixFlushBulletedList"/>
        <w:tabs>
          <w:tab w:val="clear" w:pos="360"/>
          <w:tab w:val="num" w:pos="0"/>
        </w:tabs>
        <w:ind w:left="0" w:firstLine="0"/>
        <w:rPr>
          <w:lang w:val="de-DE"/>
        </w:rPr>
      </w:pPr>
    </w:p>
    <w:p w:rsidR="008D4EE5" w:rsidRPr="008849B7" w:rsidRDefault="008D4EE5" w:rsidP="008D4EE5">
      <w:pPr>
        <w:pStyle w:val="AppendixBodyText"/>
        <w:spacing w:after="0"/>
        <w:rPr>
          <w:lang w:val="de-DE"/>
        </w:rPr>
      </w:pPr>
      <w:r w:rsidRPr="008849B7">
        <w:rPr>
          <w:rFonts w:ascii="Tahoma" w:hAnsi="Tahoma" w:cs="Tahoma"/>
          <w:sz w:val="18"/>
          <w:szCs w:val="18"/>
          <w:lang w:val="de-DE"/>
        </w:rPr>
        <w:t>Die Nutzung der TechNet SA-Abonnementservices-Software durch die Kunden unterliegt den Bestimmungen ihres Lizenzvertrages</w:t>
      </w:r>
      <w:r w:rsidR="006257A7">
        <w:rPr>
          <w:rFonts w:ascii="Tahoma" w:hAnsi="Tahoma" w:cs="Tahoma"/>
          <w:sz w:val="18"/>
          <w:szCs w:val="18"/>
          <w:lang w:val="de-DE"/>
        </w:rPr>
        <w:t xml:space="preserve">. </w:t>
      </w:r>
    </w:p>
    <w:p w:rsidR="008D4EE5" w:rsidRDefault="008D4EE5" w:rsidP="008D4EE5">
      <w:pPr>
        <w:pStyle w:val="Heading3"/>
        <w:rPr>
          <w:lang w:val="de-DE"/>
        </w:rPr>
      </w:pPr>
    </w:p>
    <w:p w:rsidR="008D4EE5" w:rsidRPr="008849B7" w:rsidRDefault="008D4EE5" w:rsidP="008D4EE5">
      <w:pPr>
        <w:pStyle w:val="Heading3"/>
        <w:rPr>
          <w:lang w:val="de-DE"/>
        </w:rPr>
      </w:pPr>
      <w:bookmarkStart w:id="755" w:name="_Toc336338241"/>
      <w:bookmarkStart w:id="756" w:name="_Toc363998979"/>
      <w:r w:rsidRPr="008849B7">
        <w:rPr>
          <w:rFonts w:ascii="Tahoma" w:hAnsi="Tahoma"/>
          <w:sz w:val="24"/>
          <w:lang w:val="de-DE"/>
        </w:rPr>
        <w:t>TechNet Plus Direct</w:t>
      </w:r>
      <w:bookmarkEnd w:id="755"/>
      <w:bookmarkEnd w:id="756"/>
    </w:p>
    <w:p w:rsidR="008D4EE5" w:rsidRPr="008623B7" w:rsidRDefault="008D4EE5" w:rsidP="008623B7">
      <w:pPr>
        <w:spacing w:line="192" w:lineRule="auto"/>
        <w:rPr>
          <w:szCs w:val="18"/>
          <w:lang w:val="de-DE"/>
        </w:rPr>
      </w:pPr>
    </w:p>
    <w:p w:rsidR="008D4EE5" w:rsidRPr="00F83EE5" w:rsidRDefault="008D4EE5" w:rsidP="008623B7">
      <w:pPr>
        <w:pStyle w:val="AppendixBodyText"/>
        <w:spacing w:after="0"/>
        <w:rPr>
          <w:lang w:val="de-DE"/>
        </w:rPr>
      </w:pPr>
      <w:r w:rsidRPr="009123CB">
        <w:rPr>
          <w:rFonts w:ascii="Tahoma" w:hAnsi="Tahoma" w:cs="Tahoma"/>
          <w:sz w:val="18"/>
          <w:szCs w:val="18"/>
          <w:lang w:val="de-DE"/>
        </w:rPr>
        <w:t>Kunden mit Software Assurance für qualifizierende Produkte innerhalb des Server-Pools haben während der Software</w:t>
      </w:r>
      <w:r w:rsidR="008623B7">
        <w:rPr>
          <w:rFonts w:ascii="Tahoma" w:hAnsi="Tahoma" w:cs="Tahoma"/>
          <w:sz w:val="18"/>
          <w:szCs w:val="18"/>
          <w:lang w:val="de-DE"/>
        </w:rPr>
        <w:t> </w:t>
      </w:r>
      <w:r w:rsidRPr="009123CB">
        <w:rPr>
          <w:rFonts w:ascii="Tahoma" w:hAnsi="Tahoma" w:cs="Tahoma"/>
          <w:sz w:val="18"/>
          <w:szCs w:val="18"/>
          <w:lang w:val="de-DE"/>
        </w:rPr>
        <w:t>Assurance-Laufzeit Anspruch auf ein TechNet Plus Direct-Abonnement</w:t>
      </w:r>
      <w:r w:rsidR="006257A7">
        <w:rPr>
          <w:rFonts w:ascii="Tahoma" w:hAnsi="Tahoma" w:cs="Tahoma"/>
          <w:sz w:val="18"/>
          <w:szCs w:val="18"/>
          <w:lang w:val="de-DE"/>
        </w:rPr>
        <w:t xml:space="preserve">. </w:t>
      </w:r>
      <w:r w:rsidRPr="009123CB">
        <w:rPr>
          <w:rFonts w:ascii="Tahoma" w:hAnsi="Tahoma" w:cs="Tahoma"/>
          <w:sz w:val="18"/>
          <w:szCs w:val="18"/>
          <w:lang w:val="de-DE"/>
        </w:rPr>
        <w:t>Hierdurch erhalten IT-Fachleute Zugriff auf TechNet Plus Direct-Inhalte wie z</w:t>
      </w:r>
      <w:r w:rsidR="006257A7">
        <w:rPr>
          <w:rFonts w:ascii="Tahoma" w:hAnsi="Tahoma" w:cs="Tahoma"/>
          <w:sz w:val="18"/>
          <w:szCs w:val="18"/>
          <w:lang w:val="de-DE"/>
        </w:rPr>
        <w:t xml:space="preserve">. </w:t>
      </w:r>
      <w:r w:rsidRPr="009123CB">
        <w:rPr>
          <w:rFonts w:ascii="Tahoma" w:hAnsi="Tahoma" w:cs="Tahoma"/>
          <w:sz w:val="18"/>
          <w:szCs w:val="18"/>
          <w:lang w:val="de-DE"/>
        </w:rPr>
        <w:t>B</w:t>
      </w:r>
      <w:r w:rsidR="006257A7">
        <w:rPr>
          <w:rFonts w:ascii="Tahoma" w:hAnsi="Tahoma" w:cs="Tahoma"/>
          <w:sz w:val="18"/>
          <w:szCs w:val="18"/>
          <w:lang w:val="de-DE"/>
        </w:rPr>
        <w:t xml:space="preserve">. </w:t>
      </w:r>
      <w:r w:rsidRPr="009123CB">
        <w:rPr>
          <w:rFonts w:ascii="Tahoma" w:hAnsi="Tahoma" w:cs="Tahoma"/>
          <w:sz w:val="18"/>
          <w:szCs w:val="18"/>
          <w:lang w:val="de-DE"/>
        </w:rPr>
        <w:t>die Microsoft Knowledge Base, technische Schulungen, Downloads, Sicherheitspatches, Service Packs und Anleitungen</w:t>
      </w:r>
      <w:r w:rsidR="006257A7">
        <w:rPr>
          <w:rFonts w:ascii="Tahoma" w:hAnsi="Tahoma" w:cs="Tahoma"/>
          <w:sz w:val="18"/>
          <w:szCs w:val="18"/>
          <w:lang w:val="de-DE"/>
        </w:rPr>
        <w:t xml:space="preserve">. </w:t>
      </w:r>
      <w:r w:rsidRPr="00F83EE5">
        <w:rPr>
          <w:rFonts w:ascii="Tahoma" w:hAnsi="Tahoma" w:cs="Tahoma"/>
          <w:sz w:val="18"/>
          <w:szCs w:val="18"/>
          <w:lang w:val="de-DE"/>
        </w:rPr>
        <w:t>Zusätzlich erhalten die Kunden folgende Vergünstigungen:</w:t>
      </w:r>
    </w:p>
    <w:p w:rsidR="008D4EE5" w:rsidRPr="008623B7" w:rsidRDefault="008D4EE5" w:rsidP="008623B7">
      <w:pPr>
        <w:pStyle w:val="AppendixBodyText"/>
        <w:spacing w:after="0" w:line="192" w:lineRule="auto"/>
        <w:rPr>
          <w:sz w:val="18"/>
          <w:szCs w:val="18"/>
          <w:lang w:val="de-DE"/>
        </w:rPr>
      </w:pPr>
    </w:p>
    <w:p w:rsidR="008D4EE5" w:rsidRPr="009123CB" w:rsidRDefault="008D4EE5" w:rsidP="008D4EE5">
      <w:pPr>
        <w:pStyle w:val="AppendixFlushBulletedList"/>
        <w:numPr>
          <w:ilvl w:val="0"/>
          <w:numId w:val="111"/>
        </w:numPr>
        <w:spacing w:after="60"/>
        <w:ind w:left="1440"/>
        <w:rPr>
          <w:lang w:val="de-DE"/>
        </w:rPr>
      </w:pPr>
      <w:r w:rsidRPr="009123CB">
        <w:rPr>
          <w:rFonts w:ascii="Tahoma" w:hAnsi="Tahoma" w:cs="Tahoma"/>
          <w:sz w:val="18"/>
          <w:szCs w:val="18"/>
          <w:lang w:val="de-DE"/>
        </w:rPr>
        <w:t>Zugriff zum Herunterladen von Vollversions-Software, die für Bewertungszwecke lizenziert ist, einschließlich Microsoft-Betriebssystemen, Servern und Office System-Software</w:t>
      </w:r>
      <w:r w:rsidR="006257A7">
        <w:rPr>
          <w:rFonts w:ascii="Tahoma" w:hAnsi="Tahoma" w:cs="Tahoma"/>
          <w:sz w:val="18"/>
          <w:szCs w:val="18"/>
          <w:lang w:val="de-DE"/>
        </w:rPr>
        <w:t xml:space="preserve">. </w:t>
      </w:r>
    </w:p>
    <w:p w:rsidR="008D4EE5" w:rsidRPr="008849B7" w:rsidRDefault="008D4EE5" w:rsidP="008D4EE5">
      <w:pPr>
        <w:pStyle w:val="AppendixFlushBulletedList"/>
        <w:numPr>
          <w:ilvl w:val="0"/>
          <w:numId w:val="111"/>
        </w:numPr>
        <w:spacing w:after="60"/>
        <w:ind w:left="1440"/>
        <w:rPr>
          <w:lang w:val="de-DE"/>
        </w:rPr>
      </w:pPr>
      <w:r w:rsidRPr="008849B7">
        <w:rPr>
          <w:rFonts w:ascii="Tahoma" w:hAnsi="Tahoma" w:cs="Tahoma"/>
          <w:sz w:val="18"/>
          <w:szCs w:val="18"/>
          <w:lang w:val="de-DE"/>
        </w:rPr>
        <w:t>Zugriff zum Herunterladen von Beta-Software – Vorabversionen von Microsoft-Software</w:t>
      </w:r>
      <w:r w:rsidR="006257A7">
        <w:rPr>
          <w:rFonts w:ascii="Tahoma" w:hAnsi="Tahoma" w:cs="Tahoma"/>
          <w:sz w:val="18"/>
          <w:szCs w:val="18"/>
          <w:lang w:val="de-DE"/>
        </w:rPr>
        <w:t xml:space="preserve">. </w:t>
      </w:r>
    </w:p>
    <w:p w:rsidR="008D4EE5" w:rsidRPr="008849B7" w:rsidRDefault="008D4EE5" w:rsidP="008D4EE5">
      <w:pPr>
        <w:pStyle w:val="AppendixFlushBulletedList"/>
        <w:numPr>
          <w:ilvl w:val="0"/>
          <w:numId w:val="111"/>
        </w:numPr>
        <w:spacing w:after="60"/>
        <w:ind w:left="1440"/>
        <w:rPr>
          <w:lang w:val="de-DE"/>
        </w:rPr>
      </w:pPr>
      <w:r w:rsidRPr="008849B7">
        <w:rPr>
          <w:rFonts w:ascii="Tahoma" w:hAnsi="Tahoma" w:cs="Tahoma"/>
          <w:sz w:val="18"/>
          <w:szCs w:val="18"/>
          <w:lang w:val="de-DE"/>
        </w:rPr>
        <w:t>Zwei (2) zusätzliche technische Supportanfragen pro Jahr und eine Ermäßigung von 20 % auf zusätzliche telefonische Supportanfragen, die ein Kunde erwirbt</w:t>
      </w:r>
      <w:r w:rsidR="006257A7">
        <w:rPr>
          <w:rFonts w:ascii="Tahoma" w:hAnsi="Tahoma" w:cs="Tahoma"/>
          <w:sz w:val="18"/>
          <w:szCs w:val="18"/>
          <w:lang w:val="de-DE"/>
        </w:rPr>
        <w:t xml:space="preserve">. </w:t>
      </w:r>
    </w:p>
    <w:p w:rsidR="008D4EE5" w:rsidRPr="008849B7" w:rsidRDefault="008D4EE5" w:rsidP="008D4EE5">
      <w:pPr>
        <w:pStyle w:val="AppendixFlushBulletedList"/>
        <w:numPr>
          <w:ilvl w:val="0"/>
          <w:numId w:val="111"/>
        </w:numPr>
        <w:spacing w:after="60"/>
        <w:ind w:left="1440"/>
        <w:rPr>
          <w:lang w:val="de-DE"/>
        </w:rPr>
      </w:pPr>
      <w:r w:rsidRPr="008849B7">
        <w:rPr>
          <w:rFonts w:ascii="Tahoma" w:hAnsi="Tahoma" w:cs="Tahoma"/>
          <w:sz w:val="18"/>
          <w:szCs w:val="18"/>
          <w:lang w:val="de-DE"/>
        </w:rPr>
        <w:t>Unbegrenzter Support durch Verwaltete Newsgroups und den Online Concierge-Service</w:t>
      </w:r>
      <w:r w:rsidR="006257A7">
        <w:rPr>
          <w:rFonts w:ascii="Tahoma" w:hAnsi="Tahoma" w:cs="Tahoma"/>
          <w:sz w:val="18"/>
          <w:szCs w:val="18"/>
          <w:lang w:val="de-DE"/>
        </w:rPr>
        <w:t xml:space="preserve">. </w:t>
      </w:r>
    </w:p>
    <w:p w:rsidR="008D4EE5" w:rsidRPr="008623B7" w:rsidRDefault="008D4EE5" w:rsidP="008623B7">
      <w:pPr>
        <w:pStyle w:val="AppendixBodyText"/>
        <w:spacing w:after="0" w:line="192" w:lineRule="auto"/>
        <w:rPr>
          <w:sz w:val="18"/>
          <w:szCs w:val="18"/>
          <w:lang w:val="de-DE"/>
        </w:rPr>
      </w:pPr>
    </w:p>
    <w:p w:rsidR="008D4EE5" w:rsidRPr="008849B7" w:rsidRDefault="008D4EE5" w:rsidP="008D4EE5">
      <w:pPr>
        <w:pStyle w:val="AppendixBodyText"/>
        <w:spacing w:after="0"/>
        <w:rPr>
          <w:lang w:val="de-DE"/>
        </w:rPr>
      </w:pPr>
      <w:r w:rsidRPr="008849B7">
        <w:rPr>
          <w:rFonts w:ascii="Tahoma" w:hAnsi="Tahoma" w:cs="Tahoma"/>
          <w:sz w:val="18"/>
          <w:szCs w:val="18"/>
          <w:lang w:val="de-DE"/>
        </w:rPr>
        <w:t>Berechtigte Kunden erhalten ein Abonnement pro qualifizierender Beitritt, wie nachfolgend dargestellt:</w:t>
      </w:r>
    </w:p>
    <w:p w:rsidR="008D4EE5" w:rsidRPr="008623B7" w:rsidRDefault="008D4EE5" w:rsidP="008623B7">
      <w:pPr>
        <w:pStyle w:val="AppendixBodyText"/>
        <w:tabs>
          <w:tab w:val="left" w:pos="1425"/>
        </w:tabs>
        <w:spacing w:after="0" w:line="192" w:lineRule="auto"/>
        <w:rPr>
          <w:sz w:val="18"/>
          <w:szCs w:val="18"/>
          <w:lang w:val="de-DE"/>
        </w:rPr>
      </w:pPr>
    </w:p>
    <w:tbl>
      <w:tblPr>
        <w:tblW w:w="9459" w:type="dxa"/>
        <w:tblInd w:w="99" w:type="dxa"/>
        <w:tblCellMar>
          <w:left w:w="0" w:type="dxa"/>
          <w:right w:w="0" w:type="dxa"/>
        </w:tblCellMar>
        <w:tblLook w:val="0000" w:firstRow="0" w:lastRow="0" w:firstColumn="0" w:lastColumn="0" w:noHBand="0" w:noVBand="0"/>
      </w:tblPr>
      <w:tblGrid>
        <w:gridCol w:w="1529"/>
        <w:gridCol w:w="1803"/>
        <w:gridCol w:w="1999"/>
        <w:gridCol w:w="2097"/>
        <w:gridCol w:w="2031"/>
      </w:tblGrid>
      <w:tr w:rsidR="008D4EE5" w:rsidRPr="00FB51BA" w:rsidTr="00A67771">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8D4EE5" w:rsidRPr="00270612" w:rsidRDefault="008D4EE5" w:rsidP="00A67771">
            <w:pPr>
              <w:keepNext/>
              <w:jc w:val="center"/>
              <w:rPr>
                <w:rFonts w:cs="Tahoma"/>
                <w:b/>
                <w:bCs/>
                <w:color w:val="000000"/>
                <w:sz w:val="20"/>
                <w:szCs w:val="20"/>
                <w:highlight w:val="yellow"/>
              </w:rPr>
            </w:pPr>
            <w:r>
              <w:rPr>
                <w:rFonts w:cs="Tahoma"/>
                <w:b/>
                <w:bCs/>
                <w:color w:val="000000"/>
                <w:sz w:val="20"/>
                <w:szCs w:val="20"/>
              </w:rPr>
              <w:t>Produkt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8D4EE5" w:rsidRPr="00270612" w:rsidRDefault="008D4EE5" w:rsidP="00A67771">
            <w:pPr>
              <w:jc w:val="center"/>
              <w:rPr>
                <w:rFonts w:cs="Tahoma"/>
                <w:b/>
                <w:bCs/>
                <w:color w:val="000000"/>
                <w:sz w:val="20"/>
                <w:szCs w:val="20"/>
                <w:highlight w:val="yellow"/>
              </w:rPr>
            </w:pPr>
            <w:r>
              <w:rPr>
                <w:rFonts w:cs="Tahoma"/>
                <w:b/>
                <w:bCs/>
                <w:color w:val="000000"/>
                <w:sz w:val="20"/>
                <w:szCs w:val="20"/>
              </w:rPr>
              <w:t>Open-Lizenz</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8D4EE5" w:rsidRPr="00270612" w:rsidRDefault="008D4EE5" w:rsidP="00A67771">
            <w:pPr>
              <w:jc w:val="center"/>
              <w:rPr>
                <w:rFonts w:cs="Tahoma"/>
                <w:b/>
                <w:bCs/>
                <w:color w:val="000000"/>
                <w:sz w:val="20"/>
                <w:szCs w:val="20"/>
                <w:highlight w:val="yellow"/>
              </w:rPr>
            </w:pPr>
            <w:r>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8D4EE5" w:rsidRPr="00270612" w:rsidRDefault="008D4EE5" w:rsidP="00A67771">
            <w:pPr>
              <w:jc w:val="center"/>
              <w:rPr>
                <w:rFonts w:cs="Tahoma"/>
                <w:b/>
                <w:bCs/>
                <w:color w:val="000000"/>
                <w:sz w:val="20"/>
                <w:szCs w:val="20"/>
              </w:rPr>
            </w:pPr>
            <w:r>
              <w:rPr>
                <w:rFonts w:cs="Tahoma"/>
                <w:b/>
                <w:bCs/>
                <w:color w:val="000000"/>
                <w:sz w:val="20"/>
                <w:szCs w:val="20"/>
              </w:rPr>
              <w:t>Forschung &amp; Lehre</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8D4EE5" w:rsidRPr="008849B7" w:rsidRDefault="008D4EE5" w:rsidP="00A67771">
            <w:pPr>
              <w:jc w:val="center"/>
              <w:rPr>
                <w:rFonts w:cs="Tahoma"/>
                <w:b/>
                <w:bCs/>
                <w:color w:val="000000"/>
                <w:sz w:val="20"/>
                <w:szCs w:val="20"/>
                <w:highlight w:val="yellow"/>
                <w:lang w:val="de-DE"/>
              </w:rPr>
            </w:pPr>
            <w:r w:rsidRPr="008849B7">
              <w:rPr>
                <w:rFonts w:cs="Tahoma"/>
                <w:b/>
                <w:bCs/>
                <w:color w:val="000000"/>
                <w:sz w:val="20"/>
                <w:szCs w:val="20"/>
                <w:lang w:val="de-DE"/>
              </w:rPr>
              <w:t>Select (außer Forschung &amp; Lehre/Select Plus (außer Forschung &amp; Lehre/EA</w:t>
            </w:r>
          </w:p>
        </w:tc>
      </w:tr>
      <w:tr w:rsidR="008D4EE5" w:rsidRPr="00270612" w:rsidTr="00A67771">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8D4EE5" w:rsidRPr="00270612" w:rsidRDefault="008D4EE5" w:rsidP="00A67771">
            <w:pPr>
              <w:rPr>
                <w:rFonts w:cs="Tahoma"/>
                <w:color w:val="000000"/>
                <w:szCs w:val="18"/>
                <w:highlight w:val="yellow"/>
              </w:rPr>
            </w:pPr>
            <w:r>
              <w:rPr>
                <w:rFonts w:cs="Tahoma"/>
                <w:b/>
                <w:bCs/>
                <w:iCs/>
                <w:color w:val="000000"/>
                <w:szCs w:val="18"/>
              </w:rPr>
              <w:t>Server</w:t>
            </w:r>
            <w:r>
              <w:rPr>
                <w:rFonts w:cs="Tahoma"/>
                <w:b/>
                <w:color w:val="000000"/>
                <w:szCs w:val="18"/>
              </w:rPr>
              <w:t>lizenzen</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8D4EE5" w:rsidRPr="00270612" w:rsidRDefault="008D4EE5" w:rsidP="00A67771">
            <w:pPr>
              <w:jc w:val="center"/>
              <w:rPr>
                <w:rFonts w:cs="Tahoma"/>
                <w:color w:val="000000"/>
                <w:szCs w:val="18"/>
                <w:highlight w:val="yellow"/>
              </w:rPr>
            </w:pPr>
            <w:r>
              <w:rPr>
                <w:rFonts w:cs="Tahoma"/>
                <w:color w:val="000000"/>
                <w:szCs w:val="18"/>
              </w:rPr>
              <w:t>n</w:t>
            </w:r>
            <w:r w:rsidR="006257A7">
              <w:rPr>
                <w:rFonts w:cs="Tahoma"/>
                <w:color w:val="000000"/>
                <w:szCs w:val="18"/>
              </w:rPr>
              <w:t xml:space="preserve">. </w:t>
            </w:r>
            <w:r>
              <w:rPr>
                <w:rFonts w:cs="Tahoma"/>
                <w:color w:val="000000"/>
                <w:szCs w:val="18"/>
              </w:rPr>
              <w:t>z</w:t>
            </w:r>
            <w:r w:rsidR="006257A7">
              <w:rPr>
                <w:rFonts w:cs="Tahoma"/>
                <w:color w:val="000000"/>
                <w:szCs w:val="18"/>
              </w:rPr>
              <w:t xml:space="preserve">. </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8D4EE5" w:rsidRPr="00270612" w:rsidRDefault="008D4EE5" w:rsidP="00A67771">
            <w:pPr>
              <w:jc w:val="center"/>
              <w:rPr>
                <w:rFonts w:cs="Tahoma"/>
                <w:color w:val="000000"/>
                <w:szCs w:val="18"/>
                <w:highlight w:val="yellow"/>
              </w:rPr>
            </w:pPr>
            <w:r>
              <w:rPr>
                <w:rFonts w:cs="Tahoma"/>
                <w:color w:val="000000"/>
                <w:szCs w:val="18"/>
              </w:rPr>
              <w:t>1 Abonnement pro Beitritt</w:t>
            </w:r>
          </w:p>
        </w:tc>
        <w:tc>
          <w:tcPr>
            <w:tcW w:w="2160" w:type="dxa"/>
            <w:tcBorders>
              <w:top w:val="single" w:sz="8" w:space="0" w:color="auto"/>
              <w:left w:val="nil"/>
              <w:bottom w:val="single" w:sz="8" w:space="0" w:color="auto"/>
              <w:right w:val="single" w:sz="8" w:space="0" w:color="auto"/>
            </w:tcBorders>
          </w:tcPr>
          <w:p w:rsidR="008D4EE5" w:rsidRPr="00270612" w:rsidRDefault="008D4EE5" w:rsidP="00A67771">
            <w:pPr>
              <w:ind w:left="360"/>
              <w:rPr>
                <w:rFonts w:cs="Tahoma"/>
                <w:color w:val="000000"/>
                <w:szCs w:val="18"/>
              </w:rPr>
            </w:pPr>
            <w:r>
              <w:rPr>
                <w:rFonts w:cs="Tahoma"/>
                <w:color w:val="000000"/>
                <w:szCs w:val="18"/>
              </w:rPr>
              <w:t>1 Abonnement pro Beitritt*</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8D4EE5" w:rsidRPr="00270612" w:rsidRDefault="008D4EE5" w:rsidP="00A67771">
            <w:pPr>
              <w:rPr>
                <w:rFonts w:cs="Tahoma"/>
                <w:color w:val="000000"/>
                <w:szCs w:val="18"/>
              </w:rPr>
            </w:pPr>
            <w:r>
              <w:rPr>
                <w:rFonts w:cs="Tahoma"/>
                <w:color w:val="000000"/>
                <w:szCs w:val="18"/>
              </w:rPr>
              <w:t>1 Abonnement pro Beitritt</w:t>
            </w:r>
          </w:p>
        </w:tc>
      </w:tr>
    </w:tbl>
    <w:p w:rsidR="008D4EE5" w:rsidRPr="008849B7" w:rsidRDefault="008D4EE5" w:rsidP="008D4EE5">
      <w:pPr>
        <w:tabs>
          <w:tab w:val="num" w:pos="0"/>
        </w:tabs>
        <w:rPr>
          <w:lang w:val="de-DE"/>
        </w:rPr>
      </w:pPr>
      <w:r w:rsidRPr="008849B7">
        <w:rPr>
          <w:rFonts w:cs="Tahoma"/>
          <w:i/>
          <w:color w:val="000000"/>
          <w:sz w:val="16"/>
          <w:szCs w:val="16"/>
          <w:lang w:val="de-DE"/>
        </w:rPr>
        <w:t>* Sofern der Kunde aktive Software Assurance für fünf Server-Software-Lizenzen verfügt</w:t>
      </w:r>
    </w:p>
    <w:p w:rsidR="008D4EE5" w:rsidRPr="008623B7" w:rsidRDefault="008D4EE5" w:rsidP="008623B7">
      <w:pPr>
        <w:pStyle w:val="AppendixFlushBulletedList"/>
        <w:tabs>
          <w:tab w:val="clear" w:pos="360"/>
          <w:tab w:val="num" w:pos="0"/>
        </w:tabs>
        <w:spacing w:line="192" w:lineRule="auto"/>
        <w:ind w:left="0" w:firstLine="0"/>
        <w:rPr>
          <w:sz w:val="18"/>
          <w:szCs w:val="18"/>
          <w:lang w:val="de-DE"/>
        </w:rPr>
      </w:pPr>
    </w:p>
    <w:p w:rsidR="008D4EE5" w:rsidRPr="009123CB" w:rsidRDefault="008D4EE5" w:rsidP="008D4EE5">
      <w:pPr>
        <w:pStyle w:val="AppendixFlushBulletedList"/>
        <w:tabs>
          <w:tab w:val="clear" w:pos="360"/>
          <w:tab w:val="num" w:pos="0"/>
        </w:tabs>
        <w:ind w:left="0" w:firstLine="0"/>
        <w:rPr>
          <w:lang w:val="de-DE"/>
        </w:rPr>
      </w:pPr>
      <w:r w:rsidRPr="009123CB">
        <w:rPr>
          <w:rFonts w:ascii="Tahoma" w:hAnsi="Tahoma" w:cs="Tahoma"/>
          <w:color w:val="000000"/>
          <w:sz w:val="18"/>
          <w:szCs w:val="18"/>
          <w:lang w:val="de-DE"/>
        </w:rPr>
        <w:t>Die Nutzung der TechNet SA-Software, Vorabversions-Software und Bewertungssoftware durch die Kunden unterliegt den Bestimmungen ihres Lizenzvertrages</w:t>
      </w:r>
      <w:r w:rsidR="006257A7">
        <w:rPr>
          <w:rFonts w:ascii="Tahoma" w:hAnsi="Tahoma" w:cs="Tahoma"/>
          <w:color w:val="000000"/>
          <w:sz w:val="18"/>
          <w:szCs w:val="18"/>
          <w:lang w:val="de-DE"/>
        </w:rPr>
        <w:t xml:space="preserve">. </w:t>
      </w:r>
    </w:p>
    <w:p w:rsidR="008D4EE5" w:rsidRPr="009123CB" w:rsidRDefault="008D4EE5" w:rsidP="008D4EE5">
      <w:pPr>
        <w:pStyle w:val="AppendixFlushBulletedList"/>
        <w:tabs>
          <w:tab w:val="clear" w:pos="360"/>
          <w:tab w:val="num" w:pos="0"/>
        </w:tabs>
        <w:ind w:left="0" w:firstLine="0"/>
        <w:rPr>
          <w:lang w:val="de-DE"/>
        </w:rPr>
      </w:pPr>
      <w:r w:rsidRPr="009123CB">
        <w:rPr>
          <w:rFonts w:ascii="Tahoma" w:hAnsi="Tahoma" w:cs="Tahoma"/>
          <w:color w:val="000000"/>
          <w:sz w:val="18"/>
          <w:szCs w:val="18"/>
          <w:lang w:val="de-DE"/>
        </w:rPr>
        <w:t>Lizenzierte Vollversions-Software unterliegt keiner Zeitbeschränkung und ist nur für Bewertungszwecke bestimmt – sie ist nicht zur Verwendung in Produktionsumgebungen bestimmt</w:t>
      </w:r>
      <w:r w:rsidR="006257A7">
        <w:rPr>
          <w:rFonts w:ascii="Tahoma" w:hAnsi="Tahoma" w:cs="Tahoma"/>
          <w:color w:val="000000"/>
          <w:sz w:val="18"/>
          <w:szCs w:val="18"/>
          <w:lang w:val="de-DE"/>
        </w:rPr>
        <w:t xml:space="preserve">. </w:t>
      </w:r>
    </w:p>
    <w:p w:rsidR="008D4EE5" w:rsidRPr="008623B7" w:rsidRDefault="008D4EE5" w:rsidP="008623B7">
      <w:pPr>
        <w:pStyle w:val="AppendixFlushBulletedList"/>
        <w:tabs>
          <w:tab w:val="clear" w:pos="360"/>
          <w:tab w:val="num" w:pos="0"/>
        </w:tabs>
        <w:spacing w:line="192" w:lineRule="auto"/>
        <w:ind w:left="0" w:firstLine="0"/>
        <w:rPr>
          <w:sz w:val="18"/>
          <w:szCs w:val="18"/>
          <w:lang w:val="de-DE"/>
        </w:rPr>
      </w:pPr>
    </w:p>
    <w:p w:rsidR="008D4EE5" w:rsidRPr="009123CB" w:rsidRDefault="008D4EE5" w:rsidP="008D4EE5">
      <w:pPr>
        <w:pStyle w:val="AppendixFlushBulletedList"/>
        <w:tabs>
          <w:tab w:val="clear" w:pos="360"/>
          <w:tab w:val="num" w:pos="0"/>
        </w:tabs>
        <w:ind w:left="0" w:firstLine="0"/>
        <w:rPr>
          <w:lang w:val="de-DE"/>
        </w:rPr>
      </w:pPr>
      <w:r w:rsidRPr="009123CB">
        <w:rPr>
          <w:rFonts w:ascii="Tahoma" w:hAnsi="Tahoma" w:cs="Tahoma"/>
          <w:color w:val="000000"/>
          <w:sz w:val="18"/>
          <w:szCs w:val="18"/>
          <w:lang w:val="de-DE"/>
        </w:rPr>
        <w:t>SA-Kunden sind berechtigt, die technischen Inhalte innerhalb der Organisation, wie z</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B</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Knowledge Base, technische Schulungen, Downloads, Service Packs und Sicherheitspatches gemeinsam mit anderen zu nutzen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Die folgenden Vergünstigungen sind jedoch auf den Hauptabonnenten beschränkt und können nicht gemeinsam genutzt werden: Vollversions-Software für Bewertungszwecke, Beta-Software, technische Supportfälle und Rabatt, verwaltete Newsgroup-, Online Concierge- und andere Premium-Services, die über die TechNet Plus Direct Only Services-Website verfügbar sind</w:t>
      </w:r>
      <w:r w:rsidR="006257A7">
        <w:rPr>
          <w:rFonts w:ascii="Tahoma" w:hAnsi="Tahoma" w:cs="Tahoma"/>
          <w:color w:val="000000"/>
          <w:sz w:val="18"/>
          <w:szCs w:val="18"/>
          <w:lang w:val="de-DE"/>
        </w:rPr>
        <w:t xml:space="preserve">. </w:t>
      </w:r>
    </w:p>
    <w:p w:rsidR="008D4EE5" w:rsidRPr="008623B7" w:rsidRDefault="008D4EE5" w:rsidP="008623B7">
      <w:pPr>
        <w:pStyle w:val="AppendixFlushBulletedList"/>
        <w:tabs>
          <w:tab w:val="clear" w:pos="360"/>
          <w:tab w:val="num" w:pos="0"/>
        </w:tabs>
        <w:spacing w:line="192" w:lineRule="auto"/>
        <w:ind w:left="0" w:firstLine="0"/>
        <w:rPr>
          <w:sz w:val="18"/>
          <w:szCs w:val="18"/>
          <w:lang w:val="de-DE"/>
        </w:rPr>
      </w:pPr>
    </w:p>
    <w:p w:rsidR="008D4EE5" w:rsidRPr="009123CB" w:rsidRDefault="008D4EE5" w:rsidP="008D4EE5">
      <w:pPr>
        <w:pStyle w:val="AppendixFlushBulletedList"/>
        <w:tabs>
          <w:tab w:val="clear" w:pos="360"/>
          <w:tab w:val="num" w:pos="0"/>
        </w:tabs>
        <w:ind w:left="0" w:firstLine="0"/>
        <w:rPr>
          <w:lang w:val="de-DE"/>
        </w:rPr>
      </w:pPr>
      <w:r w:rsidRPr="009123CB">
        <w:rPr>
          <w:rFonts w:ascii="Tahoma" w:hAnsi="Tahoma" w:cs="Tahoma"/>
          <w:color w:val="000000"/>
          <w:sz w:val="18"/>
          <w:szCs w:val="18"/>
          <w:lang w:val="de-DE"/>
        </w:rPr>
        <w:t>Nicht alle TechNet Plus Direct-Services und -Vergünstigungen sind in jedem Land/in jeder Region verfügbar</w:t>
      </w:r>
      <w:r w:rsidR="006257A7">
        <w:rPr>
          <w:rFonts w:ascii="Tahoma" w:hAnsi="Tahoma" w:cs="Tahoma"/>
          <w:color w:val="000000"/>
          <w:sz w:val="18"/>
          <w:szCs w:val="18"/>
          <w:lang w:val="de-DE"/>
        </w:rPr>
        <w:t xml:space="preserve">. </w:t>
      </w:r>
    </w:p>
    <w:p w:rsidR="008D4EE5" w:rsidRPr="008623B7" w:rsidRDefault="008D4EE5" w:rsidP="008623B7">
      <w:pPr>
        <w:pStyle w:val="AppendixFlushBulletedList"/>
        <w:tabs>
          <w:tab w:val="clear" w:pos="360"/>
          <w:tab w:val="num" w:pos="0"/>
        </w:tabs>
        <w:spacing w:line="192" w:lineRule="auto"/>
        <w:ind w:left="0" w:firstLine="0"/>
        <w:rPr>
          <w:sz w:val="18"/>
          <w:szCs w:val="18"/>
          <w:lang w:val="de-DE"/>
        </w:rPr>
      </w:pPr>
    </w:p>
    <w:p w:rsidR="008D4EE5" w:rsidRPr="009123CB" w:rsidRDefault="008D4EE5" w:rsidP="008D4EE5">
      <w:pPr>
        <w:pStyle w:val="AppendixFlushBulletedList"/>
        <w:tabs>
          <w:tab w:val="clear" w:pos="360"/>
          <w:tab w:val="num" w:pos="0"/>
        </w:tabs>
        <w:ind w:left="0" w:firstLine="0"/>
        <w:rPr>
          <w:lang w:val="de-DE"/>
        </w:rPr>
      </w:pPr>
      <w:r w:rsidRPr="009123CB">
        <w:rPr>
          <w:rFonts w:ascii="Tahoma" w:hAnsi="Tahoma" w:cs="Tahoma"/>
          <w:color w:val="000000"/>
          <w:sz w:val="18"/>
          <w:szCs w:val="18"/>
          <w:lang w:val="de-DE"/>
        </w:rPr>
        <w:t xml:space="preserve">Weitere Informationen zur Verfügbarkeit nach Land/Region finden Sie unter </w:t>
      </w:r>
      <w:r w:rsidR="00801007">
        <w:rPr>
          <w:rFonts w:ascii="Tahoma" w:hAnsi="Tahoma" w:cs="Tahoma"/>
          <w:color w:val="000000"/>
          <w:sz w:val="18"/>
          <w:szCs w:val="18"/>
          <w:lang w:val="de-DE"/>
        </w:rPr>
        <w:br/>
      </w:r>
      <w:hyperlink r:id="rId28" w:history="1">
        <w:r w:rsidR="00E869D6" w:rsidRPr="00420E1C">
          <w:rPr>
            <w:rStyle w:val="Hyperlink"/>
            <w:rFonts w:ascii="Tahoma" w:hAnsi="Tahoma" w:cs="Tahoma"/>
            <w:sz w:val="18"/>
            <w:szCs w:val="18"/>
            <w:lang w:val="de-DE"/>
          </w:rPr>
          <w:t>www.microsoft.com/technet/subscription</w:t>
        </w:r>
      </w:hyperlink>
      <w:r w:rsidR="006257A7">
        <w:rPr>
          <w:rFonts w:ascii="Tahoma" w:hAnsi="Tahoma" w:cs="Tahoma"/>
          <w:color w:val="000000"/>
          <w:sz w:val="18"/>
          <w:szCs w:val="18"/>
          <w:lang w:val="de-DE"/>
        </w:rPr>
        <w:t xml:space="preserve">. </w:t>
      </w:r>
    </w:p>
    <w:p w:rsidR="008D4EE5" w:rsidRPr="009123CB" w:rsidRDefault="008D4EE5" w:rsidP="008D4EE5">
      <w:pPr>
        <w:pStyle w:val="AppendixFlushBulletedList"/>
        <w:tabs>
          <w:tab w:val="clear" w:pos="360"/>
          <w:tab w:val="num" w:pos="0"/>
        </w:tabs>
        <w:ind w:left="0" w:firstLine="0"/>
        <w:rPr>
          <w:lang w:val="de-DE"/>
        </w:rPr>
      </w:pPr>
      <w:r w:rsidRPr="009123CB">
        <w:rPr>
          <w:rFonts w:ascii="Tahoma" w:hAnsi="Tahoma" w:cs="Tahoma"/>
          <w:color w:val="000000"/>
          <w:sz w:val="18"/>
          <w:szCs w:val="18"/>
          <w:lang w:val="de-DE"/>
        </w:rPr>
        <w:t>Das Recht der Kunden zur Nutzung der TechNet SA-Software, Vorabversions-Software und Bewertungssoftware läuft mit dem Ablauf von Software Assurance ab</w:t>
      </w:r>
      <w:r w:rsidR="006257A7">
        <w:rPr>
          <w:rFonts w:ascii="Tahoma" w:hAnsi="Tahoma" w:cs="Tahoma"/>
          <w:color w:val="000000"/>
          <w:sz w:val="18"/>
          <w:szCs w:val="18"/>
          <w:lang w:val="de-DE"/>
        </w:rPr>
        <w:t xml:space="preserve">. </w:t>
      </w:r>
    </w:p>
    <w:p w:rsidR="008D4EE5" w:rsidRPr="008623B7" w:rsidRDefault="008D4EE5" w:rsidP="008623B7">
      <w:pPr>
        <w:pStyle w:val="Heading3"/>
        <w:tabs>
          <w:tab w:val="num" w:pos="0"/>
        </w:tabs>
        <w:spacing w:line="192" w:lineRule="auto"/>
        <w:rPr>
          <w:sz w:val="18"/>
          <w:szCs w:val="18"/>
          <w:lang w:val="de-DE"/>
        </w:rPr>
      </w:pPr>
    </w:p>
    <w:p w:rsidR="008D4EE5" w:rsidRPr="009123CB" w:rsidRDefault="008D4EE5" w:rsidP="008D4EE5">
      <w:pPr>
        <w:pStyle w:val="Heading3"/>
        <w:tabs>
          <w:tab w:val="num" w:pos="0"/>
        </w:tabs>
        <w:rPr>
          <w:lang w:val="de-DE"/>
        </w:rPr>
      </w:pPr>
      <w:bookmarkStart w:id="757" w:name="_Toc336338242"/>
      <w:bookmarkStart w:id="758" w:name="_Toc363998980"/>
      <w:r w:rsidRPr="009123CB">
        <w:rPr>
          <w:rFonts w:ascii="Tahoma" w:hAnsi="Tahoma" w:cs="Tahoma"/>
          <w:sz w:val="24"/>
          <w:lang w:val="de-DE"/>
        </w:rPr>
        <w:t>Lizenzmobilität durch Software Assurance</w:t>
      </w:r>
      <w:bookmarkEnd w:id="757"/>
      <w:bookmarkEnd w:id="758"/>
    </w:p>
    <w:p w:rsidR="008D4EE5" w:rsidRPr="008623B7" w:rsidRDefault="008D4EE5" w:rsidP="008623B7">
      <w:pPr>
        <w:pStyle w:val="Heading3"/>
        <w:tabs>
          <w:tab w:val="num" w:pos="0"/>
        </w:tabs>
        <w:spacing w:line="192" w:lineRule="auto"/>
        <w:rPr>
          <w:sz w:val="18"/>
          <w:szCs w:val="18"/>
          <w:lang w:val="de-DE"/>
        </w:rPr>
      </w:pPr>
    </w:p>
    <w:p w:rsidR="008D4EE5" w:rsidRPr="009123CB" w:rsidRDefault="008D4EE5" w:rsidP="008D4EE5">
      <w:pPr>
        <w:rPr>
          <w:lang w:val="de-DE"/>
        </w:rPr>
      </w:pPr>
      <w:bookmarkStart w:id="759" w:name="_Toc294048012"/>
      <w:bookmarkStart w:id="760" w:name="_Toc294048569"/>
      <w:bookmarkStart w:id="761" w:name="_Toc294092640"/>
      <w:bookmarkStart w:id="762" w:name="_Toc295819320"/>
      <w:bookmarkStart w:id="763" w:name="_Toc298795971"/>
      <w:bookmarkStart w:id="764" w:name="_Toc299369847"/>
      <w:bookmarkStart w:id="765" w:name="_Toc300391558"/>
      <w:bookmarkStart w:id="766" w:name="_Toc301939835"/>
      <w:bookmarkStart w:id="767" w:name="_Toc304801232"/>
      <w:bookmarkStart w:id="768" w:name="_Toc312399280"/>
      <w:bookmarkStart w:id="769" w:name="_Toc315289087"/>
      <w:bookmarkStart w:id="770" w:name="_Toc317591243"/>
      <w:bookmarkStart w:id="771" w:name="_Toc325313196"/>
      <w:bookmarkStart w:id="772" w:name="_Toc325609219"/>
      <w:r w:rsidRPr="009123CB">
        <w:rPr>
          <w:lang w:val="de-DE"/>
        </w:rPr>
        <w:t>Mit Lizenzmobilität durch Software Assurance können Sie bestimmte lokale Lizenzen mit aktiver Software Assurance auf gemeinsam genutzte Server von Dritten verschieben</w:t>
      </w:r>
      <w:r w:rsidR="006257A7">
        <w:rPr>
          <w:lang w:val="de-DE"/>
        </w:rPr>
        <w:t xml:space="preserve">. </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p>
    <w:p w:rsidR="008D4EE5" w:rsidRPr="008623B7" w:rsidRDefault="008D4EE5" w:rsidP="008623B7">
      <w:pPr>
        <w:spacing w:line="192" w:lineRule="auto"/>
        <w:rPr>
          <w:szCs w:val="18"/>
          <w:lang w:val="de-DE"/>
        </w:rPr>
      </w:pPr>
    </w:p>
    <w:p w:rsidR="008D4EE5" w:rsidRPr="009123CB" w:rsidRDefault="008D4EE5" w:rsidP="008D4EE5">
      <w:pPr>
        <w:rPr>
          <w:lang w:val="de-DE"/>
        </w:rPr>
      </w:pPr>
      <w:bookmarkStart w:id="773" w:name="_Toc294048013"/>
      <w:bookmarkStart w:id="774" w:name="_Toc294048570"/>
      <w:bookmarkStart w:id="775" w:name="_Toc294092641"/>
      <w:bookmarkStart w:id="776" w:name="_Toc295819321"/>
      <w:bookmarkStart w:id="777" w:name="_Toc298795972"/>
      <w:bookmarkStart w:id="778" w:name="_Toc299369848"/>
      <w:bookmarkStart w:id="779" w:name="_Toc300391559"/>
      <w:bookmarkStart w:id="780" w:name="_Toc301939836"/>
      <w:bookmarkStart w:id="781" w:name="_Toc304801233"/>
      <w:bookmarkStart w:id="782" w:name="_Toc307350402"/>
      <w:bookmarkStart w:id="783" w:name="_Toc308429813"/>
      <w:bookmarkStart w:id="784" w:name="_Toc312399281"/>
      <w:bookmarkStart w:id="785" w:name="_Toc315289088"/>
      <w:bookmarkStart w:id="786" w:name="_Toc317591244"/>
      <w:bookmarkStart w:id="787" w:name="_Toc323034197"/>
      <w:bookmarkStart w:id="788" w:name="_Toc325313197"/>
      <w:bookmarkStart w:id="789" w:name="_Toc325609220"/>
      <w:r w:rsidRPr="009123CB">
        <w:rPr>
          <w:lang w:val="de-DE"/>
        </w:rPr>
        <w:t>Alle Produkte, die derzeit für „Lizenzmobilität innerhalb von Serverfarmen“ wie in den Produktbenutzungsrechten (PUR) definiert berechtigt sind und über Software Assurance verfügen, sind zu Lizenzmobilität durch Software Assurance berechtigt</w:t>
      </w:r>
      <w:r w:rsidR="006257A7">
        <w:rPr>
          <w:lang w:val="de-DE"/>
        </w:rPr>
        <w:t xml:space="preserve">. </w:t>
      </w:r>
      <w:r w:rsidRPr="009123CB">
        <w:rPr>
          <w:lang w:val="de-DE"/>
        </w:rPr>
        <w:t>Darüber hinaus sind die folgende Produkte ebenfalls zu Lizenzmobilität durch Software Assurance berechtigt:</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p>
    <w:p w:rsidR="008D4EE5" w:rsidRPr="008623B7" w:rsidRDefault="008D4EE5" w:rsidP="008623B7">
      <w:pPr>
        <w:spacing w:line="192" w:lineRule="auto"/>
        <w:rPr>
          <w:szCs w:val="18"/>
          <w:lang w:val="de-DE"/>
        </w:rPr>
      </w:pPr>
    </w:p>
    <w:p w:rsidR="008D4EE5" w:rsidRPr="009123CB" w:rsidRDefault="008D4EE5" w:rsidP="008D4EE5">
      <w:pPr>
        <w:numPr>
          <w:ilvl w:val="0"/>
          <w:numId w:val="74"/>
        </w:numPr>
        <w:spacing w:after="60"/>
        <w:ind w:left="1440"/>
        <w:rPr>
          <w:lang w:val="de-DE"/>
        </w:rPr>
      </w:pPr>
      <w:bookmarkStart w:id="790" w:name="_Toc294048014"/>
      <w:bookmarkStart w:id="791" w:name="_Toc294048571"/>
      <w:bookmarkStart w:id="792" w:name="_Toc294092642"/>
      <w:bookmarkStart w:id="793" w:name="_Toc295819322"/>
      <w:bookmarkStart w:id="794" w:name="_Toc298795973"/>
      <w:bookmarkStart w:id="795" w:name="_Toc299369849"/>
      <w:bookmarkStart w:id="796" w:name="_Toc300391560"/>
      <w:bookmarkStart w:id="797" w:name="_Toc301939837"/>
      <w:bookmarkStart w:id="798" w:name="_Toc304801234"/>
      <w:bookmarkStart w:id="799" w:name="_Toc307350403"/>
      <w:bookmarkStart w:id="800" w:name="_Toc308429814"/>
      <w:bookmarkStart w:id="801" w:name="_Toc312399282"/>
      <w:bookmarkStart w:id="802" w:name="_Toc315289089"/>
      <w:bookmarkStart w:id="803" w:name="_Toc317591245"/>
      <w:bookmarkStart w:id="804" w:name="_Toc323034198"/>
      <w:bookmarkStart w:id="805" w:name="_Toc325313198"/>
      <w:bookmarkStart w:id="806" w:name="_Toc325609221"/>
      <w:r w:rsidRPr="009123CB">
        <w:rPr>
          <w:lang w:val="de-DE"/>
        </w:rPr>
        <w:t>SQL Server Standard – Pro Prozessor und Server/CAL (nur Prozessor- und Serverlizenzen) mit Software Assurance</w:t>
      </w:r>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p>
    <w:p w:rsidR="008D4EE5" w:rsidRPr="009123CB" w:rsidRDefault="008D4EE5" w:rsidP="008D4EE5">
      <w:pPr>
        <w:numPr>
          <w:ilvl w:val="0"/>
          <w:numId w:val="74"/>
        </w:numPr>
        <w:spacing w:after="60"/>
        <w:ind w:left="1440"/>
        <w:rPr>
          <w:lang w:val="de-DE"/>
        </w:rPr>
      </w:pPr>
      <w:bookmarkStart w:id="807" w:name="_Toc294048015"/>
      <w:bookmarkStart w:id="808" w:name="_Toc294048572"/>
      <w:bookmarkStart w:id="809" w:name="_Toc294092643"/>
      <w:bookmarkStart w:id="810" w:name="_Toc295819323"/>
      <w:bookmarkStart w:id="811" w:name="_Toc298795974"/>
      <w:bookmarkStart w:id="812" w:name="_Toc299369850"/>
      <w:bookmarkStart w:id="813" w:name="_Toc300391561"/>
      <w:bookmarkStart w:id="814" w:name="_Toc301939838"/>
      <w:bookmarkStart w:id="815" w:name="_Toc304801235"/>
      <w:bookmarkStart w:id="816" w:name="_Toc307350404"/>
      <w:bookmarkStart w:id="817" w:name="_Toc308429815"/>
      <w:bookmarkStart w:id="818" w:name="_Toc312399283"/>
      <w:bookmarkStart w:id="819" w:name="_Toc315289090"/>
      <w:bookmarkStart w:id="820" w:name="_Toc317591246"/>
      <w:bookmarkStart w:id="821" w:name="_Toc323034199"/>
      <w:bookmarkStart w:id="822" w:name="_Toc325313199"/>
      <w:bookmarkStart w:id="823" w:name="_Toc325609222"/>
      <w:r w:rsidRPr="009123CB">
        <w:rPr>
          <w:lang w:val="de-DE"/>
        </w:rPr>
        <w:t>System Center – alle Server-Management-Lizenzen (MLs), einschließlich SMSE und SMSD mit Software Assurance</w:t>
      </w:r>
      <w:bookmarkEnd w:id="807"/>
      <w:bookmarkEnd w:id="808"/>
      <w:bookmarkEnd w:id="809"/>
      <w:bookmarkEnd w:id="810"/>
      <w:bookmarkEnd w:id="811"/>
      <w:bookmarkEnd w:id="812"/>
      <w:bookmarkEnd w:id="813"/>
      <w:bookmarkEnd w:id="814"/>
      <w:bookmarkEnd w:id="815"/>
      <w:bookmarkEnd w:id="816"/>
      <w:bookmarkEnd w:id="817"/>
      <w:bookmarkEnd w:id="818"/>
      <w:bookmarkEnd w:id="819"/>
      <w:r w:rsidRPr="009123CB">
        <w:rPr>
          <w:lang w:val="de-DE"/>
        </w:rPr>
        <w:t xml:space="preserve"> System Center 2012 Standard und Datacenter mit Software Assurance</w:t>
      </w:r>
      <w:bookmarkEnd w:id="820"/>
      <w:bookmarkEnd w:id="821"/>
      <w:bookmarkEnd w:id="822"/>
      <w:bookmarkEnd w:id="823"/>
    </w:p>
    <w:p w:rsidR="008D4EE5" w:rsidRPr="009123CB" w:rsidRDefault="008D4EE5" w:rsidP="008D4EE5">
      <w:pPr>
        <w:rPr>
          <w:lang w:val="de-DE"/>
        </w:rPr>
      </w:pPr>
      <w:bookmarkStart w:id="824" w:name="_Toc294048016"/>
      <w:bookmarkStart w:id="825" w:name="_Toc294048573"/>
      <w:bookmarkStart w:id="826" w:name="_Toc294092644"/>
      <w:bookmarkStart w:id="827" w:name="_Toc295819324"/>
      <w:bookmarkStart w:id="828" w:name="_Toc298795975"/>
      <w:bookmarkStart w:id="829" w:name="_Toc299369851"/>
      <w:bookmarkStart w:id="830" w:name="_Toc300391562"/>
      <w:bookmarkStart w:id="831" w:name="_Toc301939839"/>
      <w:bookmarkStart w:id="832" w:name="_Toc304801236"/>
      <w:bookmarkStart w:id="833" w:name="_Toc307350405"/>
      <w:bookmarkStart w:id="834" w:name="_Toc308429816"/>
      <w:bookmarkStart w:id="835" w:name="_Toc312399284"/>
      <w:bookmarkStart w:id="836" w:name="_Toc315289091"/>
      <w:bookmarkStart w:id="837" w:name="_Toc317591247"/>
      <w:bookmarkStart w:id="838" w:name="_Toc323034200"/>
      <w:bookmarkStart w:id="839" w:name="_Toc325313200"/>
      <w:bookmarkStart w:id="840" w:name="_Toc325609223"/>
      <w:r w:rsidRPr="009123CB">
        <w:rPr>
          <w:lang w:val="de-DE"/>
        </w:rPr>
        <w:t>Um Lizenzmobilität durch Software Assurance zu verwenden, müssen Kunden folgende Anforderungen erfüllen:</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rsidR="008D4EE5" w:rsidRPr="00051083" w:rsidRDefault="008D4EE5" w:rsidP="00051083">
      <w:pPr>
        <w:spacing w:line="168" w:lineRule="auto"/>
        <w:rPr>
          <w:sz w:val="16"/>
          <w:szCs w:val="16"/>
          <w:lang w:val="de-DE"/>
        </w:rPr>
      </w:pPr>
    </w:p>
    <w:p w:rsidR="008D4EE5" w:rsidRPr="009123CB" w:rsidRDefault="008D4EE5" w:rsidP="008D4EE5">
      <w:pPr>
        <w:numPr>
          <w:ilvl w:val="0"/>
          <w:numId w:val="63"/>
        </w:numPr>
        <w:spacing w:after="60"/>
        <w:ind w:left="1440"/>
        <w:rPr>
          <w:lang w:val="de-DE"/>
        </w:rPr>
      </w:pPr>
      <w:bookmarkStart w:id="841" w:name="_Toc294048017"/>
      <w:bookmarkStart w:id="842" w:name="_Toc294048574"/>
      <w:bookmarkStart w:id="843" w:name="_Toc294092645"/>
      <w:bookmarkStart w:id="844" w:name="_Toc295819325"/>
      <w:bookmarkStart w:id="845" w:name="_Toc298795976"/>
      <w:bookmarkStart w:id="846" w:name="_Toc299369852"/>
      <w:bookmarkStart w:id="847" w:name="_Toc300391563"/>
      <w:bookmarkStart w:id="848" w:name="_Toc301939840"/>
      <w:bookmarkStart w:id="849" w:name="_Toc304801237"/>
      <w:bookmarkStart w:id="850" w:name="_Toc307350406"/>
      <w:bookmarkStart w:id="851" w:name="_Toc308429817"/>
      <w:bookmarkStart w:id="852" w:name="_Toc312399285"/>
      <w:bookmarkStart w:id="853" w:name="_Toc315289092"/>
      <w:bookmarkStart w:id="854" w:name="_Toc317591248"/>
      <w:bookmarkStart w:id="855" w:name="_Toc323034201"/>
      <w:bookmarkStart w:id="856" w:name="_Toc325313201"/>
      <w:bookmarkStart w:id="857" w:name="_Toc325609224"/>
      <w:r w:rsidRPr="009123CB">
        <w:rPr>
          <w:lang w:val="de-DE"/>
        </w:rPr>
        <w:t>Software Assurance für die Lizenzen, unter denen sie auf gemeinsam genutzten Servern Dritter Software nutzen oder Betriebssystemumgebungen verwalten, sowie für alle zugehörigen CALs, Externen Connector-Lizenzen und Management-Lizenzen beibehalten,</w:t>
      </w:r>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p>
    <w:p w:rsidR="008D4EE5" w:rsidRPr="009123CB" w:rsidRDefault="008D4EE5" w:rsidP="008D4EE5">
      <w:pPr>
        <w:numPr>
          <w:ilvl w:val="0"/>
          <w:numId w:val="63"/>
        </w:numPr>
        <w:spacing w:after="60"/>
        <w:ind w:left="1440"/>
        <w:rPr>
          <w:lang w:val="de-DE"/>
        </w:rPr>
      </w:pPr>
      <w:bookmarkStart w:id="858" w:name="_Toc294048018"/>
      <w:bookmarkStart w:id="859" w:name="_Toc294048575"/>
      <w:bookmarkStart w:id="860" w:name="_Toc294092646"/>
      <w:bookmarkStart w:id="861" w:name="_Toc295819326"/>
      <w:bookmarkStart w:id="862" w:name="_Toc298795977"/>
      <w:bookmarkStart w:id="863" w:name="_Toc299369853"/>
      <w:bookmarkStart w:id="864" w:name="_Toc300391564"/>
      <w:bookmarkStart w:id="865" w:name="_Toc301939841"/>
      <w:bookmarkStart w:id="866" w:name="_Toc304801238"/>
      <w:bookmarkStart w:id="867" w:name="_Toc307350407"/>
      <w:bookmarkStart w:id="868" w:name="_Toc308429818"/>
      <w:bookmarkStart w:id="869" w:name="_Toc312399286"/>
      <w:bookmarkStart w:id="870" w:name="_Toc315289093"/>
      <w:bookmarkStart w:id="871" w:name="_Toc317591249"/>
      <w:bookmarkStart w:id="872" w:name="_Toc323034202"/>
      <w:bookmarkStart w:id="873" w:name="_Toc325313202"/>
      <w:bookmarkStart w:id="874" w:name="_Toc325609225"/>
      <w:r w:rsidRPr="009123CB">
        <w:rPr>
          <w:lang w:val="de-DE"/>
        </w:rPr>
        <w:t>ihre Lizenzen nur mit qualifizierten Partnern für Lizenzmobilität durch Software Assurance bereitstellen</w:t>
      </w:r>
      <w:r w:rsidR="006257A7">
        <w:rPr>
          <w:lang w:val="de-DE"/>
        </w:rPr>
        <w:t xml:space="preserve">. </w:t>
      </w:r>
      <w:r w:rsidRPr="009123CB">
        <w:rPr>
          <w:lang w:val="de-DE"/>
        </w:rPr>
        <w:t>Eine Liste der qualifizierten Partner für Lizenzmobilität durch Software Assurance finden Sie unter http://www</w:t>
      </w:r>
      <w:r w:rsidR="00E869D6">
        <w:rPr>
          <w:lang w:val="de-DE"/>
        </w:rPr>
        <w:t>.</w:t>
      </w:r>
      <w:r w:rsidRPr="009123CB">
        <w:rPr>
          <w:lang w:val="de-DE"/>
        </w:rPr>
        <w:t>microsoft</w:t>
      </w:r>
      <w:r w:rsidR="00E869D6">
        <w:rPr>
          <w:lang w:val="de-DE"/>
        </w:rPr>
        <w:t>.</w:t>
      </w:r>
      <w:r w:rsidRPr="009123CB">
        <w:rPr>
          <w:lang w:val="de-DE"/>
        </w:rPr>
        <w:t>com/licensing/software-assurance/license-mobility, und</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p>
    <w:p w:rsidR="008D4EE5" w:rsidRPr="009123CB" w:rsidRDefault="008D4EE5" w:rsidP="00A634DA">
      <w:pPr>
        <w:numPr>
          <w:ilvl w:val="0"/>
          <w:numId w:val="63"/>
        </w:numPr>
        <w:spacing w:after="60"/>
        <w:ind w:left="1440"/>
        <w:rPr>
          <w:lang w:val="de-DE"/>
        </w:rPr>
      </w:pPr>
      <w:bookmarkStart w:id="875" w:name="_Toc294048019"/>
      <w:bookmarkStart w:id="876" w:name="_Toc294048576"/>
      <w:bookmarkStart w:id="877" w:name="_Toc294092647"/>
      <w:bookmarkStart w:id="878" w:name="_Toc295819327"/>
      <w:bookmarkStart w:id="879" w:name="_Toc298795978"/>
      <w:bookmarkStart w:id="880" w:name="_Toc299369854"/>
      <w:bookmarkStart w:id="881" w:name="_Toc300391565"/>
      <w:bookmarkStart w:id="882" w:name="_Toc301939842"/>
      <w:bookmarkStart w:id="883" w:name="_Toc304801239"/>
      <w:bookmarkStart w:id="884" w:name="_Toc307350408"/>
      <w:bookmarkStart w:id="885" w:name="_Toc308429819"/>
      <w:bookmarkStart w:id="886" w:name="_Toc312399287"/>
      <w:bookmarkStart w:id="887" w:name="_Toc315289094"/>
      <w:bookmarkStart w:id="888" w:name="_Toc317591250"/>
      <w:bookmarkStart w:id="889" w:name="_Toc323034203"/>
      <w:bookmarkStart w:id="890" w:name="_Toc325313203"/>
      <w:bookmarkStart w:id="891" w:name="_Toc325609226"/>
      <w:r w:rsidRPr="009123CB">
        <w:rPr>
          <w:lang w:val="de-DE"/>
        </w:rPr>
        <w:t>das Formblatt zur Validierung von Lizenzmobilität ausfüllen und bei jedem Partner für Lizenzmobilität durch Software Assurance, der die lizenzierte Software der Kunden den gemeinsam</w:t>
      </w:r>
      <w:r w:rsidR="00A634DA">
        <w:rPr>
          <w:lang w:val="de-DE"/>
        </w:rPr>
        <w:t> </w:t>
      </w:r>
      <w:r w:rsidRPr="009123CB">
        <w:rPr>
          <w:lang w:val="de-DE"/>
        </w:rPr>
        <w:t>genutzten Servern der Partner ausführt, einreichen</w:t>
      </w:r>
      <w:r w:rsidR="006257A7">
        <w:rPr>
          <w:lang w:val="de-DE"/>
        </w:rPr>
        <w:t xml:space="preserve">. </w:t>
      </w:r>
      <w:r w:rsidRPr="009123CB">
        <w:rPr>
          <w:lang w:val="de-DE"/>
        </w:rPr>
        <w:t>Das Formblatt zur Validierung von</w:t>
      </w:r>
      <w:r w:rsidR="00A634DA">
        <w:rPr>
          <w:lang w:val="de-DE"/>
        </w:rPr>
        <w:t> </w:t>
      </w:r>
      <w:r w:rsidRPr="009123CB">
        <w:rPr>
          <w:lang w:val="de-DE"/>
        </w:rPr>
        <w:t>Lizenzmobilität wird Kunden vom qualifizierten Partner für Lizenzmobilität durch Software Assurance zur Verfügung gestellt</w:t>
      </w:r>
      <w:r w:rsidR="006257A7">
        <w:rPr>
          <w:lang w:val="de-DE"/>
        </w:rPr>
        <w:t xml:space="preserve">. </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p>
    <w:p w:rsidR="008D4EE5" w:rsidRPr="00051083" w:rsidRDefault="008D4EE5" w:rsidP="00051083">
      <w:pPr>
        <w:spacing w:line="168" w:lineRule="auto"/>
        <w:rPr>
          <w:sz w:val="16"/>
          <w:szCs w:val="16"/>
          <w:lang w:val="de-DE"/>
        </w:rPr>
      </w:pPr>
    </w:p>
    <w:p w:rsidR="008D4EE5" w:rsidRPr="009123CB" w:rsidRDefault="008D4EE5" w:rsidP="00A634DA">
      <w:pPr>
        <w:rPr>
          <w:lang w:val="de-DE"/>
        </w:rPr>
      </w:pPr>
      <w:bookmarkStart w:id="892" w:name="_Toc294048020"/>
      <w:bookmarkStart w:id="893" w:name="_Toc294048577"/>
      <w:bookmarkStart w:id="894" w:name="_Toc294092648"/>
      <w:bookmarkStart w:id="895" w:name="_Toc295819328"/>
      <w:bookmarkStart w:id="896" w:name="_Toc298795979"/>
      <w:bookmarkStart w:id="897" w:name="_Toc299369855"/>
      <w:bookmarkStart w:id="898" w:name="_Toc300391566"/>
      <w:bookmarkStart w:id="899" w:name="_Toc301939843"/>
      <w:bookmarkStart w:id="900" w:name="_Toc304801240"/>
      <w:bookmarkStart w:id="901" w:name="_Toc307350409"/>
      <w:bookmarkStart w:id="902" w:name="_Toc308429820"/>
      <w:bookmarkStart w:id="903" w:name="_Toc312399288"/>
      <w:bookmarkStart w:id="904" w:name="_Toc317591251"/>
      <w:bookmarkStart w:id="905" w:name="_Toc323034204"/>
      <w:bookmarkStart w:id="906" w:name="_Toc325313204"/>
      <w:bookmarkStart w:id="907" w:name="_Toc325609227"/>
      <w:r w:rsidRPr="009123CB">
        <w:rPr>
          <w:lang w:val="de-DE"/>
        </w:rPr>
        <w:t>Die Rechte von Kunden zur Nutzung von lizenzierter Software und Verwaltung von Betriebssystemumgebungen auf gemeinsam genutzten Servern eines Dritten enden mit Ablauf der Software Assurance für diese Lizenzen oder für die</w:t>
      </w:r>
      <w:r w:rsidR="00A634DA">
        <w:rPr>
          <w:lang w:val="de-DE"/>
        </w:rPr>
        <w:t> </w:t>
      </w:r>
      <w:r w:rsidRPr="009123CB">
        <w:rPr>
          <w:lang w:val="de-DE"/>
        </w:rPr>
        <w:t>entsprechenden Zugriffs- oder Management-Lizenzen</w:t>
      </w:r>
      <w:r w:rsidR="006257A7">
        <w:rPr>
          <w:lang w:val="de-DE"/>
        </w:rPr>
        <w:t xml:space="preserve">. </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p>
    <w:p w:rsidR="008D4EE5" w:rsidRPr="00051083" w:rsidRDefault="008D4EE5" w:rsidP="00051083">
      <w:pPr>
        <w:spacing w:line="168" w:lineRule="auto"/>
        <w:rPr>
          <w:sz w:val="16"/>
          <w:szCs w:val="16"/>
          <w:lang w:val="de-DE"/>
        </w:rPr>
      </w:pPr>
    </w:p>
    <w:p w:rsidR="008D4EE5" w:rsidRPr="009123CB" w:rsidRDefault="008D4EE5" w:rsidP="008D4EE5">
      <w:pPr>
        <w:pStyle w:val="Heading3"/>
        <w:keepNext/>
        <w:tabs>
          <w:tab w:val="num" w:pos="0"/>
        </w:tabs>
        <w:rPr>
          <w:lang w:val="de-DE"/>
        </w:rPr>
      </w:pPr>
      <w:bookmarkStart w:id="908" w:name="_Toc336338243"/>
      <w:bookmarkStart w:id="909" w:name="_Toc363998981"/>
      <w:r w:rsidRPr="009123CB">
        <w:rPr>
          <w:rFonts w:ascii="Tahoma" w:hAnsi="Tahoma" w:cs="Tahoma"/>
          <w:sz w:val="24"/>
          <w:lang w:val="de-DE"/>
        </w:rPr>
        <w:t>Windows Thin PC</w:t>
      </w:r>
      <w:bookmarkEnd w:id="908"/>
      <w:bookmarkEnd w:id="909"/>
    </w:p>
    <w:p w:rsidR="008D4EE5" w:rsidRPr="00051083" w:rsidRDefault="008D4EE5" w:rsidP="00051083">
      <w:pPr>
        <w:pStyle w:val="Heading3"/>
        <w:spacing w:line="168" w:lineRule="auto"/>
        <w:rPr>
          <w:sz w:val="16"/>
          <w:szCs w:val="16"/>
          <w:lang w:val="de-DE"/>
        </w:rPr>
      </w:pPr>
    </w:p>
    <w:p w:rsidR="008D4EE5" w:rsidRPr="009123CB" w:rsidRDefault="008D4EE5" w:rsidP="008D4EE5">
      <w:pPr>
        <w:rPr>
          <w:lang w:val="de-DE"/>
        </w:rPr>
      </w:pPr>
      <w:r w:rsidRPr="009123CB">
        <w:rPr>
          <w:rFonts w:eastAsia="Calibri" w:cs="Tahoma"/>
          <w:szCs w:val="20"/>
          <w:lang w:val="de-DE"/>
        </w:rPr>
        <w:t xml:space="preserve">Volumenlizenzkunden mit aktiver Software Assurance für das Windows Desktop-Betriebssystem oder aktiven Lizenzen für VDA oder Windows Intune </w:t>
      </w:r>
      <w:r w:rsidRPr="009123CB">
        <w:rPr>
          <w:rFonts w:cs="Tahoma"/>
          <w:szCs w:val="18"/>
          <w:lang w:val="de-DE"/>
        </w:rPr>
        <w:t xml:space="preserve">(Pro Gerät) </w:t>
      </w:r>
      <w:r w:rsidRPr="009123CB">
        <w:rPr>
          <w:rFonts w:eastAsia="Calibri" w:cs="Tahoma"/>
          <w:szCs w:val="20"/>
          <w:lang w:val="de-DE"/>
        </w:rPr>
        <w:t>sind zu dieser Vergünstigung berechtigt</w:t>
      </w:r>
      <w:r w:rsidR="006257A7">
        <w:rPr>
          <w:rFonts w:eastAsia="Calibri" w:cs="Tahoma"/>
          <w:szCs w:val="20"/>
          <w:lang w:val="de-DE"/>
        </w:rPr>
        <w:t xml:space="preserve">. </w:t>
      </w:r>
      <w:r w:rsidRPr="009123CB">
        <w:rPr>
          <w:rFonts w:eastAsia="Calibri" w:cs="Tahoma"/>
          <w:szCs w:val="20"/>
          <w:lang w:val="de-DE"/>
        </w:rPr>
        <w:t xml:space="preserve">Kunden, die </w:t>
      </w:r>
      <w:r w:rsidRPr="009123CB">
        <w:rPr>
          <w:rFonts w:eastAsia="Calibri" w:cs="Tahoma"/>
          <w:color w:val="000000"/>
          <w:szCs w:val="20"/>
          <w:lang w:val="de-DE"/>
        </w:rPr>
        <w:t xml:space="preserve">unter </w:t>
      </w:r>
      <w:r w:rsidRPr="009123CB">
        <w:rPr>
          <w:rFonts w:eastAsia="Calibri" w:cs="Tahoma"/>
          <w:szCs w:val="20"/>
          <w:lang w:val="de-DE"/>
        </w:rPr>
        <w:t>VDA auf diese Vergünstigung zugreifen, müssen ein qualifizierendes Betriebssystem</w:t>
      </w:r>
      <w:r w:rsidRPr="009123CB">
        <w:rPr>
          <w:rFonts w:eastAsia="Calibri" w:cs="Tahoma"/>
          <w:color w:val="1F497D"/>
          <w:szCs w:val="20"/>
          <w:lang w:val="de-DE"/>
        </w:rPr>
        <w:t xml:space="preserve"> </w:t>
      </w:r>
      <w:r w:rsidRPr="009123CB">
        <w:rPr>
          <w:rFonts w:eastAsia="Calibri" w:cs="Tahoma"/>
          <w:color w:val="000000"/>
          <w:szCs w:val="20"/>
          <w:lang w:val="de-DE"/>
        </w:rPr>
        <w:t xml:space="preserve">auf ihrem lizenzierten Gerät installiert haben, </w:t>
      </w:r>
      <w:r w:rsidRPr="009123CB">
        <w:rPr>
          <w:rFonts w:eastAsia="Calibri" w:cs="Tahoma"/>
          <w:szCs w:val="20"/>
          <w:lang w:val="de-DE"/>
        </w:rPr>
        <w:t xml:space="preserve">wie in der Tabelle „Qualifizierende Betriebssysteme“ in den </w:t>
      </w:r>
      <w:r w:rsidRPr="009123CB">
        <w:rPr>
          <w:rFonts w:eastAsia="Calibri" w:cs="Tahoma"/>
          <w:color w:val="000000"/>
          <w:szCs w:val="20"/>
          <w:lang w:val="de-DE"/>
        </w:rPr>
        <w:t xml:space="preserve">Produkthinweisen </w:t>
      </w:r>
      <w:r w:rsidRPr="009123CB">
        <w:rPr>
          <w:rFonts w:eastAsia="Calibri" w:cs="Tahoma"/>
          <w:szCs w:val="20"/>
          <w:lang w:val="de-DE"/>
        </w:rPr>
        <w:t>im Abschnitt „System-Pool“ aufgeführt</w:t>
      </w:r>
      <w:r w:rsidR="006257A7">
        <w:rPr>
          <w:rFonts w:eastAsia="Calibri" w:cs="Tahoma"/>
          <w:szCs w:val="20"/>
          <w:lang w:val="de-DE"/>
        </w:rPr>
        <w:t xml:space="preserve">. </w:t>
      </w:r>
    </w:p>
    <w:p w:rsidR="008D4EE5" w:rsidRPr="00051083" w:rsidRDefault="008D4EE5" w:rsidP="00051083">
      <w:pPr>
        <w:spacing w:line="168" w:lineRule="auto"/>
        <w:rPr>
          <w:sz w:val="16"/>
          <w:szCs w:val="16"/>
          <w:lang w:val="de-DE"/>
        </w:rPr>
      </w:pPr>
    </w:p>
    <w:p w:rsidR="008D4EE5" w:rsidRPr="009123CB" w:rsidRDefault="008D4EE5" w:rsidP="008D4EE5">
      <w:pPr>
        <w:rPr>
          <w:lang w:val="de-DE"/>
        </w:rPr>
      </w:pPr>
      <w:r w:rsidRPr="009123CB">
        <w:rPr>
          <w:rFonts w:eastAsia="Calibri" w:cs="Tahoma"/>
          <w:szCs w:val="20"/>
          <w:lang w:val="de-DE"/>
        </w:rPr>
        <w:t>Bei Windows Thin PC handelt es sich um eine kleiner dimensionierte, Windows-basierte Betriebssystemlösung für Kunden, die ihre vorhandenen Windows 8-fähigen</w:t>
      </w:r>
      <w:r w:rsidRPr="009123CB">
        <w:rPr>
          <w:rFonts w:eastAsia="Calibri" w:cs="Tahoma"/>
          <w:color w:val="1F497D"/>
          <w:szCs w:val="20"/>
          <w:lang w:val="de-DE"/>
        </w:rPr>
        <w:t xml:space="preserve"> </w:t>
      </w:r>
      <w:r w:rsidRPr="009123CB">
        <w:rPr>
          <w:rFonts w:eastAsia="Calibri" w:cs="Tahoma"/>
          <w:szCs w:val="20"/>
          <w:lang w:val="de-DE"/>
        </w:rPr>
        <w:t>PCs einem anderen Zweck zuführen möchten, um eine Verbindung mit einem zentralisierten Desktop herzustellen, ohne neue Thin-Client-Hardware erwerben zu müssen</w:t>
      </w:r>
      <w:r w:rsidR="006257A7">
        <w:rPr>
          <w:rFonts w:eastAsia="Calibri" w:cs="Tahoma"/>
          <w:szCs w:val="20"/>
          <w:lang w:val="de-DE"/>
        </w:rPr>
        <w:t xml:space="preserve">. </w:t>
      </w:r>
      <w:r w:rsidRPr="009123CB">
        <w:rPr>
          <w:rFonts w:eastAsia="Calibri" w:cs="Tahoma"/>
          <w:szCs w:val="20"/>
          <w:lang w:val="de-DE"/>
        </w:rPr>
        <w:t xml:space="preserve">Berechtigte Kunden können Windows Thin PC anstelle von Instanzen des Windows Desktop-Betriebssystems nutzen, das Sie unter ihrer Windows Software Assurance oder ihren Lizenzen für Windows Intune </w:t>
      </w:r>
      <w:r w:rsidRPr="009123CB">
        <w:rPr>
          <w:rFonts w:cs="Tahoma"/>
          <w:szCs w:val="18"/>
          <w:lang w:val="de-DE"/>
        </w:rPr>
        <w:t>(Pro Gerät)</w:t>
      </w:r>
      <w:r w:rsidRPr="009123CB">
        <w:rPr>
          <w:rFonts w:eastAsia="Calibri" w:cs="Tahoma"/>
          <w:color w:val="000000"/>
          <w:szCs w:val="20"/>
          <w:lang w:val="de-DE"/>
        </w:rPr>
        <w:t xml:space="preserve"> oder Windows </w:t>
      </w:r>
      <w:r w:rsidRPr="009123CB">
        <w:rPr>
          <w:rFonts w:eastAsia="Calibri" w:cs="Tahoma"/>
          <w:szCs w:val="20"/>
          <w:lang w:val="de-DE"/>
        </w:rPr>
        <w:t>VDA nutzen dürfen</w:t>
      </w:r>
      <w:r w:rsidR="006257A7">
        <w:rPr>
          <w:rFonts w:eastAsia="Calibri" w:cs="Tahoma"/>
          <w:szCs w:val="20"/>
          <w:lang w:val="de-DE"/>
        </w:rPr>
        <w:t xml:space="preserve">. </w:t>
      </w:r>
      <w:r w:rsidRPr="009123CB">
        <w:rPr>
          <w:rFonts w:eastAsia="Calibri" w:cs="Tahoma"/>
          <w:szCs w:val="20"/>
          <w:lang w:val="de-DE"/>
        </w:rPr>
        <w:t>Die Nutzung von Windows Thin PC durch Kunden unterliegt den Bestimmungen ihres Lizenzvertrages</w:t>
      </w:r>
      <w:r w:rsidR="006257A7">
        <w:rPr>
          <w:rFonts w:eastAsia="Calibri" w:cs="Tahoma"/>
          <w:szCs w:val="20"/>
          <w:lang w:val="de-DE"/>
        </w:rPr>
        <w:t xml:space="preserve">. </w:t>
      </w:r>
    </w:p>
    <w:p w:rsidR="008D4EE5" w:rsidRPr="00051083" w:rsidRDefault="008D4EE5" w:rsidP="00051083">
      <w:pPr>
        <w:spacing w:line="168" w:lineRule="auto"/>
        <w:rPr>
          <w:sz w:val="16"/>
          <w:szCs w:val="16"/>
          <w:lang w:val="de-DE"/>
        </w:rPr>
      </w:pPr>
    </w:p>
    <w:p w:rsidR="008D4EE5" w:rsidRPr="009123CB" w:rsidRDefault="008D4EE5" w:rsidP="008D4EE5">
      <w:pPr>
        <w:outlineLvl w:val="2"/>
        <w:rPr>
          <w:lang w:val="de-DE"/>
        </w:rPr>
      </w:pPr>
      <w:bookmarkStart w:id="910" w:name="_Toc291204568"/>
      <w:r w:rsidRPr="009123CB">
        <w:rPr>
          <w:rFonts w:cs="Tahoma"/>
          <w:b/>
          <w:sz w:val="24"/>
          <w:szCs w:val="20"/>
          <w:lang w:val="de-DE"/>
        </w:rPr>
        <w:t>Erweiterter Hotfix-Support</w:t>
      </w:r>
      <w:bookmarkEnd w:id="910"/>
    </w:p>
    <w:p w:rsidR="008D4EE5" w:rsidRPr="00051083" w:rsidRDefault="008D4EE5" w:rsidP="00051083">
      <w:pPr>
        <w:spacing w:line="168" w:lineRule="auto"/>
        <w:outlineLvl w:val="2"/>
        <w:rPr>
          <w:sz w:val="16"/>
          <w:szCs w:val="16"/>
          <w:lang w:val="de-DE"/>
        </w:rPr>
      </w:pPr>
    </w:p>
    <w:p w:rsidR="008D4EE5" w:rsidRPr="009123CB" w:rsidRDefault="008D4EE5" w:rsidP="008D4EE5">
      <w:pPr>
        <w:rPr>
          <w:lang w:val="de-DE"/>
        </w:rPr>
      </w:pPr>
      <w:r w:rsidRPr="009123CB">
        <w:rPr>
          <w:rFonts w:cs="Tahoma"/>
          <w:lang w:val="de-DE"/>
        </w:rPr>
        <w:t>Erweiterter Hotfix-Support ist für die folgenden Kunden verfügbar:</w:t>
      </w:r>
    </w:p>
    <w:p w:rsidR="008D4EE5" w:rsidRPr="00051083" w:rsidRDefault="008D4EE5" w:rsidP="00051083">
      <w:pPr>
        <w:spacing w:line="168" w:lineRule="auto"/>
        <w:rPr>
          <w:sz w:val="16"/>
          <w:szCs w:val="16"/>
          <w:lang w:val="de-DE"/>
        </w:rPr>
      </w:pPr>
    </w:p>
    <w:p w:rsidR="008D4EE5" w:rsidRPr="00A634DA" w:rsidRDefault="008D4EE5" w:rsidP="008D4EE5">
      <w:pPr>
        <w:numPr>
          <w:ilvl w:val="0"/>
          <w:numId w:val="48"/>
        </w:numPr>
        <w:spacing w:after="60"/>
        <w:ind w:left="1440"/>
        <w:jc w:val="both"/>
        <w:rPr>
          <w:rFonts w:cs="Tahoma"/>
          <w:szCs w:val="18"/>
          <w:lang w:val="de-DE"/>
        </w:rPr>
      </w:pPr>
      <w:r w:rsidRPr="00A634DA">
        <w:rPr>
          <w:rFonts w:cs="Tahoma"/>
          <w:szCs w:val="18"/>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rsidR="008D4EE5" w:rsidRPr="009123CB" w:rsidRDefault="008D4EE5" w:rsidP="008D4EE5">
      <w:pPr>
        <w:numPr>
          <w:ilvl w:val="0"/>
          <w:numId w:val="48"/>
        </w:numPr>
        <w:spacing w:after="60"/>
        <w:ind w:left="1440"/>
        <w:jc w:val="both"/>
        <w:rPr>
          <w:lang w:val="de-DE"/>
        </w:rPr>
      </w:pPr>
      <w:r w:rsidRPr="009123CB">
        <w:rPr>
          <w:rFonts w:cs="Tahoma"/>
          <w:szCs w:val="18"/>
          <w:lang w:val="de-DE"/>
        </w:rPr>
        <w:t>Kunden (außer Kunden mit Select-Lizenz für Forschung &amp; Lehre, Select Plus für Forschung &amp; Lehre sowie Campus- und School-Vertrag und Open Value Subscription – Education Solutions) mit Mitgliedschaft bei Software Assurance im System-Pool haben Anspruch auf den Erweiterten Hotfix-Support für das Windows Desktop-Betriebssystem</w:t>
      </w:r>
      <w:r w:rsidR="006257A7">
        <w:rPr>
          <w:rFonts w:cs="Tahoma"/>
          <w:szCs w:val="18"/>
          <w:lang w:val="de-DE"/>
        </w:rPr>
        <w:t xml:space="preserve">. </w:t>
      </w:r>
    </w:p>
    <w:p w:rsidR="008D4EE5" w:rsidRPr="009123CB" w:rsidRDefault="008D4EE5" w:rsidP="008D4EE5">
      <w:pPr>
        <w:numPr>
          <w:ilvl w:val="0"/>
          <w:numId w:val="48"/>
        </w:numPr>
        <w:spacing w:after="60"/>
        <w:ind w:left="1440"/>
        <w:jc w:val="both"/>
        <w:rPr>
          <w:lang w:val="de-DE"/>
        </w:rPr>
      </w:pPr>
      <w:r w:rsidRPr="009123CB">
        <w:rPr>
          <w:rFonts w:cs="Tahoma"/>
          <w:szCs w:val="18"/>
          <w:lang w:val="de-DE"/>
        </w:rPr>
        <w:t>Kunden mit aktiven Abonnements für Windows Intune (Pro Gerät) haben Anspruch auf Erweiterten Hotfix-Support für das Windows Desktop-Betriebssystem</w:t>
      </w:r>
      <w:r w:rsidR="006257A7">
        <w:rPr>
          <w:rFonts w:cs="Tahoma"/>
          <w:szCs w:val="18"/>
          <w:lang w:val="de-DE"/>
        </w:rPr>
        <w:t xml:space="preserve">. </w:t>
      </w:r>
    </w:p>
    <w:p w:rsidR="008D4EE5" w:rsidRPr="009123CB" w:rsidRDefault="008D4EE5" w:rsidP="008D4EE5">
      <w:pPr>
        <w:numPr>
          <w:ilvl w:val="0"/>
          <w:numId w:val="48"/>
        </w:numPr>
        <w:spacing w:after="60"/>
        <w:ind w:left="1440"/>
        <w:contextualSpacing/>
        <w:rPr>
          <w:lang w:val="de-DE"/>
        </w:rPr>
      </w:pPr>
      <w:r w:rsidRPr="009123CB">
        <w:rPr>
          <w:rFonts w:eastAsia="Calibri" w:cs="Tahoma"/>
          <w:szCs w:val="18"/>
          <w:lang w:val="de-DE"/>
        </w:rPr>
        <w:t>Kunden (außer Forschung &amp; Lehre) mit Software Assurance für mindestens ein Serverprodukt haben Anspruch auf den Erweiterten Hotfix-Support für Serverprodukte:</w:t>
      </w:r>
      <w:r w:rsidRPr="009123CB">
        <w:rPr>
          <w:rFonts w:cs="Tahoma"/>
          <w:szCs w:val="18"/>
          <w:lang w:val="de-DE"/>
        </w:rPr>
        <w:t>Die folgenden Serverprodukte sind abgedeckt:</w:t>
      </w:r>
    </w:p>
    <w:p w:rsidR="008D4EE5" w:rsidRPr="008849B7" w:rsidRDefault="008D4EE5" w:rsidP="008D4EE5">
      <w:pPr>
        <w:numPr>
          <w:ilvl w:val="2"/>
          <w:numId w:val="48"/>
        </w:numPr>
        <w:spacing w:after="60"/>
        <w:ind w:left="1980"/>
        <w:contextualSpacing/>
        <w:rPr>
          <w:lang w:val="de-DE"/>
        </w:rPr>
      </w:pPr>
      <w:r w:rsidRPr="008849B7">
        <w:rPr>
          <w:rFonts w:cs="Tahoma"/>
          <w:iCs/>
          <w:color w:val="000000"/>
          <w:szCs w:val="18"/>
          <w:lang w:val="de-DE"/>
        </w:rPr>
        <w:t>Microsoft Exchange Server, Microsoft SQL Server, System Center 2012 und Windows Server</w:t>
      </w:r>
      <w:r w:rsidR="006257A7">
        <w:rPr>
          <w:rFonts w:cs="Tahoma"/>
          <w:iCs/>
          <w:color w:val="000000"/>
          <w:szCs w:val="18"/>
          <w:lang w:val="de-DE"/>
        </w:rPr>
        <w:t xml:space="preserve">. </w:t>
      </w:r>
    </w:p>
    <w:p w:rsidR="008D4EE5" w:rsidRPr="00051083" w:rsidRDefault="008D4EE5" w:rsidP="00051083">
      <w:pPr>
        <w:spacing w:line="168" w:lineRule="auto"/>
        <w:contextualSpacing/>
        <w:rPr>
          <w:sz w:val="16"/>
          <w:szCs w:val="16"/>
          <w:lang w:val="de-DE"/>
        </w:rPr>
      </w:pPr>
    </w:p>
    <w:p w:rsidR="008D4EE5" w:rsidRDefault="008D4EE5" w:rsidP="008D4EE5">
      <w:pPr>
        <w:rPr>
          <w:rFonts w:cs="Tahoma"/>
          <w:szCs w:val="18"/>
          <w:lang w:val="de-DE"/>
        </w:rPr>
      </w:pPr>
      <w:r w:rsidRPr="009123CB">
        <w:rPr>
          <w:rFonts w:cs="Tahoma"/>
          <w:szCs w:val="18"/>
          <w:lang w:val="de-DE"/>
        </w:rPr>
        <w:t>Beim Erweiterten Hotfix-Support handelt es sich um eine Vergünstigung für ältere Softwareversionen, die vom Mainstream- in den Erweiterten Support übergegangen sind</w:t>
      </w:r>
      <w:r w:rsidR="006257A7">
        <w:rPr>
          <w:rFonts w:cs="Tahoma"/>
          <w:szCs w:val="18"/>
          <w:lang w:val="de-DE"/>
        </w:rPr>
        <w:t xml:space="preserve">. </w:t>
      </w:r>
      <w:r w:rsidRPr="009123CB">
        <w:rPr>
          <w:rFonts w:cs="Tahoma"/>
          <w:szCs w:val="18"/>
          <w:lang w:val="de-DE"/>
        </w:rPr>
        <w:t>Auf die Jahresgebühren, die normalerweise als Teil eines Vertrages über Erweiterten Support erhoben werden, wird nun bei Kunden, die Anspruch auf diese Software Assurance-Vergünstigung haben, während der Software Assurance-Laufzeit verzichtet</w:t>
      </w:r>
      <w:r w:rsidR="006257A7">
        <w:rPr>
          <w:rFonts w:cs="Tahoma"/>
          <w:szCs w:val="18"/>
          <w:lang w:val="de-DE"/>
        </w:rPr>
        <w:t xml:space="preserve">. </w:t>
      </w:r>
      <w:r w:rsidRPr="009123CB">
        <w:rPr>
          <w:rFonts w:cs="Tahoma"/>
          <w:szCs w:val="18"/>
          <w:lang w:val="de-DE"/>
        </w:rPr>
        <w:t>Kunden, die Anspruch auf diese Vergünstigung haben, müssen sich nicht innerhalb von 90 Tagen nach dem Übergang eines Produktes zum Erweiterten Support anmelden</w:t>
      </w:r>
      <w:r w:rsidR="006257A7">
        <w:rPr>
          <w:rFonts w:cs="Tahoma"/>
          <w:szCs w:val="18"/>
          <w:lang w:val="de-DE"/>
        </w:rPr>
        <w:t xml:space="preserve">. </w:t>
      </w:r>
    </w:p>
    <w:p w:rsidR="00051083" w:rsidRPr="00051083" w:rsidRDefault="00051083" w:rsidP="00051083">
      <w:pPr>
        <w:spacing w:line="168" w:lineRule="auto"/>
        <w:rPr>
          <w:sz w:val="14"/>
          <w:szCs w:val="14"/>
          <w:lang w:val="de-DE"/>
        </w:rPr>
      </w:pPr>
    </w:p>
    <w:p w:rsidR="008D4EE5" w:rsidRPr="009123CB" w:rsidRDefault="008D4EE5" w:rsidP="008D4EE5">
      <w:pPr>
        <w:rPr>
          <w:lang w:val="de-DE"/>
        </w:rPr>
      </w:pPr>
      <w:r w:rsidRPr="009123CB">
        <w:rPr>
          <w:rStyle w:val="PageNumber"/>
          <w:rFonts w:cs="Tahoma"/>
          <w:szCs w:val="18"/>
          <w:lang w:val="de-DE"/>
        </w:rPr>
        <w:t>Die K</w:t>
      </w:r>
      <w:r w:rsidRPr="009123CB">
        <w:rPr>
          <w:rFonts w:cs="Tahoma"/>
          <w:szCs w:val="18"/>
          <w:lang w:val="de-DE"/>
        </w:rPr>
        <w:t>unden sind weiterhin für die Gebühren für einzelne Hotfixes verantwortlich</w:t>
      </w:r>
      <w:r w:rsidR="006257A7">
        <w:rPr>
          <w:rFonts w:cs="Tahoma"/>
          <w:szCs w:val="18"/>
          <w:lang w:val="de-DE"/>
        </w:rPr>
        <w:t xml:space="preserve">. </w:t>
      </w:r>
      <w:r w:rsidRPr="009123CB">
        <w:rPr>
          <w:rFonts w:cs="Tahoma"/>
          <w:szCs w:val="18"/>
          <w:lang w:val="de-DE"/>
        </w:rPr>
        <w:t>Ein Premier- oder Essential-Supportvertrag stellt eine Voraussetzung für die Berechtigung dar</w:t>
      </w:r>
      <w:r w:rsidR="006257A7">
        <w:rPr>
          <w:rFonts w:cs="Tahoma"/>
          <w:szCs w:val="18"/>
          <w:lang w:val="de-DE"/>
        </w:rPr>
        <w:t xml:space="preserve">. </w:t>
      </w:r>
    </w:p>
    <w:p w:rsidR="008D4EE5" w:rsidRPr="00EB2C55" w:rsidRDefault="008D4EE5" w:rsidP="00DC4771">
      <w:pPr>
        <w:pStyle w:val="Heading3"/>
        <w:keepNext/>
        <w:keepLines/>
        <w:rPr>
          <w:lang w:val="de-DE"/>
        </w:rPr>
      </w:pPr>
      <w:bookmarkStart w:id="911" w:name="_Toc336338244"/>
      <w:bookmarkStart w:id="912" w:name="_Toc363998982"/>
      <w:r w:rsidRPr="00EB2C55">
        <w:rPr>
          <w:rFonts w:ascii="Tahoma" w:hAnsi="Tahoma" w:cs="Tahoma"/>
          <w:sz w:val="24"/>
          <w:lang w:val="de-DE"/>
        </w:rPr>
        <w:t>Microsoft Desktop Optimization Pack für Software Assurance</w:t>
      </w:r>
      <w:bookmarkEnd w:id="911"/>
      <w:bookmarkEnd w:id="912"/>
    </w:p>
    <w:p w:rsidR="008D4EE5" w:rsidRPr="00A634DA" w:rsidRDefault="008D4EE5" w:rsidP="00DC4771">
      <w:pPr>
        <w:keepNext/>
        <w:keepLines/>
        <w:spacing w:line="204" w:lineRule="auto"/>
        <w:rPr>
          <w:szCs w:val="18"/>
          <w:lang w:val="de-DE"/>
        </w:rPr>
      </w:pPr>
    </w:p>
    <w:p w:rsidR="008D4EE5" w:rsidRPr="009123CB" w:rsidRDefault="008D4EE5" w:rsidP="00DC4771">
      <w:pPr>
        <w:keepNext/>
        <w:keepLines/>
        <w:rPr>
          <w:lang w:val="de-DE"/>
        </w:rPr>
      </w:pPr>
      <w:r w:rsidRPr="009123CB">
        <w:rPr>
          <w:rFonts w:eastAsia="MS PGothic" w:cs="Tahoma"/>
          <w:szCs w:val="18"/>
          <w:lang w:val="de-DE"/>
        </w:rPr>
        <w:t>Das Microsoft Desktop Optimization Pack für Software Assurance (MDOP) ist optional und wird nur den Kunden zum Kauf angeboten, die Folgendes besitzen:</w:t>
      </w:r>
    </w:p>
    <w:p w:rsidR="008D4EE5" w:rsidRPr="00A634DA" w:rsidRDefault="008D4EE5" w:rsidP="00A634DA">
      <w:pPr>
        <w:spacing w:line="204" w:lineRule="auto"/>
        <w:rPr>
          <w:szCs w:val="18"/>
          <w:lang w:val="de-DE"/>
        </w:rPr>
      </w:pPr>
    </w:p>
    <w:p w:rsidR="008D4EE5" w:rsidRPr="009123CB" w:rsidRDefault="008D4EE5" w:rsidP="008D4EE5">
      <w:pPr>
        <w:numPr>
          <w:ilvl w:val="0"/>
          <w:numId w:val="47"/>
        </w:numPr>
        <w:spacing w:after="60" w:line="276" w:lineRule="auto"/>
        <w:ind w:left="1440" w:hanging="274"/>
        <w:rPr>
          <w:lang w:val="de-DE"/>
        </w:rPr>
      </w:pPr>
      <w:r w:rsidRPr="009123CB">
        <w:rPr>
          <w:rFonts w:eastAsia="MS PGothic" w:cs="Tahoma"/>
          <w:szCs w:val="18"/>
          <w:lang w:val="de-DE"/>
        </w:rPr>
        <w:t>aktive Software Assurance für ihre Windows Desktop-Betriebssystemlizenzen,</w:t>
      </w:r>
    </w:p>
    <w:p w:rsidR="008D4EE5" w:rsidRPr="009123CB" w:rsidRDefault="008D4EE5" w:rsidP="008D4EE5">
      <w:pPr>
        <w:numPr>
          <w:ilvl w:val="0"/>
          <w:numId w:val="47"/>
        </w:numPr>
        <w:spacing w:after="60" w:line="276" w:lineRule="auto"/>
        <w:ind w:left="1440" w:hanging="274"/>
        <w:rPr>
          <w:lang w:val="de-DE"/>
        </w:rPr>
      </w:pPr>
      <w:r w:rsidRPr="009123CB">
        <w:rPr>
          <w:rFonts w:eastAsia="MS PGothic" w:cs="Tahoma"/>
          <w:szCs w:val="18"/>
          <w:lang w:val="de-DE"/>
        </w:rPr>
        <w:t>aktive Abonnements für Windows Virtual Desktop Access oder</w:t>
      </w:r>
    </w:p>
    <w:p w:rsidR="008D4EE5" w:rsidRPr="009123CB" w:rsidRDefault="008D4EE5" w:rsidP="008D4EE5">
      <w:pPr>
        <w:numPr>
          <w:ilvl w:val="0"/>
          <w:numId w:val="47"/>
        </w:numPr>
        <w:spacing w:after="60" w:line="276" w:lineRule="auto"/>
        <w:ind w:left="1440" w:hanging="274"/>
        <w:rPr>
          <w:lang w:val="de-DE"/>
        </w:rPr>
      </w:pPr>
      <w:r w:rsidRPr="009123CB">
        <w:rPr>
          <w:rFonts w:eastAsia="MS PGothic" w:cs="Tahoma"/>
          <w:szCs w:val="18"/>
          <w:lang w:val="de-DE"/>
        </w:rPr>
        <w:t xml:space="preserve">aktive Abonnements für Windows Intune </w:t>
      </w:r>
      <w:r w:rsidRPr="009123CB">
        <w:rPr>
          <w:rFonts w:cs="Tahoma"/>
          <w:szCs w:val="18"/>
          <w:lang w:val="de-DE"/>
        </w:rPr>
        <w:t>(Pro Gerät) oder</w:t>
      </w:r>
    </w:p>
    <w:p w:rsidR="008D4EE5" w:rsidRPr="009123CB" w:rsidRDefault="008D4EE5" w:rsidP="008D4EE5">
      <w:pPr>
        <w:numPr>
          <w:ilvl w:val="0"/>
          <w:numId w:val="47"/>
        </w:numPr>
        <w:spacing w:after="200" w:line="276" w:lineRule="auto"/>
        <w:ind w:left="1440" w:hanging="270"/>
        <w:rPr>
          <w:lang w:val="de-DE"/>
        </w:rPr>
      </w:pPr>
      <w:r w:rsidRPr="009123CB">
        <w:rPr>
          <w:rFonts w:eastAsia="MS PGothic" w:cs="Tahoma"/>
          <w:color w:val="000000"/>
          <w:szCs w:val="18"/>
          <w:lang w:val="de-DE"/>
        </w:rPr>
        <w:t xml:space="preserve">aktive Abonnements für die </w:t>
      </w:r>
      <w:r w:rsidRPr="009123CB">
        <w:rPr>
          <w:rFonts w:eastAsia="MS PGothic" w:cs="Tahoma"/>
          <w:szCs w:val="18"/>
          <w:lang w:val="de-DE"/>
        </w:rPr>
        <w:t>Windows Companion-Abonnementlizenz</w:t>
      </w:r>
    </w:p>
    <w:p w:rsidR="008D4EE5" w:rsidRPr="00A634DA" w:rsidRDefault="008D4EE5" w:rsidP="00A634DA">
      <w:pPr>
        <w:spacing w:line="204" w:lineRule="auto"/>
        <w:rPr>
          <w:szCs w:val="18"/>
          <w:lang w:val="de-DE"/>
        </w:rPr>
      </w:pPr>
      <w:r w:rsidRPr="009123CB">
        <w:rPr>
          <w:rFonts w:eastAsia="MS PGothic" w:cs="Tahoma"/>
          <w:szCs w:val="18"/>
          <w:lang w:val="de-DE"/>
        </w:rPr>
        <w:t xml:space="preserve"> </w:t>
      </w:r>
    </w:p>
    <w:p w:rsidR="008D4EE5" w:rsidRPr="009123CB" w:rsidRDefault="008D4EE5" w:rsidP="008D4EE5">
      <w:pPr>
        <w:rPr>
          <w:lang w:val="de-DE"/>
        </w:rPr>
      </w:pPr>
      <w:r w:rsidRPr="009123CB">
        <w:rPr>
          <w:rFonts w:eastAsia="MS PGothic" w:cs="Tahoma"/>
          <w:color w:val="000000"/>
          <w:szCs w:val="18"/>
          <w:lang w:val="de-DE"/>
        </w:rPr>
        <w:t>Mehr Informationen über dieses Produkt stehen in den Produkthinweisen im Abschnitt über den Systempool in diesem Dokument zu Verfügung</w:t>
      </w:r>
      <w:r w:rsidR="006257A7">
        <w:rPr>
          <w:rFonts w:eastAsia="MS PGothic" w:cs="Tahoma"/>
          <w:color w:val="000000"/>
          <w:szCs w:val="18"/>
          <w:lang w:val="de-DE"/>
        </w:rPr>
        <w:t xml:space="preserve">. </w:t>
      </w:r>
      <w:r w:rsidRPr="009123CB">
        <w:rPr>
          <w:rFonts w:eastAsia="MS PGothic" w:cs="Tahoma"/>
          <w:color w:val="000000"/>
          <w:szCs w:val="18"/>
          <w:lang w:val="de-DE"/>
        </w:rPr>
        <w:t>MDOP ist für Lizenzen für Windows Embedded-Betriebssysteme nicht verfügbar</w:t>
      </w:r>
      <w:r w:rsidR="006257A7">
        <w:rPr>
          <w:rFonts w:eastAsia="MS PGothic" w:cs="Tahoma"/>
          <w:color w:val="000000"/>
          <w:szCs w:val="18"/>
          <w:lang w:val="de-DE"/>
        </w:rPr>
        <w:t xml:space="preserve">. </w:t>
      </w:r>
    </w:p>
    <w:p w:rsidR="008D4EE5" w:rsidRPr="00A634DA" w:rsidRDefault="008D4EE5" w:rsidP="00A634DA">
      <w:pPr>
        <w:spacing w:line="204" w:lineRule="auto"/>
        <w:rPr>
          <w:szCs w:val="18"/>
          <w:lang w:val="de-DE"/>
        </w:rPr>
      </w:pPr>
    </w:p>
    <w:p w:rsidR="008D4EE5" w:rsidRPr="009123CB" w:rsidRDefault="008D4EE5" w:rsidP="008D4EE5">
      <w:pPr>
        <w:keepNext/>
        <w:rPr>
          <w:lang w:val="de-DE"/>
        </w:rPr>
      </w:pPr>
      <w:r w:rsidRPr="009123CB">
        <w:rPr>
          <w:rFonts w:cs="Tahoma"/>
          <w:b/>
          <w:color w:val="000000"/>
          <w:sz w:val="24"/>
          <w:szCs w:val="18"/>
          <w:lang w:val="de-DE"/>
        </w:rPr>
        <w:t>Virtualisierungsrechte für Windows-lizenzierte Desktops</w:t>
      </w:r>
    </w:p>
    <w:p w:rsidR="008D4EE5" w:rsidRPr="00A634DA" w:rsidRDefault="008D4EE5" w:rsidP="00A634DA">
      <w:pPr>
        <w:spacing w:line="204" w:lineRule="auto"/>
        <w:rPr>
          <w:szCs w:val="18"/>
          <w:lang w:val="de-DE"/>
        </w:rPr>
      </w:pPr>
    </w:p>
    <w:p w:rsidR="008D4EE5" w:rsidRPr="009123CB" w:rsidRDefault="008D4EE5" w:rsidP="008D4EE5">
      <w:pPr>
        <w:rPr>
          <w:lang w:val="de-DE"/>
        </w:rPr>
      </w:pPr>
      <w:r w:rsidRPr="009123CB">
        <w:rPr>
          <w:rFonts w:cs="Tahoma"/>
          <w:color w:val="000000"/>
          <w:szCs w:val="18"/>
          <w:lang w:val="de-DE"/>
        </w:rPr>
        <w:t>Kunden mit Volumenlizenz sind in Bezug auf den Einsatz von Windows 8 auf unternehmensübergreifender Basis relativ flexibel</w:t>
      </w:r>
      <w:r w:rsidR="006257A7">
        <w:rPr>
          <w:rFonts w:cs="Tahoma"/>
          <w:color w:val="000000"/>
          <w:szCs w:val="18"/>
          <w:lang w:val="de-DE"/>
        </w:rPr>
        <w:t xml:space="preserve">. </w:t>
      </w:r>
    </w:p>
    <w:p w:rsidR="008D4EE5" w:rsidRPr="009123CB" w:rsidRDefault="008D4EE5" w:rsidP="008D4EE5">
      <w:pPr>
        <w:jc w:val="both"/>
        <w:rPr>
          <w:lang w:val="de-DE"/>
        </w:rPr>
      </w:pPr>
      <w:r w:rsidRPr="009123CB">
        <w:rPr>
          <w:rFonts w:cs="Tahoma"/>
          <w:szCs w:val="18"/>
          <w:lang w:val="de-DE"/>
        </w:rPr>
        <w:t>Kunden mit einem oder beiden der folgenden Produkte sind berechtigt, Virtualisierungsnutzungsrechte zu verwenden:</w:t>
      </w:r>
    </w:p>
    <w:p w:rsidR="008D4EE5" w:rsidRPr="00A634DA" w:rsidRDefault="008D4EE5" w:rsidP="00A634DA">
      <w:pPr>
        <w:spacing w:line="204" w:lineRule="auto"/>
        <w:jc w:val="both"/>
        <w:rPr>
          <w:szCs w:val="18"/>
          <w:lang w:val="de-DE"/>
        </w:rPr>
      </w:pPr>
    </w:p>
    <w:p w:rsidR="008D4EE5" w:rsidRPr="009123CB" w:rsidRDefault="008D4EE5" w:rsidP="008D4EE5">
      <w:pPr>
        <w:numPr>
          <w:ilvl w:val="0"/>
          <w:numId w:val="39"/>
        </w:numPr>
        <w:spacing w:after="60" w:line="276" w:lineRule="auto"/>
        <w:ind w:left="1440"/>
        <w:rPr>
          <w:lang w:val="de-DE"/>
        </w:rPr>
      </w:pPr>
      <w:r w:rsidRPr="009123CB">
        <w:rPr>
          <w:rFonts w:eastAsia="MS PGothic" w:cs="Tahoma"/>
          <w:szCs w:val="18"/>
          <w:lang w:val="de-DE"/>
        </w:rPr>
        <w:t>aktive Software Assurance für ihre Windows Desktop-Betriebssystemlizenzen,</w:t>
      </w:r>
    </w:p>
    <w:p w:rsidR="008D4EE5" w:rsidRPr="009123CB" w:rsidRDefault="00FF301E" w:rsidP="008D4EE5">
      <w:pPr>
        <w:numPr>
          <w:ilvl w:val="0"/>
          <w:numId w:val="39"/>
        </w:numPr>
        <w:spacing w:after="60" w:line="276" w:lineRule="auto"/>
        <w:ind w:left="1440"/>
        <w:jc w:val="both"/>
        <w:rPr>
          <w:lang w:val="de-DE"/>
        </w:rPr>
      </w:pPr>
      <w:r>
        <w:rPr>
          <w:rFonts w:cs="Tahoma"/>
          <w:szCs w:val="18"/>
          <w:lang w:val="de-DE"/>
        </w:rPr>
        <w:t>o</w:t>
      </w:r>
      <w:r w:rsidR="008D4EE5" w:rsidRPr="009123CB">
        <w:rPr>
          <w:rFonts w:cs="Tahoma"/>
          <w:szCs w:val="18"/>
          <w:lang w:val="de-DE"/>
        </w:rPr>
        <w:t>nlinedienste-Vergünstigung, die den Windows Intune (Pro Gerät)-Erwerb begleitet</w:t>
      </w:r>
    </w:p>
    <w:p w:rsidR="008D4EE5" w:rsidRPr="009123CB" w:rsidRDefault="008D4EE5" w:rsidP="008D4EE5">
      <w:pPr>
        <w:numPr>
          <w:ilvl w:val="0"/>
          <w:numId w:val="39"/>
        </w:numPr>
        <w:spacing w:after="60" w:line="276" w:lineRule="auto"/>
        <w:ind w:left="1440"/>
        <w:jc w:val="both"/>
        <w:rPr>
          <w:lang w:val="de-DE"/>
        </w:rPr>
      </w:pPr>
      <w:r w:rsidRPr="009123CB">
        <w:rPr>
          <w:rFonts w:cs="Tahoma"/>
          <w:szCs w:val="18"/>
          <w:lang w:val="de-DE"/>
        </w:rPr>
        <w:t>aktive Abonnements für Windows Intune (Pro Gerät)</w:t>
      </w:r>
    </w:p>
    <w:p w:rsidR="008D4EE5" w:rsidRPr="00A634DA" w:rsidRDefault="008D4EE5" w:rsidP="00A634DA">
      <w:pPr>
        <w:spacing w:line="204" w:lineRule="auto"/>
        <w:rPr>
          <w:szCs w:val="18"/>
          <w:lang w:val="de-DE"/>
        </w:rPr>
      </w:pPr>
    </w:p>
    <w:p w:rsidR="008D4EE5" w:rsidRPr="009123CB" w:rsidRDefault="008D4EE5" w:rsidP="008D4EE5">
      <w:pPr>
        <w:rPr>
          <w:lang w:val="de-DE"/>
        </w:rPr>
      </w:pPr>
      <w:r w:rsidRPr="009123CB">
        <w:rPr>
          <w:rFonts w:cs="Tahoma"/>
          <w:color w:val="000000"/>
          <w:szCs w:val="18"/>
          <w:lang w:val="de-DE"/>
        </w:rPr>
        <w:t>Dieses Nutzungsrecht erlaubt das Ausführen der Software auf bis zu vier lokalen virtuellen Computern</w:t>
      </w:r>
      <w:r w:rsidR="006257A7">
        <w:rPr>
          <w:rFonts w:cs="Tahoma"/>
          <w:color w:val="000000"/>
          <w:szCs w:val="18"/>
          <w:lang w:val="de-DE"/>
        </w:rPr>
        <w:t xml:space="preserve">. </w:t>
      </w:r>
      <w:r w:rsidRPr="009123CB">
        <w:rPr>
          <w:rFonts w:cs="Tahoma"/>
          <w:color w:val="000000"/>
          <w:szCs w:val="18"/>
          <w:lang w:val="de-DE"/>
        </w:rPr>
        <w:t>Während das Nutzungsrecht eines Kunden für Windows 8 Enterprise nach Ablauf von Software Assurance fortbestehen kann, ist das beim Virtualisierungsnutzungsrecht nicht möglich</w:t>
      </w:r>
      <w:r w:rsidR="006257A7">
        <w:rPr>
          <w:rFonts w:cs="Tahoma"/>
          <w:color w:val="000000"/>
          <w:szCs w:val="18"/>
          <w:lang w:val="de-DE"/>
        </w:rPr>
        <w:t xml:space="preserve">. </w:t>
      </w:r>
      <w:r w:rsidRPr="009123CB">
        <w:rPr>
          <w:rFonts w:cs="Tahoma"/>
          <w:color w:val="000000"/>
          <w:szCs w:val="18"/>
          <w:lang w:val="de-DE"/>
        </w:rPr>
        <w:t>Mehr Informationen zu diesem Nutzungsrecht finden Sie in den Produktbenutzungsrechten</w:t>
      </w:r>
      <w:r w:rsidR="006257A7">
        <w:rPr>
          <w:rFonts w:cs="Tahoma"/>
          <w:color w:val="000000"/>
          <w:szCs w:val="18"/>
          <w:lang w:val="de-DE"/>
        </w:rPr>
        <w:t xml:space="preserve">. </w:t>
      </w:r>
    </w:p>
    <w:p w:rsidR="008D4EE5" w:rsidRPr="00A634DA" w:rsidRDefault="008D4EE5" w:rsidP="00A634DA">
      <w:pPr>
        <w:pStyle w:val="Heading3"/>
        <w:spacing w:line="204" w:lineRule="auto"/>
        <w:rPr>
          <w:sz w:val="18"/>
          <w:szCs w:val="18"/>
          <w:lang w:val="de-DE"/>
        </w:rPr>
      </w:pPr>
      <w:bookmarkStart w:id="913" w:name="_Toc257907651"/>
      <w:bookmarkStart w:id="914" w:name="_Toc233026785"/>
    </w:p>
    <w:p w:rsidR="008D4EE5" w:rsidRPr="0062435A" w:rsidRDefault="008D4EE5" w:rsidP="008D4EE5">
      <w:pPr>
        <w:pStyle w:val="Heading3"/>
      </w:pPr>
      <w:bookmarkStart w:id="915" w:name="_Toc336338245"/>
      <w:bookmarkStart w:id="916" w:name="_Toc363998983"/>
      <w:r>
        <w:rPr>
          <w:rFonts w:ascii="Tahoma" w:hAnsi="Tahoma"/>
          <w:color w:val="000000"/>
          <w:sz w:val="24"/>
        </w:rPr>
        <w:t>Windows Virtual Desktop Access (VDA)</w:t>
      </w:r>
      <w:bookmarkEnd w:id="913"/>
      <w:r>
        <w:rPr>
          <w:rFonts w:ascii="Tahoma" w:hAnsi="Tahoma"/>
          <w:color w:val="000000"/>
          <w:sz w:val="24"/>
        </w:rPr>
        <w:t>-Rechte</w:t>
      </w:r>
      <w:bookmarkEnd w:id="915"/>
      <w:bookmarkEnd w:id="916"/>
    </w:p>
    <w:p w:rsidR="008D4EE5" w:rsidRPr="00A634DA" w:rsidRDefault="008D4EE5" w:rsidP="00A634DA">
      <w:pPr>
        <w:spacing w:line="204" w:lineRule="auto"/>
        <w:rPr>
          <w:szCs w:val="18"/>
        </w:rPr>
      </w:pPr>
    </w:p>
    <w:p w:rsidR="008D4EE5" w:rsidRPr="009123CB" w:rsidRDefault="008D4EE5" w:rsidP="008D4EE5">
      <w:pPr>
        <w:rPr>
          <w:lang w:val="de-DE"/>
        </w:rPr>
      </w:pPr>
      <w:r w:rsidRPr="006257A7">
        <w:rPr>
          <w:rFonts w:eastAsia="Calibri" w:cs="Tahoma"/>
          <w:color w:val="000000"/>
          <w:szCs w:val="18"/>
          <w:lang w:val="de-DE"/>
        </w:rPr>
        <w:t xml:space="preserve">Windows VDA-Rechte sind für Kunden mit aktiver Software Assurance für das Windows Desktop-Betriebssystem und Kunden mit Lizenzen für Windows Intune </w:t>
      </w:r>
      <w:r w:rsidRPr="006257A7">
        <w:rPr>
          <w:rFonts w:cs="Tahoma"/>
          <w:szCs w:val="18"/>
          <w:lang w:val="de-DE"/>
        </w:rPr>
        <w:t>(Pro Gerät)</w:t>
      </w:r>
      <w:r w:rsidRPr="006257A7">
        <w:rPr>
          <w:rFonts w:eastAsia="Calibri" w:cs="Tahoma"/>
          <w:color w:val="000000"/>
          <w:szCs w:val="18"/>
          <w:lang w:val="de-DE"/>
        </w:rPr>
        <w:t xml:space="preserve"> verfügbar</w:t>
      </w:r>
      <w:r w:rsidR="006257A7" w:rsidRPr="006257A7">
        <w:rPr>
          <w:rFonts w:eastAsia="Calibri" w:cs="Tahoma"/>
          <w:color w:val="000000"/>
          <w:szCs w:val="18"/>
          <w:lang w:val="de-DE"/>
        </w:rPr>
        <w:t xml:space="preserve">. </w:t>
      </w:r>
      <w:r w:rsidRPr="006257A7">
        <w:rPr>
          <w:rFonts w:eastAsia="Calibri" w:cs="Tahoma"/>
          <w:color w:val="000000"/>
          <w:szCs w:val="18"/>
          <w:lang w:val="de-DE"/>
        </w:rPr>
        <w:t>Sie sind außerdem als separate Abonnementlizenz verfügbar</w:t>
      </w:r>
      <w:r w:rsidR="006257A7" w:rsidRPr="006257A7">
        <w:rPr>
          <w:rFonts w:eastAsia="Calibri" w:cs="Tahoma"/>
          <w:color w:val="000000"/>
          <w:szCs w:val="18"/>
          <w:lang w:val="de-DE"/>
        </w:rPr>
        <w:t xml:space="preserve">. </w:t>
      </w:r>
      <w:r w:rsidRPr="009123CB">
        <w:rPr>
          <w:rFonts w:eastAsia="Calibri" w:cs="Tahoma"/>
          <w:color w:val="000000"/>
          <w:szCs w:val="18"/>
          <w:lang w:val="de-DE"/>
        </w:rPr>
        <w:t>Windows VDA kommt Kunden zugute, die Windows mithilfe von Thin Client-Geräten (normalerweise bei einem eingebetteten Betriebssystem vorinstalliert) bereitstellen möchten</w:t>
      </w:r>
      <w:r w:rsidR="006257A7">
        <w:rPr>
          <w:rFonts w:eastAsia="Calibri" w:cs="Tahoma"/>
          <w:color w:val="000000"/>
          <w:szCs w:val="18"/>
          <w:lang w:val="de-DE"/>
        </w:rPr>
        <w:t xml:space="preserve">. </w:t>
      </w:r>
      <w:r w:rsidRPr="009123CB">
        <w:rPr>
          <w:rFonts w:eastAsia="Calibri" w:cs="Tahoma"/>
          <w:color w:val="000000"/>
          <w:szCs w:val="18"/>
          <w:lang w:val="de-DE"/>
        </w:rPr>
        <w:t>Die VDA-Abonnementlizenz berechtigt die Kunden, die neueste Version des Windows Desktop-Betriebssystems, das während ihrer Abonnement-Laufzeit zur Verfügung gestellt wurde, auszuführen</w:t>
      </w:r>
      <w:r w:rsidR="006257A7">
        <w:rPr>
          <w:rFonts w:eastAsia="Calibri" w:cs="Tahoma"/>
          <w:color w:val="000000"/>
          <w:szCs w:val="18"/>
          <w:lang w:val="de-DE"/>
        </w:rPr>
        <w:t xml:space="preserve">. </w:t>
      </w:r>
    </w:p>
    <w:p w:rsidR="008D4EE5" w:rsidRPr="00A634DA" w:rsidRDefault="008D4EE5" w:rsidP="00A634DA">
      <w:pPr>
        <w:spacing w:line="204" w:lineRule="auto"/>
        <w:rPr>
          <w:szCs w:val="18"/>
          <w:lang w:val="de-DE"/>
        </w:rPr>
      </w:pPr>
    </w:p>
    <w:p w:rsidR="008D4EE5" w:rsidRPr="009123CB" w:rsidRDefault="008D4EE5" w:rsidP="008D4EE5">
      <w:pPr>
        <w:rPr>
          <w:lang w:val="de-DE"/>
        </w:rPr>
      </w:pPr>
      <w:r w:rsidRPr="009123CB">
        <w:rPr>
          <w:rFonts w:eastAsia="Calibri" w:cs="Tahoma"/>
          <w:color w:val="000000"/>
          <w:szCs w:val="18"/>
          <w:lang w:val="de-DE"/>
        </w:rPr>
        <w:t>Weitere Informationen über VDA finden Sie unter den Produktbenutzungsrechten</w:t>
      </w:r>
      <w:r w:rsidR="006257A7">
        <w:rPr>
          <w:rFonts w:eastAsia="Calibri" w:cs="Tahoma"/>
          <w:color w:val="000000"/>
          <w:szCs w:val="18"/>
          <w:lang w:val="de-DE"/>
        </w:rPr>
        <w:t xml:space="preserve">. </w:t>
      </w:r>
    </w:p>
    <w:bookmarkEnd w:id="914"/>
    <w:p w:rsidR="008D4EE5" w:rsidRPr="00A634DA" w:rsidRDefault="008D4EE5" w:rsidP="00A634DA">
      <w:pPr>
        <w:spacing w:line="204" w:lineRule="auto"/>
        <w:rPr>
          <w:szCs w:val="18"/>
          <w:lang w:val="de-DE"/>
        </w:rPr>
      </w:pPr>
    </w:p>
    <w:p w:rsidR="008D4EE5" w:rsidRPr="009123CB" w:rsidRDefault="008D4EE5" w:rsidP="008D4EE5">
      <w:pPr>
        <w:rPr>
          <w:lang w:val="de-DE"/>
        </w:rPr>
      </w:pPr>
      <w:bookmarkStart w:id="917" w:name="_Toc336338246"/>
      <w:bookmarkStart w:id="918" w:name="_Toc363998984"/>
      <w:r w:rsidRPr="009123CB">
        <w:rPr>
          <w:rStyle w:val="Heading3Char"/>
          <w:rFonts w:ascii="Tahoma" w:hAnsi="Tahoma"/>
          <w:sz w:val="24"/>
          <w:lang w:val="de-DE"/>
        </w:rPr>
        <w:t>Step Up-Lizenzverfügbarkeit</w:t>
      </w:r>
      <w:bookmarkEnd w:id="917"/>
      <w:bookmarkEnd w:id="918"/>
      <w:r w:rsidRPr="009123CB">
        <w:rPr>
          <w:rFonts w:cs="Tahoma"/>
          <w:b/>
          <w:sz w:val="24"/>
          <w:szCs w:val="20"/>
          <w:lang w:val="de-DE"/>
        </w:rPr>
        <w:t>*</w:t>
      </w:r>
    </w:p>
    <w:p w:rsidR="008D4EE5" w:rsidRPr="00A634DA" w:rsidRDefault="008D4EE5" w:rsidP="00A634DA">
      <w:pPr>
        <w:spacing w:line="204" w:lineRule="auto"/>
        <w:rPr>
          <w:szCs w:val="18"/>
          <w:lang w:val="de-DE"/>
        </w:rPr>
      </w:pPr>
    </w:p>
    <w:p w:rsidR="008D4EE5" w:rsidRDefault="008D4EE5" w:rsidP="008D4EE5">
      <w:pPr>
        <w:rPr>
          <w:rFonts w:cs="Tahoma"/>
          <w:szCs w:val="18"/>
          <w:lang w:val="de-DE"/>
        </w:rPr>
      </w:pPr>
      <w:r w:rsidRPr="009123CB">
        <w:rPr>
          <w:rFonts w:cs="Tahoma"/>
          <w:szCs w:val="18"/>
          <w:lang w:val="de-DE"/>
        </w:rPr>
        <w:t>Kunden können bei bestimmten Produkten mit einer Step Up-Lizenz von einer niedrigeren Edition zu einer höheren Edition migrieren</w:t>
      </w:r>
      <w:r w:rsidR="006257A7">
        <w:rPr>
          <w:rFonts w:cs="Tahoma"/>
          <w:szCs w:val="18"/>
          <w:lang w:val="de-DE"/>
        </w:rPr>
        <w:t xml:space="preserve">. </w:t>
      </w:r>
      <w:r w:rsidRPr="009123CB">
        <w:rPr>
          <w:rFonts w:cs="Tahoma"/>
          <w:szCs w:val="18"/>
          <w:lang w:val="de-DE"/>
        </w:rPr>
        <w:t xml:space="preserve">Um eine Step Up-Lizenz erwerben zu können, müssen die Kunden über eine Lizenz mit aktiver Software Assurance für </w:t>
      </w:r>
      <w:r w:rsidRPr="009123CB">
        <w:rPr>
          <w:rFonts w:cs="Tahoma"/>
          <w:color w:val="000000"/>
          <w:szCs w:val="18"/>
          <w:lang w:val="de-DE"/>
        </w:rPr>
        <w:t>das qualifizierende Produkt verfügen</w:t>
      </w:r>
      <w:r w:rsidR="006257A7">
        <w:rPr>
          <w:rFonts w:cs="Tahoma"/>
          <w:color w:val="000000"/>
          <w:szCs w:val="18"/>
          <w:lang w:val="de-DE"/>
        </w:rPr>
        <w:t xml:space="preserve">. </w:t>
      </w:r>
      <w:r w:rsidRPr="009123CB">
        <w:rPr>
          <w:rFonts w:cs="Tahoma"/>
          <w:color w:val="000000"/>
          <w:szCs w:val="18"/>
          <w:lang w:val="de-DE"/>
        </w:rPr>
        <w:t>Die Step Up-Lizenz muss unter demselben Volumenlizenzprogramm-Vertrag und -Beitritt (sofern vorhanden) erworben werden, unter dem bzw</w:t>
      </w:r>
      <w:r w:rsidR="006257A7">
        <w:rPr>
          <w:rFonts w:cs="Tahoma"/>
          <w:color w:val="000000"/>
          <w:szCs w:val="18"/>
          <w:lang w:val="de-DE"/>
        </w:rPr>
        <w:t xml:space="preserve">. </w:t>
      </w:r>
      <w:r w:rsidRPr="009123CB">
        <w:rPr>
          <w:rFonts w:cs="Tahoma"/>
          <w:color w:val="000000"/>
          <w:szCs w:val="18"/>
          <w:lang w:val="de-DE"/>
        </w:rPr>
        <w:t>denen Software Assurance für das qualifizierende</w:t>
      </w:r>
      <w:r w:rsidRPr="009123CB">
        <w:rPr>
          <w:rFonts w:cs="Tahoma"/>
          <w:szCs w:val="18"/>
          <w:lang w:val="de-DE"/>
        </w:rPr>
        <w:t xml:space="preserve"> Produkt ursprünglich erworben wurde, und ist nur unter diesen Umständen gültig</w:t>
      </w:r>
      <w:r w:rsidR="006257A7">
        <w:rPr>
          <w:rFonts w:cs="Tahoma"/>
          <w:szCs w:val="18"/>
          <w:lang w:val="de-DE"/>
        </w:rPr>
        <w:t xml:space="preserve">. </w:t>
      </w:r>
      <w:r w:rsidRPr="009123CB">
        <w:rPr>
          <w:rFonts w:cs="Tahoma"/>
          <w:szCs w:val="18"/>
          <w:lang w:val="de-DE"/>
        </w:rPr>
        <w:t>Das Recht des Kunden, Software unter einer Step Up-Lizenz zu nutzen, setzt voraus, dass der Kunde eine Lizenz für das qualifizierende Produkt besitzt und diese behält</w:t>
      </w:r>
      <w:r w:rsidR="006257A7">
        <w:rPr>
          <w:rFonts w:cs="Tahoma"/>
          <w:szCs w:val="18"/>
          <w:lang w:val="de-DE"/>
        </w:rPr>
        <w:t xml:space="preserve">. </w:t>
      </w:r>
      <w:r w:rsidRPr="009123CB">
        <w:rPr>
          <w:rFonts w:cs="Tahoma"/>
          <w:szCs w:val="18"/>
          <w:lang w:val="de-DE"/>
        </w:rPr>
        <w:t>Die Kunden können die Lizenz für das qualifizierende Produkt nicht separat von der Step Up-Lizenz übertragen</w:t>
      </w:r>
      <w:r w:rsidR="006257A7">
        <w:rPr>
          <w:rFonts w:cs="Tahoma"/>
          <w:szCs w:val="18"/>
          <w:lang w:val="de-DE"/>
        </w:rPr>
        <w:t xml:space="preserve">. </w:t>
      </w:r>
      <w:r w:rsidRPr="009123CB">
        <w:rPr>
          <w:rFonts w:cs="Tahoma"/>
          <w:szCs w:val="18"/>
          <w:lang w:val="de-DE"/>
        </w:rPr>
        <w:t>Die zeitlich unbeschränkten Rechte im Rahmen einer Step Up-Lizenz haben Vorrang vor der und ersetzen die zugrunde liegende Lizenz für das qualifizierende Produkt</w:t>
      </w:r>
      <w:r w:rsidR="006257A7">
        <w:rPr>
          <w:rFonts w:cs="Tahoma"/>
          <w:szCs w:val="18"/>
          <w:lang w:val="de-DE"/>
        </w:rPr>
        <w:t xml:space="preserve">. </w:t>
      </w:r>
      <w:r w:rsidRPr="009123CB">
        <w:rPr>
          <w:rFonts w:cs="Tahoma"/>
          <w:szCs w:val="18"/>
          <w:lang w:val="de-DE"/>
        </w:rPr>
        <w:t>Weitere Informationen erhalten Sie in der Volumenlizenz-Kurzdarstellung zu Step Up-Lizenzen für Enterprise Edition: http://</w:t>
      </w:r>
      <w:hyperlink r:id="rId29" w:history="1">
        <w:r w:rsidR="00E869D6" w:rsidRPr="00420E1C">
          <w:rPr>
            <w:rStyle w:val="Hyperlink"/>
            <w:rFonts w:cs="Tahoma"/>
            <w:szCs w:val="18"/>
            <w:lang w:val="de-DE"/>
          </w:rPr>
          <w:t>www.microsoft.com/licensing</w:t>
        </w:r>
      </w:hyperlink>
      <w:r w:rsidRPr="009123CB">
        <w:rPr>
          <w:rFonts w:cs="Tahoma"/>
          <w:szCs w:val="18"/>
          <w:lang w:val="de-DE"/>
        </w:rPr>
        <w:t xml:space="preserve"> </w:t>
      </w:r>
    </w:p>
    <w:p w:rsidR="00051083" w:rsidRDefault="00051083" w:rsidP="008D4EE5">
      <w:pPr>
        <w:rPr>
          <w:rFonts w:cs="Tahoma"/>
          <w:szCs w:val="18"/>
          <w:lang w:val="de-DE"/>
        </w:rPr>
      </w:pPr>
    </w:p>
    <w:p w:rsidR="00051083" w:rsidRPr="009123CB" w:rsidRDefault="00051083" w:rsidP="008D4EE5">
      <w:pPr>
        <w:rPr>
          <w:lang w:val="de-D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8D4EE5" w:rsidRPr="002202CA" w:rsidTr="00A67771">
        <w:trPr>
          <w:tblHeader/>
        </w:trPr>
        <w:tc>
          <w:tcPr>
            <w:tcW w:w="4230" w:type="dxa"/>
            <w:shd w:val="clear" w:color="auto" w:fill="FABF8F"/>
            <w:tcMar>
              <w:top w:w="0" w:type="dxa"/>
              <w:left w:w="108" w:type="dxa"/>
              <w:bottom w:w="0" w:type="dxa"/>
              <w:right w:w="108" w:type="dxa"/>
            </w:tcMar>
            <w:hideMark/>
          </w:tcPr>
          <w:p w:rsidR="008D4EE5" w:rsidRPr="002202CA" w:rsidRDefault="008D4EE5" w:rsidP="00A67771">
            <w:pPr>
              <w:jc w:val="center"/>
              <w:rPr>
                <w:rFonts w:eastAsia="Calibri" w:cs="Tahoma"/>
                <w:b/>
                <w:sz w:val="20"/>
                <w:szCs w:val="20"/>
              </w:rPr>
            </w:pPr>
            <w:r>
              <w:rPr>
                <w:rFonts w:cs="Tahoma"/>
                <w:b/>
                <w:sz w:val="20"/>
                <w:szCs w:val="20"/>
              </w:rPr>
              <w:t>Step Up von</w:t>
            </w:r>
          </w:p>
        </w:tc>
        <w:tc>
          <w:tcPr>
            <w:tcW w:w="4230" w:type="dxa"/>
            <w:shd w:val="clear" w:color="auto" w:fill="FABF8F"/>
            <w:tcMar>
              <w:top w:w="0" w:type="dxa"/>
              <w:left w:w="108" w:type="dxa"/>
              <w:bottom w:w="0" w:type="dxa"/>
              <w:right w:w="108" w:type="dxa"/>
            </w:tcMar>
            <w:hideMark/>
          </w:tcPr>
          <w:p w:rsidR="008D4EE5" w:rsidRPr="002202CA" w:rsidRDefault="008D4EE5" w:rsidP="00A67771">
            <w:pPr>
              <w:jc w:val="center"/>
              <w:rPr>
                <w:rFonts w:eastAsia="Calibri" w:cs="Tahoma"/>
                <w:b/>
                <w:sz w:val="20"/>
                <w:szCs w:val="20"/>
              </w:rPr>
            </w:pPr>
            <w:r>
              <w:rPr>
                <w:rFonts w:cs="Tahoma"/>
                <w:b/>
                <w:sz w:val="20"/>
                <w:szCs w:val="20"/>
              </w:rPr>
              <w:t>Step Up zu</w:t>
            </w:r>
          </w:p>
        </w:tc>
      </w:tr>
      <w:tr w:rsidR="008D4EE5" w:rsidRPr="002202C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BizTalk</w:t>
            </w:r>
            <w:r w:rsidR="0069040B" w:rsidRPr="0069040B">
              <w:rPr>
                <w:rFonts w:cs="Tahoma"/>
                <w:szCs w:val="18"/>
                <w:vertAlign w:val="superscript"/>
              </w:rPr>
              <w:t>®</w:t>
            </w:r>
            <w:r>
              <w:rPr>
                <w:rFonts w:cs="Tahoma"/>
                <w:szCs w:val="18"/>
              </w:rPr>
              <w:t xml:space="preserve"> Server Branch</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BizTalk</w:t>
            </w:r>
            <w:r w:rsidR="0069040B" w:rsidRPr="0069040B">
              <w:rPr>
                <w:rFonts w:cs="Tahoma"/>
                <w:szCs w:val="18"/>
                <w:vertAlign w:val="superscript"/>
              </w:rPr>
              <w:t>®</w:t>
            </w:r>
            <w:r>
              <w:rPr>
                <w:rFonts w:cs="Tahoma"/>
                <w:szCs w:val="18"/>
              </w:rPr>
              <w:t xml:space="preserve"> Server Standard</w:t>
            </w:r>
          </w:p>
        </w:tc>
      </w:tr>
      <w:tr w:rsidR="008D4EE5" w:rsidRPr="002202C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BizTalk</w:t>
            </w:r>
            <w:r w:rsidR="0069040B" w:rsidRPr="0069040B">
              <w:rPr>
                <w:rFonts w:cs="Tahoma"/>
                <w:szCs w:val="18"/>
                <w:vertAlign w:val="superscript"/>
              </w:rPr>
              <w:t>®</w:t>
            </w:r>
            <w:r>
              <w:rPr>
                <w:rFonts w:cs="Tahoma"/>
                <w:szCs w:val="18"/>
              </w:rPr>
              <w:t xml:space="preserve"> Server Branch</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BizTalk</w:t>
            </w:r>
            <w:r w:rsidR="0069040B" w:rsidRPr="0069040B">
              <w:rPr>
                <w:rFonts w:cs="Tahoma"/>
                <w:szCs w:val="18"/>
                <w:vertAlign w:val="superscript"/>
              </w:rPr>
              <w:t>®</w:t>
            </w:r>
            <w:r>
              <w:rPr>
                <w:rFonts w:cs="Tahoma"/>
                <w:szCs w:val="18"/>
              </w:rPr>
              <w:t xml:space="preserve"> Server Enterprise</w:t>
            </w:r>
          </w:p>
        </w:tc>
      </w:tr>
      <w:tr w:rsidR="008D4EE5" w:rsidRPr="002202C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BizTalk</w:t>
            </w:r>
            <w:r w:rsidR="0069040B" w:rsidRPr="0069040B">
              <w:rPr>
                <w:rFonts w:cs="Tahoma"/>
                <w:szCs w:val="18"/>
                <w:vertAlign w:val="superscript"/>
              </w:rPr>
              <w:t>®</w:t>
            </w:r>
            <w:r>
              <w:rPr>
                <w:rFonts w:cs="Tahoma"/>
                <w:szCs w:val="18"/>
              </w:rPr>
              <w:t xml:space="preserve"> Server Standard</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BizTalk</w:t>
            </w:r>
            <w:r w:rsidR="0069040B" w:rsidRPr="0069040B">
              <w:rPr>
                <w:rFonts w:cs="Tahoma"/>
                <w:szCs w:val="18"/>
                <w:vertAlign w:val="superscript"/>
              </w:rPr>
              <w:t>®</w:t>
            </w:r>
            <w:r>
              <w:rPr>
                <w:rFonts w:cs="Tahoma"/>
                <w:szCs w:val="18"/>
              </w:rPr>
              <w:t xml:space="preserve"> Server Enterprise</w:t>
            </w:r>
          </w:p>
        </w:tc>
      </w:tr>
      <w:tr w:rsidR="008D4EE5" w:rsidRPr="002202C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Commerce Server Standard</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Commerce Server Enterprise</w:t>
            </w:r>
          </w:p>
        </w:tc>
      </w:tr>
      <w:tr w:rsidR="008D4EE5" w:rsidRPr="002202CA" w:rsidTr="00A67771">
        <w:trPr>
          <w:trHeight w:val="238"/>
        </w:trPr>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Core-CAL-Suite</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Enterprise-CAL-Suite</w:t>
            </w:r>
          </w:p>
        </w:tc>
      </w:tr>
      <w:tr w:rsidR="008D4EE5" w:rsidRPr="004B50C5" w:rsidTr="00A67771">
        <w:trPr>
          <w:trHeight w:val="247"/>
        </w:trPr>
        <w:tc>
          <w:tcPr>
            <w:tcW w:w="4230" w:type="dxa"/>
            <w:tcMar>
              <w:top w:w="0" w:type="dxa"/>
              <w:left w:w="108" w:type="dxa"/>
              <w:bottom w:w="0" w:type="dxa"/>
              <w:right w:w="108" w:type="dxa"/>
            </w:tcMar>
          </w:tcPr>
          <w:p w:rsidR="008D4EE5" w:rsidRPr="00C3058D" w:rsidRDefault="008D4EE5" w:rsidP="00A67771">
            <w:pPr>
              <w:rPr>
                <w:rFonts w:cs="Tahoma"/>
                <w:color w:val="000000"/>
                <w:szCs w:val="18"/>
              </w:rPr>
            </w:pPr>
            <w:r>
              <w:rPr>
                <w:rFonts w:cs="Tahoma"/>
                <w:color w:val="000000"/>
                <w:szCs w:val="18"/>
              </w:rPr>
              <w:t>Core CAL Suite Bridge für Office 365</w:t>
            </w:r>
          </w:p>
        </w:tc>
        <w:tc>
          <w:tcPr>
            <w:tcW w:w="4230" w:type="dxa"/>
            <w:tcMar>
              <w:top w:w="0" w:type="dxa"/>
              <w:left w:w="108" w:type="dxa"/>
              <w:bottom w:w="0" w:type="dxa"/>
              <w:right w:w="108" w:type="dxa"/>
            </w:tcMar>
          </w:tcPr>
          <w:p w:rsidR="008D4EE5" w:rsidRPr="008D2C42" w:rsidRDefault="008D4EE5" w:rsidP="00A67771">
            <w:pPr>
              <w:rPr>
                <w:rFonts w:cs="Tahoma"/>
                <w:color w:val="000000"/>
                <w:szCs w:val="18"/>
              </w:rPr>
            </w:pPr>
            <w:r>
              <w:rPr>
                <w:rFonts w:cs="Tahoma"/>
                <w:color w:val="000000"/>
                <w:szCs w:val="18"/>
              </w:rPr>
              <w:t>Enterprise CAL Suite Bridge für Office 365</w:t>
            </w:r>
          </w:p>
        </w:tc>
      </w:tr>
      <w:tr w:rsidR="008D4EE5" w:rsidRPr="004B50C5" w:rsidTr="00A67771">
        <w:trPr>
          <w:trHeight w:val="247"/>
        </w:trPr>
        <w:tc>
          <w:tcPr>
            <w:tcW w:w="4230" w:type="dxa"/>
            <w:tcMar>
              <w:top w:w="0" w:type="dxa"/>
              <w:left w:w="108" w:type="dxa"/>
              <w:bottom w:w="0" w:type="dxa"/>
              <w:right w:w="108" w:type="dxa"/>
            </w:tcMar>
          </w:tcPr>
          <w:p w:rsidR="008D4EE5" w:rsidRPr="00856696" w:rsidRDefault="008D4EE5" w:rsidP="00A67771">
            <w:pPr>
              <w:rPr>
                <w:rFonts w:cs="Tahoma"/>
                <w:color w:val="000000"/>
                <w:szCs w:val="18"/>
              </w:rPr>
            </w:pPr>
            <w:r>
              <w:rPr>
                <w:rFonts w:cs="Tahoma"/>
                <w:color w:val="000000"/>
                <w:szCs w:val="18"/>
              </w:rPr>
              <w:t>Core CAL Suite Bridge für Windows</w:t>
            </w:r>
            <w:r w:rsidR="0069040B" w:rsidRPr="0069040B">
              <w:rPr>
                <w:rFonts w:cs="Tahoma"/>
                <w:color w:val="000000"/>
                <w:szCs w:val="18"/>
                <w:vertAlign w:val="superscript"/>
              </w:rPr>
              <w:t>®</w:t>
            </w:r>
            <w:r>
              <w:rPr>
                <w:rFonts w:cs="Tahoma"/>
                <w:color w:val="000000"/>
                <w:szCs w:val="18"/>
              </w:rPr>
              <w:t xml:space="preserve"> Intune</w:t>
            </w:r>
          </w:p>
        </w:tc>
        <w:tc>
          <w:tcPr>
            <w:tcW w:w="4230" w:type="dxa"/>
            <w:tcMar>
              <w:top w:w="0" w:type="dxa"/>
              <w:left w:w="108" w:type="dxa"/>
              <w:bottom w:w="0" w:type="dxa"/>
              <w:right w:w="108" w:type="dxa"/>
            </w:tcMar>
          </w:tcPr>
          <w:p w:rsidR="008D4EE5" w:rsidRPr="00B2182D" w:rsidRDefault="008D4EE5" w:rsidP="00A67771">
            <w:pPr>
              <w:rPr>
                <w:rFonts w:cs="Tahoma"/>
                <w:color w:val="000000"/>
                <w:szCs w:val="18"/>
              </w:rPr>
            </w:pPr>
            <w:r>
              <w:rPr>
                <w:rFonts w:cs="Tahoma"/>
                <w:color w:val="000000"/>
                <w:szCs w:val="18"/>
              </w:rPr>
              <w:t>Enterprise CAL Suite Bridge für Windows</w:t>
            </w:r>
            <w:r w:rsidR="0069040B" w:rsidRPr="0069040B">
              <w:rPr>
                <w:rFonts w:cs="Tahoma"/>
                <w:color w:val="000000"/>
                <w:szCs w:val="18"/>
                <w:vertAlign w:val="superscript"/>
              </w:rPr>
              <w:t>®</w:t>
            </w:r>
            <w:r>
              <w:rPr>
                <w:rFonts w:cs="Tahoma"/>
                <w:color w:val="000000"/>
                <w:szCs w:val="18"/>
              </w:rPr>
              <w:t xml:space="preserve"> Intune</w:t>
            </w:r>
          </w:p>
        </w:tc>
      </w:tr>
      <w:tr w:rsidR="008D4EE5" w:rsidRPr="002202CA" w:rsidTr="00A67771">
        <w:trPr>
          <w:trHeight w:val="247"/>
        </w:trPr>
        <w:tc>
          <w:tcPr>
            <w:tcW w:w="4230" w:type="dxa"/>
            <w:tcMar>
              <w:top w:w="0" w:type="dxa"/>
              <w:left w:w="108" w:type="dxa"/>
              <w:bottom w:w="0" w:type="dxa"/>
              <w:right w:w="108" w:type="dxa"/>
            </w:tcMar>
          </w:tcPr>
          <w:p w:rsidR="008D4EE5" w:rsidRPr="00C3058D" w:rsidRDefault="008D4EE5" w:rsidP="00A67771">
            <w:pPr>
              <w:rPr>
                <w:rFonts w:cs="Tahoma"/>
                <w:color w:val="000000"/>
                <w:szCs w:val="18"/>
              </w:rPr>
            </w:pPr>
            <w:r>
              <w:rPr>
                <w:rFonts w:cs="Tahoma"/>
                <w:color w:val="000000"/>
                <w:szCs w:val="18"/>
              </w:rPr>
              <w:t>Core CAL Suite Bridge für Office 365 und Windows</w:t>
            </w:r>
            <w:r w:rsidR="0069040B" w:rsidRPr="0069040B">
              <w:rPr>
                <w:rFonts w:cs="Tahoma"/>
                <w:color w:val="000000"/>
                <w:szCs w:val="18"/>
                <w:vertAlign w:val="superscript"/>
              </w:rPr>
              <w:t>®</w:t>
            </w:r>
            <w:r>
              <w:rPr>
                <w:rFonts w:cs="Tahoma"/>
                <w:color w:val="000000"/>
                <w:szCs w:val="18"/>
              </w:rPr>
              <w:t xml:space="preserve"> Intune</w:t>
            </w:r>
          </w:p>
        </w:tc>
        <w:tc>
          <w:tcPr>
            <w:tcW w:w="4230" w:type="dxa"/>
            <w:tcMar>
              <w:top w:w="0" w:type="dxa"/>
              <w:left w:w="108" w:type="dxa"/>
              <w:bottom w:w="0" w:type="dxa"/>
              <w:right w:w="108" w:type="dxa"/>
            </w:tcMar>
          </w:tcPr>
          <w:p w:rsidR="008D4EE5" w:rsidRPr="00C3058D" w:rsidRDefault="008D4EE5" w:rsidP="00A67771">
            <w:pPr>
              <w:rPr>
                <w:rFonts w:cs="Tahoma"/>
                <w:color w:val="000000"/>
                <w:szCs w:val="18"/>
              </w:rPr>
            </w:pPr>
            <w:r>
              <w:rPr>
                <w:rFonts w:eastAsia="Calibri" w:cs="Tahoma"/>
                <w:szCs w:val="18"/>
              </w:rPr>
              <w:t>Enterprise CAL Suite Bridge für Office 365 und Windows</w:t>
            </w:r>
            <w:r w:rsidR="0069040B" w:rsidRPr="0069040B">
              <w:rPr>
                <w:rFonts w:cs="Tahoma"/>
                <w:color w:val="000000"/>
                <w:szCs w:val="18"/>
                <w:vertAlign w:val="superscript"/>
              </w:rPr>
              <w:t>®</w:t>
            </w:r>
            <w:r>
              <w:rPr>
                <w:rFonts w:cs="Tahoma"/>
                <w:color w:val="000000"/>
                <w:szCs w:val="18"/>
                <w:vertAlign w:val="superscript"/>
              </w:rPr>
              <w:t xml:space="preserve"> </w:t>
            </w:r>
            <w:r>
              <w:rPr>
                <w:rFonts w:eastAsia="Calibri" w:cs="Tahoma"/>
                <w:szCs w:val="18"/>
              </w:rPr>
              <w:t>Intune</w:t>
            </w:r>
          </w:p>
        </w:tc>
      </w:tr>
      <w:tr w:rsidR="008D4EE5" w:rsidRPr="00FB51BA" w:rsidTr="00A67771">
        <w:trPr>
          <w:trHeight w:val="247"/>
        </w:trPr>
        <w:tc>
          <w:tcPr>
            <w:tcW w:w="4230" w:type="dxa"/>
            <w:tcMar>
              <w:top w:w="0" w:type="dxa"/>
              <w:left w:w="108" w:type="dxa"/>
              <w:bottom w:w="0" w:type="dxa"/>
              <w:right w:w="108" w:type="dxa"/>
            </w:tcMar>
            <w:hideMark/>
          </w:tcPr>
          <w:p w:rsidR="008D4EE5" w:rsidRPr="009123CB" w:rsidRDefault="008D4EE5" w:rsidP="00A67771">
            <w:pPr>
              <w:rPr>
                <w:rFonts w:cs="Tahoma"/>
                <w:szCs w:val="18"/>
                <w:lang w:val="fr-FR"/>
              </w:rPr>
            </w:pPr>
            <w:r w:rsidRPr="009123CB">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8D4EE5" w:rsidRPr="009123CB" w:rsidRDefault="008D4EE5" w:rsidP="00A67771">
            <w:pPr>
              <w:rPr>
                <w:rFonts w:cs="Tahoma"/>
                <w:szCs w:val="18"/>
                <w:lang w:val="fr-FR"/>
              </w:rPr>
            </w:pPr>
            <w:r w:rsidRPr="009123CB">
              <w:rPr>
                <w:rFonts w:cs="Tahoma"/>
                <w:color w:val="000000"/>
                <w:szCs w:val="18"/>
                <w:lang w:val="fr-FR"/>
              </w:rPr>
              <w:t>Core Infrastructure Server Suite Datacenter</w:t>
            </w:r>
          </w:p>
        </w:tc>
      </w:tr>
      <w:tr w:rsidR="008D4EE5" w:rsidRPr="00FB51B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Desktop Education mit Core CAL</w:t>
            </w:r>
          </w:p>
        </w:tc>
        <w:tc>
          <w:tcPr>
            <w:tcW w:w="4230" w:type="dxa"/>
            <w:tcMar>
              <w:top w:w="0" w:type="dxa"/>
              <w:left w:w="108" w:type="dxa"/>
              <w:bottom w:w="0" w:type="dxa"/>
              <w:right w:w="108" w:type="dxa"/>
            </w:tcMar>
            <w:hideMark/>
          </w:tcPr>
          <w:p w:rsidR="008D4EE5" w:rsidRPr="009123CB" w:rsidRDefault="008D4EE5" w:rsidP="00A67771">
            <w:pPr>
              <w:rPr>
                <w:rFonts w:eastAsia="Calibri" w:cs="Tahoma"/>
                <w:szCs w:val="18"/>
                <w:lang w:val="fr-FR"/>
              </w:rPr>
            </w:pPr>
            <w:r w:rsidRPr="009123CB">
              <w:rPr>
                <w:rFonts w:cs="Tahoma"/>
                <w:szCs w:val="18"/>
                <w:lang w:val="fr-FR"/>
              </w:rPr>
              <w:t>Desktop Education mit Enterprise CAL Suite</w:t>
            </w:r>
          </w:p>
        </w:tc>
      </w:tr>
      <w:tr w:rsidR="008D4EE5" w:rsidRPr="002202C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Desktop School mit Core CAL</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Desktop School mit Enterprise CAL Suite</w:t>
            </w:r>
          </w:p>
        </w:tc>
      </w:tr>
      <w:tr w:rsidR="008D4EE5" w:rsidRPr="002202C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lang w:val="fr-FR"/>
              </w:rPr>
            </w:pPr>
            <w:r>
              <w:rPr>
                <w:rFonts w:cs="Tahoma"/>
                <w:szCs w:val="18"/>
              </w:rPr>
              <w:t>Exchange Server Standard</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Exchange Server Enterprise</w:t>
            </w:r>
          </w:p>
        </w:tc>
      </w:tr>
      <w:tr w:rsidR="008D4EE5" w:rsidRPr="002202CA" w:rsidTr="00A67771">
        <w:tc>
          <w:tcPr>
            <w:tcW w:w="4230" w:type="dxa"/>
            <w:tcMar>
              <w:top w:w="0" w:type="dxa"/>
              <w:left w:w="108" w:type="dxa"/>
              <w:bottom w:w="0" w:type="dxa"/>
              <w:right w:w="108" w:type="dxa"/>
            </w:tcMar>
          </w:tcPr>
          <w:p w:rsidR="008D4EE5" w:rsidRPr="002202CA" w:rsidRDefault="008D4EE5" w:rsidP="00A67771">
            <w:pPr>
              <w:rPr>
                <w:rFonts w:cs="Tahoma"/>
                <w:szCs w:val="18"/>
              </w:rPr>
            </w:pPr>
            <w:r>
              <w:rPr>
                <w:rFonts w:cs="Tahoma"/>
                <w:szCs w:val="18"/>
              </w:rPr>
              <w:t>Forefront TMG Standard</w:t>
            </w:r>
          </w:p>
        </w:tc>
        <w:tc>
          <w:tcPr>
            <w:tcW w:w="4230" w:type="dxa"/>
            <w:tcMar>
              <w:top w:w="0" w:type="dxa"/>
              <w:left w:w="108" w:type="dxa"/>
              <w:bottom w:w="0" w:type="dxa"/>
              <w:right w:w="108" w:type="dxa"/>
            </w:tcMar>
          </w:tcPr>
          <w:p w:rsidR="008D4EE5" w:rsidRPr="002202CA" w:rsidRDefault="008D4EE5" w:rsidP="00A67771">
            <w:pPr>
              <w:rPr>
                <w:rFonts w:cs="Tahoma"/>
                <w:szCs w:val="18"/>
              </w:rPr>
            </w:pPr>
            <w:r>
              <w:rPr>
                <w:rFonts w:cs="Tahoma"/>
                <w:szCs w:val="18"/>
              </w:rPr>
              <w:t>Forefront TMG Enterprise</w:t>
            </w:r>
          </w:p>
        </w:tc>
      </w:tr>
      <w:tr w:rsidR="008D4EE5" w:rsidRPr="002202C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Internet Security and Acceleration (ISA) Standard Server</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Internet Security and Acceleration (ISA) Enterprise Server</w:t>
            </w:r>
          </w:p>
        </w:tc>
      </w:tr>
      <w:tr w:rsidR="008D4EE5" w:rsidRPr="002202CA" w:rsidTr="00A67771">
        <w:tc>
          <w:tcPr>
            <w:tcW w:w="4230" w:type="dxa"/>
            <w:tcMar>
              <w:top w:w="0" w:type="dxa"/>
              <w:left w:w="108" w:type="dxa"/>
              <w:bottom w:w="0" w:type="dxa"/>
              <w:right w:w="108" w:type="dxa"/>
            </w:tcMar>
          </w:tcPr>
          <w:p w:rsidR="008D4EE5" w:rsidRPr="002202CA" w:rsidRDefault="008D4EE5" w:rsidP="00A67771">
            <w:pPr>
              <w:rPr>
                <w:rFonts w:cs="Tahoma"/>
                <w:szCs w:val="18"/>
              </w:rPr>
            </w:pPr>
            <w:r>
              <w:rPr>
                <w:rFonts w:cs="Tahoma"/>
                <w:szCs w:val="18"/>
              </w:rPr>
              <w:t>Microsoft Dynamics CRM Workgroup Server 2011</w:t>
            </w:r>
          </w:p>
        </w:tc>
        <w:tc>
          <w:tcPr>
            <w:tcW w:w="4230" w:type="dxa"/>
            <w:tcMar>
              <w:top w:w="0" w:type="dxa"/>
              <w:left w:w="108" w:type="dxa"/>
              <w:bottom w:w="0" w:type="dxa"/>
              <w:right w:w="108" w:type="dxa"/>
            </w:tcMar>
          </w:tcPr>
          <w:p w:rsidR="008D4EE5" w:rsidRPr="002202CA" w:rsidRDefault="008D4EE5" w:rsidP="00A67771">
            <w:pPr>
              <w:rPr>
                <w:rFonts w:cs="Tahoma"/>
                <w:szCs w:val="18"/>
              </w:rPr>
            </w:pPr>
            <w:r>
              <w:rPr>
                <w:rFonts w:cs="Tahoma"/>
                <w:szCs w:val="18"/>
              </w:rPr>
              <w:t>Microsoft Dynamics CRM Server 2011</w:t>
            </w:r>
          </w:p>
        </w:tc>
      </w:tr>
      <w:tr w:rsidR="008D4EE5" w:rsidRPr="002202C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 xml:space="preserve">Office Standard </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lang w:val="fr-FR"/>
              </w:rPr>
            </w:pPr>
            <w:r>
              <w:rPr>
                <w:rFonts w:cs="Tahoma"/>
                <w:szCs w:val="18"/>
              </w:rPr>
              <w:t xml:space="preserve">Office Professional Plus </w:t>
            </w:r>
          </w:p>
        </w:tc>
      </w:tr>
      <w:tr w:rsidR="008D4EE5" w:rsidRPr="002202C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Professional Desktop</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Enterprise Desktop</w:t>
            </w:r>
          </w:p>
        </w:tc>
      </w:tr>
      <w:tr w:rsidR="008D4EE5" w:rsidRPr="002202CA" w:rsidTr="00A67771">
        <w:tc>
          <w:tcPr>
            <w:tcW w:w="4230" w:type="dxa"/>
            <w:tcMar>
              <w:top w:w="0" w:type="dxa"/>
              <w:left w:w="108" w:type="dxa"/>
              <w:bottom w:w="0" w:type="dxa"/>
              <w:right w:w="108" w:type="dxa"/>
            </w:tcMar>
            <w:hideMark/>
          </w:tcPr>
          <w:p w:rsidR="008D4EE5" w:rsidRPr="009C3A55" w:rsidRDefault="008D4EE5" w:rsidP="00A67771">
            <w:pPr>
              <w:rPr>
                <w:rFonts w:cs="Tahoma"/>
                <w:color w:val="000000"/>
                <w:szCs w:val="18"/>
              </w:rPr>
            </w:pPr>
            <w:r>
              <w:rPr>
                <w:rFonts w:cs="Tahoma"/>
                <w:color w:val="000000"/>
                <w:szCs w:val="18"/>
              </w:rPr>
              <w:t>Professional Desktop mit Microsoft</w:t>
            </w:r>
            <w:bookmarkStart w:id="919" w:name="_Toc236810936"/>
            <w:r>
              <w:rPr>
                <w:rFonts w:cs="Tahoma"/>
                <w:color w:val="000000"/>
                <w:szCs w:val="18"/>
              </w:rPr>
              <w:t xml:space="preserve"> Desktop Optimization Pack </w:t>
            </w:r>
            <w:bookmarkEnd w:id="919"/>
          </w:p>
        </w:tc>
        <w:tc>
          <w:tcPr>
            <w:tcW w:w="4230" w:type="dxa"/>
            <w:tcMar>
              <w:top w:w="0" w:type="dxa"/>
              <w:left w:w="108" w:type="dxa"/>
              <w:bottom w:w="0" w:type="dxa"/>
              <w:right w:w="108" w:type="dxa"/>
            </w:tcMar>
            <w:hideMark/>
          </w:tcPr>
          <w:p w:rsidR="008D4EE5" w:rsidRPr="009C3A55" w:rsidRDefault="008D4EE5" w:rsidP="00A67771">
            <w:pPr>
              <w:rPr>
                <w:rFonts w:cs="Tahoma"/>
                <w:color w:val="000000"/>
                <w:szCs w:val="18"/>
              </w:rPr>
            </w:pPr>
            <w:r>
              <w:rPr>
                <w:rFonts w:cs="Tahoma"/>
                <w:color w:val="000000"/>
                <w:szCs w:val="18"/>
              </w:rPr>
              <w:t>Enterprise Desktop mit Microsoft Desktop Optimization Pack</w:t>
            </w:r>
          </w:p>
        </w:tc>
      </w:tr>
      <w:tr w:rsidR="008D4EE5" w:rsidRPr="002202CA" w:rsidTr="00A67771">
        <w:tc>
          <w:tcPr>
            <w:tcW w:w="4230" w:type="dxa"/>
            <w:tcMar>
              <w:top w:w="0" w:type="dxa"/>
              <w:left w:w="108" w:type="dxa"/>
              <w:bottom w:w="0" w:type="dxa"/>
              <w:right w:w="108" w:type="dxa"/>
            </w:tcMar>
            <w:hideMark/>
          </w:tcPr>
          <w:p w:rsidR="008D4EE5" w:rsidRPr="009C3A55" w:rsidRDefault="008D4EE5" w:rsidP="00A67771">
            <w:pPr>
              <w:rPr>
                <w:rFonts w:eastAsia="Calibri" w:cs="Tahoma"/>
                <w:color w:val="000000"/>
                <w:szCs w:val="18"/>
              </w:rPr>
            </w:pPr>
            <w:r>
              <w:rPr>
                <w:rFonts w:cs="Tahoma"/>
                <w:color w:val="000000"/>
                <w:szCs w:val="18"/>
              </w:rPr>
              <w:t xml:space="preserve">Project Standard </w:t>
            </w:r>
          </w:p>
        </w:tc>
        <w:tc>
          <w:tcPr>
            <w:tcW w:w="4230" w:type="dxa"/>
            <w:tcMar>
              <w:top w:w="0" w:type="dxa"/>
              <w:left w:w="108" w:type="dxa"/>
              <w:bottom w:w="0" w:type="dxa"/>
              <w:right w:w="108" w:type="dxa"/>
            </w:tcMar>
            <w:hideMark/>
          </w:tcPr>
          <w:p w:rsidR="008D4EE5" w:rsidRPr="009C3A55" w:rsidRDefault="008D4EE5" w:rsidP="00A67771">
            <w:pPr>
              <w:rPr>
                <w:rFonts w:eastAsia="Calibri" w:cs="Tahoma"/>
                <w:color w:val="000000"/>
                <w:szCs w:val="18"/>
              </w:rPr>
            </w:pPr>
            <w:r>
              <w:rPr>
                <w:rFonts w:cs="Tahoma"/>
                <w:color w:val="000000"/>
                <w:szCs w:val="18"/>
              </w:rPr>
              <w:t xml:space="preserve">Project Professional </w:t>
            </w:r>
          </w:p>
        </w:tc>
      </w:tr>
      <w:tr w:rsidR="008D4EE5" w:rsidRPr="002202CA" w:rsidTr="00A67771">
        <w:tc>
          <w:tcPr>
            <w:tcW w:w="4230" w:type="dxa"/>
            <w:tcMar>
              <w:top w:w="0" w:type="dxa"/>
              <w:left w:w="108" w:type="dxa"/>
              <w:bottom w:w="0" w:type="dxa"/>
              <w:right w:w="108" w:type="dxa"/>
            </w:tcMar>
            <w:hideMark/>
          </w:tcPr>
          <w:p w:rsidR="008D4EE5" w:rsidRPr="009C3A55" w:rsidRDefault="008D4EE5" w:rsidP="00A67771">
            <w:pPr>
              <w:rPr>
                <w:rFonts w:eastAsia="Calibri" w:cs="Tahoma"/>
                <w:color w:val="000000"/>
                <w:szCs w:val="18"/>
              </w:rPr>
            </w:pPr>
            <w:r>
              <w:rPr>
                <w:rFonts w:cs="Tahoma"/>
                <w:color w:val="000000"/>
                <w:szCs w:val="18"/>
              </w:rPr>
              <w:t>SQL Server ™ Standard Core</w:t>
            </w:r>
          </w:p>
        </w:tc>
        <w:tc>
          <w:tcPr>
            <w:tcW w:w="4230" w:type="dxa"/>
            <w:tcMar>
              <w:top w:w="0" w:type="dxa"/>
              <w:left w:w="108" w:type="dxa"/>
              <w:bottom w:w="0" w:type="dxa"/>
              <w:right w:w="108" w:type="dxa"/>
            </w:tcMar>
            <w:hideMark/>
          </w:tcPr>
          <w:p w:rsidR="008D4EE5" w:rsidRPr="009C3A55" w:rsidRDefault="008D4EE5" w:rsidP="00A67771">
            <w:pPr>
              <w:rPr>
                <w:rFonts w:eastAsia="Calibri" w:cs="Tahoma"/>
                <w:color w:val="000000"/>
                <w:szCs w:val="18"/>
              </w:rPr>
            </w:pPr>
            <w:r>
              <w:rPr>
                <w:rFonts w:cs="Tahoma"/>
                <w:color w:val="000000"/>
                <w:szCs w:val="18"/>
              </w:rPr>
              <w:t>SQL Server™ Enterprise Core</w:t>
            </w:r>
          </w:p>
        </w:tc>
      </w:tr>
      <w:tr w:rsidR="008D4EE5" w:rsidRPr="002202C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 xml:space="preserve">SQL Server ™ </w:t>
            </w:r>
            <w:r>
              <w:rPr>
                <w:rFonts w:cs="Tahoma"/>
                <w:color w:val="000000"/>
                <w:szCs w:val="18"/>
              </w:rPr>
              <w:t>Standard</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SQL Server™ Business Intelligence</w:t>
            </w:r>
          </w:p>
        </w:tc>
      </w:tr>
      <w:tr w:rsidR="008D4EE5" w:rsidRPr="002202C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System Center 2012 Standard</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System Center 2012 Datacenter</w:t>
            </w:r>
          </w:p>
        </w:tc>
      </w:tr>
      <w:tr w:rsidR="008D4EE5" w:rsidRPr="002202CA" w:rsidTr="00A67771">
        <w:tc>
          <w:tcPr>
            <w:tcW w:w="4230" w:type="dxa"/>
            <w:tcMar>
              <w:top w:w="0" w:type="dxa"/>
              <w:left w:w="108" w:type="dxa"/>
              <w:bottom w:w="0" w:type="dxa"/>
              <w:right w:w="108" w:type="dxa"/>
            </w:tcMar>
            <w:hideMark/>
          </w:tcPr>
          <w:p w:rsidR="008D4EE5" w:rsidRPr="0086142A" w:rsidRDefault="008D4EE5" w:rsidP="00A67771">
            <w:pPr>
              <w:rPr>
                <w:rFonts w:eastAsia="Calibri" w:cs="Tahoma"/>
                <w:color w:val="000000"/>
                <w:szCs w:val="18"/>
              </w:rPr>
            </w:pPr>
            <w:r>
              <w:rPr>
                <w:rFonts w:cs="Tahoma"/>
                <w:color w:val="000000"/>
                <w:szCs w:val="18"/>
              </w:rPr>
              <w:t>Visio</w:t>
            </w:r>
            <w:r w:rsidR="0069040B" w:rsidRPr="0069040B">
              <w:rPr>
                <w:rFonts w:cs="Tahoma"/>
                <w:color w:val="000000"/>
                <w:szCs w:val="18"/>
                <w:vertAlign w:val="superscript"/>
              </w:rPr>
              <w:t>®</w:t>
            </w:r>
            <w:r>
              <w:rPr>
                <w:rFonts w:cs="Tahoma"/>
                <w:color w:val="000000"/>
                <w:szCs w:val="18"/>
              </w:rPr>
              <w:t xml:space="preserve"> Standard</w:t>
            </w:r>
          </w:p>
        </w:tc>
        <w:tc>
          <w:tcPr>
            <w:tcW w:w="4230" w:type="dxa"/>
            <w:tcMar>
              <w:top w:w="0" w:type="dxa"/>
              <w:left w:w="108" w:type="dxa"/>
              <w:bottom w:w="0" w:type="dxa"/>
              <w:right w:w="108" w:type="dxa"/>
            </w:tcMar>
            <w:hideMark/>
          </w:tcPr>
          <w:p w:rsidR="008D4EE5" w:rsidRPr="0086142A" w:rsidRDefault="008D4EE5" w:rsidP="00A67771">
            <w:pPr>
              <w:rPr>
                <w:rFonts w:eastAsia="Calibri" w:cs="Tahoma"/>
                <w:color w:val="000000"/>
                <w:szCs w:val="18"/>
              </w:rPr>
            </w:pPr>
            <w:r>
              <w:rPr>
                <w:rFonts w:cs="Tahoma"/>
                <w:color w:val="000000"/>
                <w:szCs w:val="18"/>
              </w:rPr>
              <w:t>Visio</w:t>
            </w:r>
            <w:r w:rsidR="0069040B" w:rsidRPr="0069040B">
              <w:rPr>
                <w:rFonts w:cs="Tahoma"/>
                <w:color w:val="000000"/>
                <w:szCs w:val="18"/>
                <w:vertAlign w:val="superscript"/>
              </w:rPr>
              <w:t>®</w:t>
            </w:r>
            <w:r>
              <w:rPr>
                <w:rFonts w:cs="Tahoma"/>
                <w:color w:val="000000"/>
                <w:szCs w:val="18"/>
              </w:rPr>
              <w:t xml:space="preserve"> Professional</w:t>
            </w:r>
          </w:p>
        </w:tc>
      </w:tr>
      <w:tr w:rsidR="008D4EE5" w:rsidRPr="002202CA" w:rsidTr="00A67771">
        <w:tc>
          <w:tcPr>
            <w:tcW w:w="4230" w:type="dxa"/>
            <w:tcMar>
              <w:top w:w="0" w:type="dxa"/>
              <w:left w:w="108" w:type="dxa"/>
              <w:bottom w:w="0" w:type="dxa"/>
              <w:right w:w="108" w:type="dxa"/>
            </w:tcMar>
            <w:hideMark/>
          </w:tcPr>
          <w:p w:rsidR="008D4EE5" w:rsidRPr="0086142A" w:rsidRDefault="008D4EE5" w:rsidP="00A67771">
            <w:pPr>
              <w:rPr>
                <w:rFonts w:eastAsia="Calibri" w:cs="Tahoma"/>
                <w:color w:val="000000"/>
                <w:szCs w:val="18"/>
              </w:rPr>
            </w:pPr>
            <w:r>
              <w:rPr>
                <w:rFonts w:cs="Tahoma"/>
                <w:color w:val="000000"/>
                <w:szCs w:val="18"/>
              </w:rPr>
              <w:t>Visual Studio Professional mit MSDN</w:t>
            </w:r>
          </w:p>
        </w:tc>
        <w:tc>
          <w:tcPr>
            <w:tcW w:w="4230" w:type="dxa"/>
            <w:tcMar>
              <w:top w:w="0" w:type="dxa"/>
              <w:left w:w="108" w:type="dxa"/>
              <w:bottom w:w="0" w:type="dxa"/>
              <w:right w:w="108" w:type="dxa"/>
            </w:tcMar>
            <w:hideMark/>
          </w:tcPr>
          <w:p w:rsidR="008D4EE5" w:rsidRPr="0086142A" w:rsidRDefault="008D4EE5" w:rsidP="00A67771">
            <w:pPr>
              <w:rPr>
                <w:rFonts w:eastAsia="Calibri" w:cs="Tahoma"/>
                <w:color w:val="000000"/>
                <w:szCs w:val="18"/>
              </w:rPr>
            </w:pPr>
            <w:r>
              <w:rPr>
                <w:rFonts w:cs="Tahoma"/>
                <w:color w:val="000000"/>
                <w:szCs w:val="18"/>
              </w:rPr>
              <w:t>Visual Studio Premium mit MSDN</w:t>
            </w:r>
          </w:p>
        </w:tc>
      </w:tr>
      <w:tr w:rsidR="008D4EE5" w:rsidRPr="002202C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Visual Studio Premium mit MSDN</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Visual Studio Ultimate mit MSDN</w:t>
            </w:r>
          </w:p>
        </w:tc>
      </w:tr>
      <w:tr w:rsidR="008D4EE5" w:rsidRPr="002202C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Visual Studio Test Professional mit MSDN</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Visual Studio Premium mit MSDN</w:t>
            </w:r>
          </w:p>
        </w:tc>
      </w:tr>
      <w:tr w:rsidR="008D4EE5" w:rsidRPr="002202CA" w:rsidTr="00A67771">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Windows</w:t>
            </w:r>
            <w:r w:rsidR="0069040B" w:rsidRPr="0069040B">
              <w:rPr>
                <w:rFonts w:cs="Tahoma"/>
                <w:szCs w:val="18"/>
                <w:vertAlign w:val="superscript"/>
              </w:rPr>
              <w:t>®</w:t>
            </w:r>
            <w:r>
              <w:rPr>
                <w:rFonts w:cs="Tahoma"/>
                <w:szCs w:val="18"/>
              </w:rPr>
              <w:t xml:space="preserve"> Server™ Standard</w:t>
            </w:r>
          </w:p>
        </w:tc>
        <w:tc>
          <w:tcPr>
            <w:tcW w:w="4230" w:type="dxa"/>
            <w:tcMar>
              <w:top w:w="0" w:type="dxa"/>
              <w:left w:w="108" w:type="dxa"/>
              <w:bottom w:w="0" w:type="dxa"/>
              <w:right w:w="108" w:type="dxa"/>
            </w:tcMar>
            <w:hideMark/>
          </w:tcPr>
          <w:p w:rsidR="008D4EE5" w:rsidRPr="002202CA" w:rsidRDefault="008D4EE5" w:rsidP="00A67771">
            <w:pPr>
              <w:rPr>
                <w:rFonts w:eastAsia="Calibri" w:cs="Tahoma"/>
                <w:szCs w:val="18"/>
              </w:rPr>
            </w:pPr>
            <w:r>
              <w:rPr>
                <w:rFonts w:cs="Tahoma"/>
                <w:szCs w:val="18"/>
              </w:rPr>
              <w:t>Windows</w:t>
            </w:r>
            <w:r w:rsidR="0069040B" w:rsidRPr="0069040B">
              <w:rPr>
                <w:rFonts w:cs="Tahoma"/>
                <w:szCs w:val="18"/>
                <w:vertAlign w:val="superscript"/>
              </w:rPr>
              <w:t>®</w:t>
            </w:r>
            <w:r>
              <w:rPr>
                <w:rFonts w:cs="Tahoma"/>
                <w:szCs w:val="18"/>
              </w:rPr>
              <w:t xml:space="preserve"> Server™ Datacenter</w:t>
            </w:r>
          </w:p>
        </w:tc>
      </w:tr>
    </w:tbl>
    <w:p w:rsidR="008D4EE5" w:rsidRPr="008849B7" w:rsidRDefault="008D4EE5" w:rsidP="008D4EE5">
      <w:pPr>
        <w:pStyle w:val="AppendixBodyText"/>
        <w:rPr>
          <w:lang w:val="de-DE"/>
        </w:rPr>
      </w:pPr>
      <w:r w:rsidRPr="008849B7">
        <w:rPr>
          <w:rFonts w:ascii="Tahoma" w:hAnsi="Tahoma" w:cs="Tahoma"/>
          <w:b/>
          <w:i/>
          <w:sz w:val="16"/>
          <w:szCs w:val="16"/>
          <w:lang w:val="de-DE"/>
        </w:rPr>
        <w:t>*Anmerkung:</w:t>
      </w:r>
      <w:r w:rsidRPr="008849B7">
        <w:rPr>
          <w:rFonts w:ascii="Tahoma" w:hAnsi="Tahoma" w:cs="Tahoma"/>
          <w:i/>
          <w:sz w:val="16"/>
          <w:szCs w:val="16"/>
          <w:lang w:val="de-DE"/>
        </w:rPr>
        <w:t xml:space="preserve"> Änderungen an der Liste der Produkte, für die Step Up-Lizenzen angeboten werden, sind vorbehalten</w:t>
      </w:r>
      <w:r w:rsidR="006257A7">
        <w:rPr>
          <w:rFonts w:ascii="Tahoma" w:hAnsi="Tahoma" w:cs="Tahoma"/>
          <w:i/>
          <w:sz w:val="16"/>
          <w:szCs w:val="16"/>
          <w:lang w:val="de-DE"/>
        </w:rPr>
        <w:t xml:space="preserve">. </w:t>
      </w:r>
    </w:p>
    <w:p w:rsidR="008D4EE5" w:rsidRPr="008849B7" w:rsidRDefault="008D4EE5" w:rsidP="008D4EE5">
      <w:pPr>
        <w:rPr>
          <w:lang w:val="de-DE"/>
        </w:rPr>
      </w:pPr>
    </w:p>
    <w:p w:rsidR="008D4EE5" w:rsidRPr="008849B7" w:rsidRDefault="008D4EE5" w:rsidP="008D4EE5">
      <w:pPr>
        <w:pStyle w:val="AppendixBodyText"/>
        <w:ind w:left="1710" w:hanging="1260"/>
        <w:rPr>
          <w:lang w:val="de-DE"/>
        </w:rPr>
      </w:pPr>
      <w:r w:rsidRPr="008849B7">
        <w:rPr>
          <w:rFonts w:ascii="Tahoma" w:hAnsi="Tahoma" w:cs="Tahoma"/>
          <w:b/>
          <w:i/>
          <w:lang w:val="de-DE"/>
        </w:rPr>
        <w:t xml:space="preserve"> </w:t>
      </w:r>
    </w:p>
    <w:p w:rsidR="008D4EE5" w:rsidRPr="009123CB" w:rsidRDefault="008D4EE5" w:rsidP="00A634DA">
      <w:pPr>
        <w:pStyle w:val="Heading1"/>
        <w:spacing w:before="0"/>
        <w:rPr>
          <w:lang w:val="de-DE"/>
        </w:rPr>
      </w:pPr>
      <w:r w:rsidRPr="009123CB">
        <w:rPr>
          <w:lang w:val="de-DE"/>
        </w:rPr>
        <w:br w:type="page"/>
      </w:r>
      <w:bookmarkStart w:id="920" w:name="_Toc317591256"/>
      <w:bookmarkStart w:id="921" w:name="_Toc336338247"/>
      <w:bookmarkStart w:id="922" w:name="_Toc363998985"/>
      <w:r w:rsidRPr="009123CB">
        <w:rPr>
          <w:lang w:val="de-DE"/>
        </w:rPr>
        <w:t>ABSCHNITT 8 – SERVICES</w:t>
      </w:r>
      <w:bookmarkEnd w:id="920"/>
      <w:bookmarkEnd w:id="921"/>
      <w:bookmarkEnd w:id="922"/>
    </w:p>
    <w:p w:rsidR="008D4EE5" w:rsidRPr="009123CB" w:rsidRDefault="008D4EE5" w:rsidP="008D4EE5">
      <w:pPr>
        <w:rPr>
          <w:lang w:val="de-DE"/>
        </w:rPr>
      </w:pPr>
    </w:p>
    <w:p w:rsidR="008D4EE5" w:rsidRPr="009123CB" w:rsidRDefault="008D4EE5" w:rsidP="008D4EE5">
      <w:pPr>
        <w:jc w:val="both"/>
        <w:rPr>
          <w:lang w:val="de-DE"/>
        </w:rPr>
      </w:pPr>
      <w:r w:rsidRPr="009123CB">
        <w:rPr>
          <w:rFonts w:eastAsia="Times New Roman" w:cs="Tahoma"/>
          <w:szCs w:val="20"/>
          <w:lang w:val="de-DE"/>
        </w:rPr>
        <w:t>Das Recht des Kunden, aus dieser Produktliste erworbene Services zu nutzen, hängt (1) vom Volumenlizenzvertrag des Kunden und (2) sonstigen Microsoft-Rahmen-Servicevereinbarungen ab, die zum Zeitpunkt des Erwerbs für den Kunden gelten</w:t>
      </w:r>
      <w:r w:rsidR="006257A7">
        <w:rPr>
          <w:rFonts w:eastAsia="Times New Roman" w:cs="Tahoma"/>
          <w:szCs w:val="20"/>
          <w:lang w:val="de-DE"/>
        </w:rPr>
        <w:t xml:space="preserve">. </w:t>
      </w:r>
      <w:r w:rsidRPr="009123CB">
        <w:rPr>
          <w:rFonts w:eastAsia="Times New Roman" w:cs="Tahoma"/>
          <w:szCs w:val="20"/>
          <w:lang w:val="de-DE"/>
        </w:rPr>
        <w:t>Im Falle eines Widerspruchs hat die aktuelle Servicevereinbarung Vorrang</w:t>
      </w:r>
      <w:r w:rsidR="006257A7">
        <w:rPr>
          <w:rFonts w:eastAsia="Times New Roman" w:cs="Tahoma"/>
          <w:szCs w:val="20"/>
          <w:lang w:val="de-DE"/>
        </w:rPr>
        <w:t xml:space="preserve">. </w:t>
      </w:r>
      <w:r w:rsidRPr="009123CB">
        <w:rPr>
          <w:rFonts w:cs="Tahoma"/>
          <w:color w:val="000000"/>
          <w:szCs w:val="18"/>
          <w:lang w:val="de-DE"/>
        </w:rPr>
        <w:t>Falls der Volumenlizenzvertrag oder die allgemeinen Servicebestimmungen des Kunden keine Angaben zum Services-Eigentum und zur Lizenzierungssprache enthalten, gelten die unten unter „Zusätzliche Servicebestimmungen“ dargelegten Nutzungs-, Eigentums- und Lizenzrechte</w:t>
      </w:r>
      <w:r w:rsidR="006257A7">
        <w:rPr>
          <w:rFonts w:cs="Tahoma"/>
          <w:color w:val="000000"/>
          <w:szCs w:val="18"/>
          <w:lang w:val="de-DE"/>
        </w:rPr>
        <w:t xml:space="preserve">. </w:t>
      </w:r>
      <w:r w:rsidRPr="009123CB">
        <w:rPr>
          <w:rFonts w:eastAsia="Times New Roman" w:cs="Tahoma"/>
          <w:szCs w:val="20"/>
          <w:lang w:val="de-DE"/>
        </w:rPr>
        <w:t>Falls der Kunde keine aktuelle Rahmen-Servicevereinbarung mit Microsoft besitzt, gelten alle Zusätzlichen Servicebestimmungen im Abschnitt unten</w:t>
      </w:r>
      <w:r w:rsidR="006257A7">
        <w:rPr>
          <w:rFonts w:eastAsia="Times New Roman" w:cs="Tahoma"/>
          <w:szCs w:val="20"/>
          <w:lang w:val="de-DE"/>
        </w:rPr>
        <w:t xml:space="preserve">. </w:t>
      </w:r>
    </w:p>
    <w:p w:rsidR="008D4EE5" w:rsidRPr="009123CB" w:rsidRDefault="008D4EE5" w:rsidP="008D4EE5">
      <w:pPr>
        <w:jc w:val="both"/>
        <w:rPr>
          <w:lang w:val="de-DE"/>
        </w:rPr>
      </w:pPr>
    </w:p>
    <w:p w:rsidR="008D4EE5" w:rsidRPr="009123CB" w:rsidRDefault="008D4EE5" w:rsidP="008D4EE5">
      <w:pPr>
        <w:spacing w:after="75"/>
        <w:rPr>
          <w:lang w:val="de-DE"/>
        </w:rPr>
      </w:pPr>
      <w:r w:rsidRPr="009123CB">
        <w:rPr>
          <w:rFonts w:eastAsia="Times New Roman" w:cs="Tahoma"/>
          <w:szCs w:val="20"/>
          <w:lang w:val="de-DE"/>
        </w:rPr>
        <w:t>Die Abschnitte unten enthalten eine detaillierte Beschreibung der Services, die Kunden erwerben können</w:t>
      </w:r>
      <w:r w:rsidR="006257A7">
        <w:rPr>
          <w:rFonts w:eastAsia="Times New Roman" w:cs="Tahoma"/>
          <w:szCs w:val="20"/>
          <w:lang w:val="de-DE"/>
        </w:rPr>
        <w:t xml:space="preserve">. </w:t>
      </w:r>
    </w:p>
    <w:p w:rsidR="008D4EE5" w:rsidRPr="009123CB" w:rsidRDefault="008D4EE5" w:rsidP="00801007">
      <w:pPr>
        <w:spacing w:after="75"/>
        <w:rPr>
          <w:lang w:val="de-DE"/>
        </w:rPr>
      </w:pPr>
      <w:r w:rsidRPr="009123CB">
        <w:rPr>
          <w:rFonts w:eastAsia="Times New Roman" w:cs="Tahoma"/>
          <w:szCs w:val="20"/>
          <w:lang w:val="de-DE"/>
        </w:rPr>
        <w:t>Die Verfügbarkeit der folgenden Angebote variiert je nach Region und Volumenlizenzprogramm</w:t>
      </w:r>
      <w:r w:rsidR="006257A7">
        <w:rPr>
          <w:rFonts w:eastAsia="Times New Roman" w:cs="Tahoma"/>
          <w:szCs w:val="20"/>
          <w:lang w:val="de-DE"/>
        </w:rPr>
        <w:t xml:space="preserve">. </w:t>
      </w:r>
      <w:r w:rsidRPr="009123CB">
        <w:rPr>
          <w:rFonts w:eastAsia="Times New Roman" w:cs="Tahoma"/>
          <w:szCs w:val="20"/>
          <w:lang w:val="de-DE"/>
        </w:rPr>
        <w:t>Einige Angebote sind</w:t>
      </w:r>
      <w:r w:rsidR="00801007">
        <w:rPr>
          <w:rFonts w:eastAsia="Times New Roman" w:cs="Tahoma"/>
          <w:szCs w:val="20"/>
          <w:lang w:val="de-DE"/>
        </w:rPr>
        <w:t> </w:t>
      </w:r>
      <w:r w:rsidRPr="009123CB">
        <w:rPr>
          <w:rFonts w:eastAsia="Times New Roman" w:cs="Tahoma"/>
          <w:szCs w:val="20"/>
          <w:lang w:val="de-DE"/>
        </w:rPr>
        <w:t>möglicherweise für Verwaltungseinrichtungen nicht verfügbar, wobei bestimmte eingeschränkte Ausnahmen auf Pilotbasis gelten</w:t>
      </w:r>
      <w:r w:rsidR="006257A7">
        <w:rPr>
          <w:rFonts w:eastAsia="Times New Roman" w:cs="Tahoma"/>
          <w:szCs w:val="20"/>
          <w:lang w:val="de-DE"/>
        </w:rPr>
        <w:t xml:space="preserve">. </w:t>
      </w:r>
      <w:r w:rsidRPr="009123CB">
        <w:rPr>
          <w:rFonts w:eastAsia="Times New Roman" w:cs="Tahoma"/>
          <w:szCs w:val="20"/>
          <w:lang w:val="de-DE"/>
        </w:rPr>
        <w:t>Für Informationen bezüglich der Verfügbarkeit eines bestimmten Angebots sollten sich Kunden an ihren Handelspartner oder Microsoft-Kundenbetreuer wenden</w:t>
      </w:r>
      <w:r w:rsidR="006257A7">
        <w:rPr>
          <w:rFonts w:eastAsia="Times New Roman" w:cs="Tahoma"/>
          <w:szCs w:val="20"/>
          <w:lang w:val="de-DE"/>
        </w:rPr>
        <w:t xml:space="preserve">. </w:t>
      </w:r>
    </w:p>
    <w:p w:rsidR="008D4EE5" w:rsidRPr="009123CB" w:rsidRDefault="008D4EE5" w:rsidP="008D4EE5">
      <w:pPr>
        <w:rPr>
          <w:lang w:val="de-DE"/>
        </w:rPr>
      </w:pPr>
    </w:p>
    <w:p w:rsidR="008D4EE5" w:rsidRPr="0062435A" w:rsidRDefault="008D4EE5" w:rsidP="008D4EE5">
      <w:r>
        <w:rPr>
          <w:b/>
          <w:sz w:val="24"/>
          <w:szCs w:val="24"/>
        </w:rPr>
        <w:t>Microsoft Premier-Supportangebote</w:t>
      </w:r>
    </w:p>
    <w:p w:rsidR="008D4EE5" w:rsidRPr="0062435A" w:rsidRDefault="008D4EE5" w:rsidP="008D4EE5"/>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9"/>
        <w:gridCol w:w="1567"/>
        <w:gridCol w:w="1501"/>
        <w:gridCol w:w="1675"/>
        <w:gridCol w:w="1576"/>
      </w:tblGrid>
      <w:tr w:rsidR="008D4EE5" w:rsidRPr="004F3ACA" w:rsidTr="00A67771">
        <w:tc>
          <w:tcPr>
            <w:tcW w:w="3168" w:type="dxa"/>
            <w:shd w:val="clear" w:color="auto" w:fill="FABF8F"/>
            <w:vAlign w:val="center"/>
          </w:tcPr>
          <w:p w:rsidR="008D4EE5" w:rsidRPr="004F3ACA" w:rsidRDefault="008D4EE5" w:rsidP="00A67771">
            <w:pPr>
              <w:jc w:val="center"/>
              <w:rPr>
                <w:rFonts w:cs="Tahoma"/>
                <w:color w:val="000000"/>
                <w:szCs w:val="18"/>
              </w:rPr>
            </w:pPr>
            <w:r>
              <w:rPr>
                <w:rFonts w:cs="Tahoma"/>
                <w:b/>
                <w:bCs/>
                <w:color w:val="000000"/>
                <w:sz w:val="20"/>
                <w:szCs w:val="18"/>
              </w:rPr>
              <w:t xml:space="preserve">Bereich </w:t>
            </w:r>
            <w:r>
              <w:rPr>
                <w:rFonts w:cs="Tahoma"/>
                <w:b/>
                <w:bCs/>
                <w:color w:val="000000"/>
                <w:sz w:val="20"/>
                <w:szCs w:val="18"/>
                <w:vertAlign w:val="superscript"/>
              </w:rPr>
              <w:t>1</w:t>
            </w:r>
          </w:p>
        </w:tc>
        <w:tc>
          <w:tcPr>
            <w:tcW w:w="1580" w:type="dxa"/>
            <w:shd w:val="clear" w:color="auto" w:fill="FABF8F"/>
            <w:vAlign w:val="center"/>
          </w:tcPr>
          <w:p w:rsidR="008D4EE5" w:rsidRPr="00AB7AC2" w:rsidRDefault="008D4EE5" w:rsidP="00A67771">
            <w:pPr>
              <w:jc w:val="center"/>
              <w:rPr>
                <w:rFonts w:cs="Tahoma"/>
                <w:color w:val="000000"/>
                <w:sz w:val="20"/>
                <w:szCs w:val="20"/>
              </w:rPr>
            </w:pPr>
            <w:r>
              <w:rPr>
                <w:rFonts w:cs="Tahoma"/>
                <w:b/>
                <w:bCs/>
                <w:color w:val="000000"/>
                <w:sz w:val="20"/>
                <w:szCs w:val="20"/>
              </w:rPr>
              <w:t>Premier Core</w:t>
            </w:r>
          </w:p>
        </w:tc>
        <w:tc>
          <w:tcPr>
            <w:tcW w:w="1444" w:type="dxa"/>
            <w:shd w:val="clear" w:color="auto" w:fill="FABF8F"/>
          </w:tcPr>
          <w:p w:rsidR="008D4EE5" w:rsidRPr="00AB7AC2" w:rsidRDefault="008D4EE5" w:rsidP="00A67771">
            <w:pPr>
              <w:jc w:val="center"/>
              <w:rPr>
                <w:rFonts w:cs="Tahoma"/>
                <w:b/>
                <w:bCs/>
                <w:color w:val="000000"/>
                <w:sz w:val="20"/>
                <w:szCs w:val="18"/>
              </w:rPr>
            </w:pPr>
            <w:r>
              <w:rPr>
                <w:rFonts w:cs="Tahoma"/>
                <w:b/>
                <w:bCs/>
                <w:color w:val="000000"/>
                <w:sz w:val="20"/>
                <w:szCs w:val="18"/>
              </w:rPr>
              <w:t>Premier Foundation</w:t>
            </w:r>
          </w:p>
        </w:tc>
        <w:tc>
          <w:tcPr>
            <w:tcW w:w="1687" w:type="dxa"/>
            <w:shd w:val="clear" w:color="auto" w:fill="FABF8F"/>
            <w:vAlign w:val="center"/>
          </w:tcPr>
          <w:p w:rsidR="008D4EE5" w:rsidRPr="004F3ACA" w:rsidRDefault="008D4EE5" w:rsidP="00A67771">
            <w:pPr>
              <w:jc w:val="center"/>
              <w:rPr>
                <w:rFonts w:cs="Tahoma"/>
                <w:color w:val="000000"/>
                <w:szCs w:val="18"/>
              </w:rPr>
            </w:pPr>
            <w:r>
              <w:rPr>
                <w:rFonts w:cs="Tahoma"/>
                <w:b/>
                <w:bCs/>
                <w:color w:val="000000"/>
                <w:sz w:val="20"/>
                <w:szCs w:val="18"/>
              </w:rPr>
              <w:t>Premier Standard</w:t>
            </w:r>
          </w:p>
        </w:tc>
        <w:tc>
          <w:tcPr>
            <w:tcW w:w="1589" w:type="dxa"/>
            <w:shd w:val="clear" w:color="auto" w:fill="FABF8F"/>
            <w:vAlign w:val="center"/>
          </w:tcPr>
          <w:p w:rsidR="008D4EE5" w:rsidRPr="004F3ACA" w:rsidRDefault="008D4EE5" w:rsidP="00A67771">
            <w:pPr>
              <w:jc w:val="center"/>
              <w:rPr>
                <w:rFonts w:cs="Tahoma"/>
                <w:color w:val="000000"/>
                <w:szCs w:val="18"/>
              </w:rPr>
            </w:pPr>
            <w:r>
              <w:rPr>
                <w:rFonts w:cs="Tahoma"/>
                <w:b/>
                <w:bCs/>
                <w:color w:val="000000"/>
                <w:sz w:val="20"/>
                <w:szCs w:val="18"/>
              </w:rPr>
              <w:t>Premier Plus</w:t>
            </w:r>
          </w:p>
        </w:tc>
      </w:tr>
      <w:tr w:rsidR="008D4EE5" w:rsidRPr="004F3ACA" w:rsidTr="00A67771">
        <w:tc>
          <w:tcPr>
            <w:tcW w:w="3168" w:type="dxa"/>
            <w:vAlign w:val="center"/>
          </w:tcPr>
          <w:p w:rsidR="008D4EE5" w:rsidRPr="004F3ACA" w:rsidRDefault="008D4EE5" w:rsidP="00A67771">
            <w:pPr>
              <w:rPr>
                <w:rFonts w:cs="Tahoma"/>
                <w:color w:val="000000"/>
                <w:szCs w:val="18"/>
              </w:rPr>
            </w:pPr>
            <w:r>
              <w:rPr>
                <w:rFonts w:cs="Tahoma"/>
                <w:color w:val="000000"/>
                <w:szCs w:val="18"/>
              </w:rPr>
              <w:t xml:space="preserve">Support Account Management </w:t>
            </w:r>
          </w:p>
        </w:tc>
        <w:tc>
          <w:tcPr>
            <w:tcW w:w="1580" w:type="dxa"/>
            <w:vAlign w:val="center"/>
          </w:tcPr>
          <w:p w:rsidR="008D4EE5" w:rsidRPr="00AB7AC2" w:rsidRDefault="008D4EE5" w:rsidP="00A67771">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rsidR="008D4EE5" w:rsidRPr="00AB7AC2" w:rsidRDefault="008D4EE5" w:rsidP="00A67771">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rsidR="008D4EE5" w:rsidRPr="00C96BAE" w:rsidRDefault="008D4EE5" w:rsidP="00A67771">
            <w:pPr>
              <w:jc w:val="center"/>
              <w:rPr>
                <w:rFonts w:cs="Tahoma"/>
                <w:color w:val="000000"/>
                <w:szCs w:val="18"/>
              </w:rPr>
            </w:pPr>
            <w:r>
              <w:rPr>
                <w:rFonts w:cs="Tahoma"/>
                <w:color w:val="000000"/>
                <w:szCs w:val="18"/>
              </w:rPr>
              <w:t>√</w:t>
            </w:r>
          </w:p>
        </w:tc>
        <w:tc>
          <w:tcPr>
            <w:tcW w:w="1589" w:type="dxa"/>
            <w:vAlign w:val="center"/>
          </w:tcPr>
          <w:p w:rsidR="008D4EE5" w:rsidRPr="00C96BAE" w:rsidRDefault="008D4EE5" w:rsidP="00A67771">
            <w:pPr>
              <w:jc w:val="center"/>
              <w:rPr>
                <w:rFonts w:cs="Tahoma"/>
                <w:color w:val="000000"/>
                <w:szCs w:val="18"/>
              </w:rPr>
            </w:pPr>
            <w:r>
              <w:rPr>
                <w:rFonts w:cs="Tahoma"/>
                <w:color w:val="000000"/>
                <w:szCs w:val="18"/>
              </w:rPr>
              <w:t>√</w:t>
            </w:r>
          </w:p>
        </w:tc>
      </w:tr>
      <w:tr w:rsidR="008D4EE5" w:rsidRPr="004F3ACA" w:rsidTr="00A67771">
        <w:tc>
          <w:tcPr>
            <w:tcW w:w="3168" w:type="dxa"/>
            <w:vAlign w:val="center"/>
          </w:tcPr>
          <w:p w:rsidR="008D4EE5" w:rsidRPr="004F3ACA" w:rsidRDefault="008D4EE5" w:rsidP="00A67771">
            <w:pPr>
              <w:rPr>
                <w:rFonts w:cs="Tahoma"/>
                <w:color w:val="000000"/>
                <w:szCs w:val="18"/>
              </w:rPr>
            </w:pPr>
            <w:r>
              <w:rPr>
                <w:rFonts w:cs="Tahoma"/>
                <w:color w:val="000000"/>
                <w:szCs w:val="18"/>
              </w:rPr>
              <w:t>Accountprofilerstellung &amp; Berichterstattung</w:t>
            </w:r>
          </w:p>
        </w:tc>
        <w:tc>
          <w:tcPr>
            <w:tcW w:w="1580" w:type="dxa"/>
            <w:vAlign w:val="center"/>
          </w:tcPr>
          <w:p w:rsidR="008D4EE5" w:rsidRPr="00AB7AC2" w:rsidRDefault="008D4EE5" w:rsidP="00A67771">
            <w:pPr>
              <w:jc w:val="center"/>
              <w:rPr>
                <w:rFonts w:cs="Tahoma"/>
                <w:color w:val="000000"/>
                <w:szCs w:val="18"/>
              </w:rPr>
            </w:pPr>
            <w:r>
              <w:rPr>
                <w:rFonts w:cs="Tahoma"/>
                <w:color w:val="000000"/>
                <w:szCs w:val="18"/>
              </w:rPr>
              <w:t>Monatlich</w:t>
            </w:r>
          </w:p>
        </w:tc>
        <w:tc>
          <w:tcPr>
            <w:tcW w:w="1444" w:type="dxa"/>
            <w:vAlign w:val="center"/>
          </w:tcPr>
          <w:p w:rsidR="008D4EE5" w:rsidRPr="00AB7AC2" w:rsidRDefault="008D4EE5" w:rsidP="00A67771">
            <w:pPr>
              <w:jc w:val="center"/>
              <w:rPr>
                <w:rFonts w:cs="Tahoma"/>
                <w:color w:val="000000"/>
                <w:szCs w:val="18"/>
              </w:rPr>
            </w:pPr>
            <w:r>
              <w:rPr>
                <w:rFonts w:cs="Tahoma"/>
                <w:color w:val="000000"/>
                <w:szCs w:val="18"/>
              </w:rPr>
              <w:t>Monatlich</w:t>
            </w:r>
          </w:p>
        </w:tc>
        <w:tc>
          <w:tcPr>
            <w:tcW w:w="1687" w:type="dxa"/>
            <w:vAlign w:val="center"/>
          </w:tcPr>
          <w:p w:rsidR="008D4EE5" w:rsidRPr="00C96BAE" w:rsidRDefault="008D4EE5" w:rsidP="00A67771">
            <w:pPr>
              <w:jc w:val="center"/>
              <w:rPr>
                <w:rFonts w:cs="Tahoma"/>
                <w:color w:val="000000"/>
                <w:szCs w:val="18"/>
              </w:rPr>
            </w:pPr>
            <w:r>
              <w:rPr>
                <w:rFonts w:cs="Tahoma"/>
                <w:color w:val="000000"/>
                <w:szCs w:val="18"/>
              </w:rPr>
              <w:t>Monatlich</w:t>
            </w:r>
          </w:p>
        </w:tc>
        <w:tc>
          <w:tcPr>
            <w:tcW w:w="1589" w:type="dxa"/>
            <w:vAlign w:val="center"/>
          </w:tcPr>
          <w:p w:rsidR="008D4EE5" w:rsidRPr="00C96BAE" w:rsidRDefault="008D4EE5" w:rsidP="00A67771">
            <w:pPr>
              <w:jc w:val="center"/>
              <w:rPr>
                <w:rFonts w:cs="Tahoma"/>
                <w:color w:val="000000"/>
                <w:szCs w:val="18"/>
              </w:rPr>
            </w:pPr>
            <w:r>
              <w:rPr>
                <w:rFonts w:cs="Tahoma"/>
                <w:color w:val="000000"/>
                <w:szCs w:val="18"/>
              </w:rPr>
              <w:t>Monatlich</w:t>
            </w:r>
          </w:p>
        </w:tc>
      </w:tr>
      <w:tr w:rsidR="008D4EE5" w:rsidRPr="004F3ACA" w:rsidTr="00A67771">
        <w:tc>
          <w:tcPr>
            <w:tcW w:w="3168" w:type="dxa"/>
            <w:vAlign w:val="center"/>
          </w:tcPr>
          <w:p w:rsidR="008D4EE5" w:rsidRPr="004F3ACA" w:rsidRDefault="008D4EE5" w:rsidP="00A67771">
            <w:pPr>
              <w:rPr>
                <w:rFonts w:cs="Tahoma"/>
                <w:color w:val="000000"/>
                <w:szCs w:val="18"/>
              </w:rPr>
            </w:pPr>
            <w:r>
              <w:rPr>
                <w:rFonts w:cs="Tahoma"/>
                <w:color w:val="000000"/>
                <w:szCs w:val="18"/>
              </w:rPr>
              <w:t>Supportunterstützung (jährlich zugeteilte Stunden)</w:t>
            </w:r>
          </w:p>
        </w:tc>
        <w:tc>
          <w:tcPr>
            <w:tcW w:w="1580" w:type="dxa"/>
            <w:vAlign w:val="center"/>
          </w:tcPr>
          <w:p w:rsidR="008D4EE5" w:rsidRPr="00AB7AC2" w:rsidRDefault="008D4EE5" w:rsidP="00A67771">
            <w:pPr>
              <w:jc w:val="center"/>
              <w:rPr>
                <w:rFonts w:cs="Tahoma"/>
                <w:color w:val="000000"/>
                <w:szCs w:val="18"/>
              </w:rPr>
            </w:pPr>
            <w:r>
              <w:rPr>
                <w:rFonts w:cs="Tahoma"/>
                <w:color w:val="000000"/>
                <w:szCs w:val="18"/>
              </w:rPr>
              <w:t>Bis zu 10 Stunden</w:t>
            </w:r>
          </w:p>
        </w:tc>
        <w:tc>
          <w:tcPr>
            <w:tcW w:w="1444" w:type="dxa"/>
          </w:tcPr>
          <w:p w:rsidR="008D4EE5" w:rsidRPr="009123CB" w:rsidRDefault="008D4EE5" w:rsidP="00A67771">
            <w:pPr>
              <w:jc w:val="center"/>
              <w:rPr>
                <w:rFonts w:cs="Tahoma"/>
                <w:color w:val="000000"/>
                <w:szCs w:val="18"/>
                <w:lang w:val="de-DE"/>
              </w:rPr>
            </w:pPr>
            <w:r w:rsidRPr="009123CB">
              <w:rPr>
                <w:rFonts w:cs="Tahoma"/>
                <w:color w:val="000000"/>
                <w:szCs w:val="18"/>
                <w:lang w:val="de-DE"/>
              </w:rPr>
              <w:t>Bis zu 10 Stunden</w:t>
            </w:r>
            <w:r w:rsidRPr="009123CB">
              <w:rPr>
                <w:rFonts w:cs="Tahoma"/>
                <w:color w:val="000000"/>
                <w:szCs w:val="18"/>
                <w:lang w:val="de-DE"/>
              </w:rPr>
              <w:br/>
              <w:t>+ 1 Systemdiagnose</w:t>
            </w:r>
            <w:r w:rsidRPr="009123CB">
              <w:rPr>
                <w:rFonts w:cs="Tahoma"/>
                <w:color w:val="000000"/>
                <w:szCs w:val="18"/>
                <w:lang w:val="de-DE"/>
              </w:rPr>
              <w:br/>
              <w:t>+ 1 Workshop</w:t>
            </w:r>
          </w:p>
        </w:tc>
        <w:tc>
          <w:tcPr>
            <w:tcW w:w="1687" w:type="dxa"/>
            <w:vAlign w:val="center"/>
          </w:tcPr>
          <w:p w:rsidR="008D4EE5" w:rsidRPr="00C96BAE" w:rsidRDefault="008D4EE5" w:rsidP="00A67771">
            <w:pPr>
              <w:jc w:val="center"/>
              <w:rPr>
                <w:rFonts w:cs="Tahoma"/>
                <w:color w:val="000000"/>
                <w:szCs w:val="18"/>
              </w:rPr>
            </w:pPr>
            <w:r>
              <w:rPr>
                <w:rFonts w:cs="Tahoma"/>
                <w:color w:val="000000"/>
                <w:szCs w:val="18"/>
              </w:rPr>
              <w:t>Bis zu 120 Stunden</w:t>
            </w:r>
          </w:p>
        </w:tc>
        <w:tc>
          <w:tcPr>
            <w:tcW w:w="1589" w:type="dxa"/>
            <w:vAlign w:val="center"/>
          </w:tcPr>
          <w:p w:rsidR="008D4EE5" w:rsidRPr="00C96BAE" w:rsidRDefault="008D4EE5" w:rsidP="00A67771">
            <w:pPr>
              <w:jc w:val="center"/>
              <w:rPr>
                <w:rFonts w:cs="Tahoma"/>
                <w:color w:val="000000"/>
                <w:szCs w:val="18"/>
              </w:rPr>
            </w:pPr>
            <w:r>
              <w:rPr>
                <w:rFonts w:cs="Tahoma"/>
                <w:color w:val="000000"/>
                <w:szCs w:val="18"/>
              </w:rPr>
              <w:t>Bis zu 160 Stunden</w:t>
            </w:r>
          </w:p>
        </w:tc>
      </w:tr>
      <w:tr w:rsidR="008D4EE5" w:rsidRPr="004F3ACA" w:rsidTr="00A67771">
        <w:tc>
          <w:tcPr>
            <w:tcW w:w="3168" w:type="dxa"/>
            <w:vAlign w:val="center"/>
          </w:tcPr>
          <w:p w:rsidR="008D4EE5" w:rsidRPr="004F3ACA" w:rsidRDefault="008D4EE5" w:rsidP="00A67771">
            <w:pPr>
              <w:rPr>
                <w:rFonts w:cs="Tahoma"/>
                <w:color w:val="000000"/>
                <w:szCs w:val="18"/>
              </w:rPr>
            </w:pPr>
            <w:r>
              <w:rPr>
                <w:rFonts w:cs="Tahoma"/>
                <w:color w:val="000000"/>
                <w:szCs w:val="18"/>
              </w:rPr>
              <w:t>Problembehebungssupport (jährlich zugeteilt)</w:t>
            </w:r>
          </w:p>
        </w:tc>
        <w:tc>
          <w:tcPr>
            <w:tcW w:w="1580" w:type="dxa"/>
            <w:vAlign w:val="center"/>
          </w:tcPr>
          <w:p w:rsidR="008D4EE5" w:rsidRPr="00AB7AC2" w:rsidRDefault="008D4EE5" w:rsidP="00A67771">
            <w:pPr>
              <w:jc w:val="center"/>
              <w:rPr>
                <w:rFonts w:cs="Tahoma"/>
                <w:color w:val="000000"/>
                <w:szCs w:val="18"/>
              </w:rPr>
            </w:pPr>
            <w:r>
              <w:rPr>
                <w:rFonts w:cs="Tahoma"/>
                <w:color w:val="000000"/>
                <w:szCs w:val="18"/>
              </w:rPr>
              <w:t>Bis zu 40 Stunden</w:t>
            </w:r>
          </w:p>
        </w:tc>
        <w:tc>
          <w:tcPr>
            <w:tcW w:w="1444" w:type="dxa"/>
          </w:tcPr>
          <w:p w:rsidR="008D4EE5" w:rsidRPr="00AB7AC2" w:rsidRDefault="008D4EE5" w:rsidP="00A67771">
            <w:pPr>
              <w:spacing w:before="120"/>
              <w:jc w:val="center"/>
              <w:rPr>
                <w:rFonts w:cs="Tahoma"/>
                <w:color w:val="000000"/>
                <w:szCs w:val="18"/>
              </w:rPr>
            </w:pPr>
            <w:r>
              <w:rPr>
                <w:rFonts w:cs="Tahoma"/>
                <w:color w:val="000000"/>
                <w:szCs w:val="18"/>
              </w:rPr>
              <w:t>Bis zu 30 Stunden</w:t>
            </w:r>
          </w:p>
        </w:tc>
        <w:tc>
          <w:tcPr>
            <w:tcW w:w="1687" w:type="dxa"/>
            <w:vAlign w:val="center"/>
          </w:tcPr>
          <w:p w:rsidR="008D4EE5" w:rsidRPr="00C96BAE" w:rsidRDefault="008D4EE5" w:rsidP="00A67771">
            <w:pPr>
              <w:jc w:val="center"/>
              <w:rPr>
                <w:rFonts w:cs="Tahoma"/>
                <w:color w:val="000000"/>
                <w:szCs w:val="18"/>
              </w:rPr>
            </w:pPr>
            <w:r>
              <w:rPr>
                <w:rFonts w:cs="Tahoma"/>
                <w:color w:val="000000"/>
                <w:szCs w:val="18"/>
              </w:rPr>
              <w:t>Bis zu 80 Stunden</w:t>
            </w:r>
          </w:p>
        </w:tc>
        <w:tc>
          <w:tcPr>
            <w:tcW w:w="1589" w:type="dxa"/>
            <w:vAlign w:val="center"/>
          </w:tcPr>
          <w:p w:rsidR="008D4EE5" w:rsidRPr="00C96BAE" w:rsidRDefault="008D4EE5" w:rsidP="00A67771">
            <w:pPr>
              <w:jc w:val="center"/>
              <w:rPr>
                <w:rFonts w:cs="Tahoma"/>
                <w:color w:val="000000"/>
                <w:szCs w:val="18"/>
              </w:rPr>
            </w:pPr>
            <w:r>
              <w:rPr>
                <w:rFonts w:cs="Tahoma"/>
                <w:color w:val="000000"/>
                <w:szCs w:val="18"/>
              </w:rPr>
              <w:t>Bis zu 140 Stunden</w:t>
            </w:r>
          </w:p>
        </w:tc>
      </w:tr>
      <w:tr w:rsidR="008D4EE5" w:rsidRPr="004F3ACA" w:rsidTr="00A67771">
        <w:tc>
          <w:tcPr>
            <w:tcW w:w="3168" w:type="dxa"/>
            <w:vAlign w:val="center"/>
          </w:tcPr>
          <w:p w:rsidR="008D4EE5" w:rsidRPr="008849B7" w:rsidRDefault="008D4EE5" w:rsidP="00A67771">
            <w:pPr>
              <w:rPr>
                <w:rFonts w:cs="Tahoma"/>
                <w:color w:val="000000"/>
                <w:szCs w:val="18"/>
                <w:lang w:val="de-DE"/>
              </w:rPr>
            </w:pPr>
            <w:r w:rsidRPr="008849B7">
              <w:rPr>
                <w:rFonts w:cs="Tahoma"/>
                <w:color w:val="000000"/>
                <w:szCs w:val="18"/>
                <w:lang w:val="de-DE"/>
              </w:rPr>
              <w:t>Eskalationsverwaltung für kritische Situationen rund um die Uhr (Schweregrad 1)</w:t>
            </w:r>
          </w:p>
        </w:tc>
        <w:tc>
          <w:tcPr>
            <w:tcW w:w="1580" w:type="dxa"/>
            <w:vAlign w:val="center"/>
          </w:tcPr>
          <w:p w:rsidR="008D4EE5" w:rsidRPr="00AB7AC2" w:rsidRDefault="008D4EE5" w:rsidP="00A67771">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rsidR="008D4EE5" w:rsidRPr="00AB7AC2" w:rsidRDefault="008D4EE5" w:rsidP="00A67771">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rsidR="008D4EE5" w:rsidRPr="00C96BAE" w:rsidRDefault="008D4EE5" w:rsidP="00A67771">
            <w:pPr>
              <w:jc w:val="center"/>
              <w:rPr>
                <w:rFonts w:cs="Tahoma"/>
                <w:color w:val="000000"/>
                <w:szCs w:val="18"/>
              </w:rPr>
            </w:pPr>
            <w:r>
              <w:rPr>
                <w:rFonts w:cs="Tahoma"/>
                <w:color w:val="000000"/>
                <w:szCs w:val="18"/>
              </w:rPr>
              <w:t>√</w:t>
            </w:r>
          </w:p>
        </w:tc>
        <w:tc>
          <w:tcPr>
            <w:tcW w:w="1589" w:type="dxa"/>
            <w:vAlign w:val="center"/>
          </w:tcPr>
          <w:p w:rsidR="008D4EE5" w:rsidRPr="00BB7D5F" w:rsidRDefault="008D4EE5" w:rsidP="00A67771">
            <w:pPr>
              <w:jc w:val="center"/>
              <w:rPr>
                <w:rFonts w:cs="Tahoma"/>
                <w:color w:val="000000"/>
                <w:szCs w:val="18"/>
              </w:rPr>
            </w:pPr>
            <w:r>
              <w:rPr>
                <w:rFonts w:cs="Tahoma"/>
                <w:color w:val="000000"/>
                <w:szCs w:val="18"/>
              </w:rPr>
              <w:t>√</w:t>
            </w:r>
          </w:p>
        </w:tc>
      </w:tr>
      <w:tr w:rsidR="008D4EE5" w:rsidRPr="004F3ACA" w:rsidTr="00A67771">
        <w:tc>
          <w:tcPr>
            <w:tcW w:w="3168" w:type="dxa"/>
            <w:vAlign w:val="center"/>
          </w:tcPr>
          <w:p w:rsidR="008D4EE5" w:rsidRPr="004F3ACA" w:rsidRDefault="008D4EE5" w:rsidP="00A67771">
            <w:pPr>
              <w:rPr>
                <w:rFonts w:cs="Tahoma"/>
                <w:color w:val="000000"/>
                <w:szCs w:val="18"/>
              </w:rPr>
            </w:pPr>
            <w:r>
              <w:rPr>
                <w:rFonts w:cs="Tahoma"/>
                <w:color w:val="000000"/>
                <w:szCs w:val="18"/>
              </w:rPr>
              <w:t>Schneller Support vor Ort</w:t>
            </w:r>
          </w:p>
        </w:tc>
        <w:tc>
          <w:tcPr>
            <w:tcW w:w="1580" w:type="dxa"/>
            <w:vAlign w:val="center"/>
          </w:tcPr>
          <w:p w:rsidR="008D4EE5" w:rsidRPr="00AB7AC2" w:rsidRDefault="008D4EE5" w:rsidP="00A67771">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rsidR="008D4EE5" w:rsidRPr="00AB7AC2" w:rsidRDefault="008D4EE5" w:rsidP="00A67771">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rsidR="008D4EE5" w:rsidRPr="00C96BAE" w:rsidRDefault="008D4EE5" w:rsidP="00A67771">
            <w:pPr>
              <w:jc w:val="center"/>
              <w:rPr>
                <w:rFonts w:cs="Tahoma"/>
                <w:color w:val="000000"/>
                <w:szCs w:val="18"/>
              </w:rPr>
            </w:pPr>
            <w:r>
              <w:rPr>
                <w:rFonts w:cs="Tahoma"/>
                <w:color w:val="000000"/>
                <w:szCs w:val="18"/>
              </w:rPr>
              <w:t>√</w:t>
            </w:r>
          </w:p>
        </w:tc>
        <w:tc>
          <w:tcPr>
            <w:tcW w:w="1589" w:type="dxa"/>
            <w:vAlign w:val="center"/>
          </w:tcPr>
          <w:p w:rsidR="008D4EE5" w:rsidRPr="00BB7D5F" w:rsidRDefault="008D4EE5" w:rsidP="00A67771">
            <w:pPr>
              <w:jc w:val="center"/>
              <w:rPr>
                <w:rFonts w:cs="Tahoma"/>
                <w:color w:val="000000"/>
                <w:szCs w:val="18"/>
              </w:rPr>
            </w:pPr>
            <w:r>
              <w:rPr>
                <w:rFonts w:cs="Tahoma"/>
                <w:color w:val="000000"/>
                <w:szCs w:val="18"/>
              </w:rPr>
              <w:t>√</w:t>
            </w:r>
          </w:p>
        </w:tc>
      </w:tr>
      <w:tr w:rsidR="008D4EE5" w:rsidRPr="004F3ACA" w:rsidTr="00A67771">
        <w:tc>
          <w:tcPr>
            <w:tcW w:w="3168" w:type="dxa"/>
            <w:vAlign w:val="center"/>
          </w:tcPr>
          <w:p w:rsidR="008D4EE5" w:rsidRPr="004F3ACA" w:rsidRDefault="008D4EE5" w:rsidP="00A67771">
            <w:pPr>
              <w:rPr>
                <w:rFonts w:cs="Tahoma"/>
                <w:color w:val="000000"/>
                <w:szCs w:val="18"/>
              </w:rPr>
            </w:pPr>
            <w:r>
              <w:rPr>
                <w:rFonts w:cs="Tahoma"/>
                <w:color w:val="000000"/>
                <w:szCs w:val="18"/>
              </w:rPr>
              <w:t>Proaktive Informationsdienste</w:t>
            </w:r>
          </w:p>
        </w:tc>
        <w:tc>
          <w:tcPr>
            <w:tcW w:w="1580" w:type="dxa"/>
            <w:vAlign w:val="center"/>
          </w:tcPr>
          <w:p w:rsidR="008D4EE5" w:rsidRPr="00AB7AC2" w:rsidRDefault="008D4EE5" w:rsidP="00A67771">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rsidR="008D4EE5" w:rsidRPr="00AB7AC2" w:rsidRDefault="008D4EE5" w:rsidP="00A67771">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rsidR="008D4EE5" w:rsidRPr="00C96BAE" w:rsidRDefault="008D4EE5" w:rsidP="00A67771">
            <w:pPr>
              <w:jc w:val="center"/>
              <w:rPr>
                <w:rFonts w:cs="Tahoma"/>
                <w:color w:val="000000"/>
                <w:szCs w:val="18"/>
              </w:rPr>
            </w:pPr>
            <w:r>
              <w:rPr>
                <w:rFonts w:cs="Tahoma"/>
                <w:color w:val="000000"/>
                <w:szCs w:val="18"/>
              </w:rPr>
              <w:t>√</w:t>
            </w:r>
          </w:p>
        </w:tc>
        <w:tc>
          <w:tcPr>
            <w:tcW w:w="1589" w:type="dxa"/>
            <w:vAlign w:val="center"/>
          </w:tcPr>
          <w:p w:rsidR="008D4EE5" w:rsidRPr="00BB7D5F" w:rsidRDefault="008D4EE5" w:rsidP="00A67771">
            <w:pPr>
              <w:jc w:val="center"/>
              <w:rPr>
                <w:rFonts w:cs="Tahoma"/>
                <w:color w:val="000000"/>
                <w:szCs w:val="18"/>
              </w:rPr>
            </w:pPr>
            <w:r>
              <w:rPr>
                <w:rFonts w:cs="Tahoma"/>
                <w:color w:val="000000"/>
                <w:szCs w:val="18"/>
              </w:rPr>
              <w:t>√</w:t>
            </w:r>
          </w:p>
        </w:tc>
      </w:tr>
      <w:tr w:rsidR="008D4EE5" w:rsidRPr="004F3ACA" w:rsidTr="00A67771">
        <w:tc>
          <w:tcPr>
            <w:tcW w:w="3168" w:type="dxa"/>
            <w:vAlign w:val="center"/>
          </w:tcPr>
          <w:p w:rsidR="008D4EE5" w:rsidRPr="004F3ACA" w:rsidRDefault="008D4EE5" w:rsidP="00A67771">
            <w:pPr>
              <w:rPr>
                <w:rFonts w:cs="Tahoma"/>
                <w:color w:val="000000"/>
                <w:szCs w:val="18"/>
              </w:rPr>
            </w:pPr>
            <w:r>
              <w:rPr>
                <w:rFonts w:cs="Tahoma"/>
                <w:color w:val="000000"/>
                <w:szCs w:val="18"/>
              </w:rPr>
              <w:t>Microsoft Premier Online</w:t>
            </w:r>
          </w:p>
        </w:tc>
        <w:tc>
          <w:tcPr>
            <w:tcW w:w="1580" w:type="dxa"/>
            <w:vAlign w:val="center"/>
          </w:tcPr>
          <w:p w:rsidR="008D4EE5" w:rsidRPr="00AB7AC2" w:rsidRDefault="008D4EE5" w:rsidP="00A67771">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rsidR="008D4EE5" w:rsidRPr="00AB7AC2" w:rsidRDefault="008D4EE5" w:rsidP="00A67771">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rsidR="008D4EE5" w:rsidRPr="00C96BAE" w:rsidRDefault="008D4EE5" w:rsidP="00A67771">
            <w:pPr>
              <w:jc w:val="center"/>
              <w:rPr>
                <w:rFonts w:cs="Tahoma"/>
                <w:color w:val="000000"/>
                <w:szCs w:val="18"/>
              </w:rPr>
            </w:pPr>
            <w:r>
              <w:rPr>
                <w:rFonts w:cs="Tahoma"/>
                <w:color w:val="000000"/>
                <w:szCs w:val="18"/>
              </w:rPr>
              <w:t>√</w:t>
            </w:r>
          </w:p>
        </w:tc>
        <w:tc>
          <w:tcPr>
            <w:tcW w:w="1589" w:type="dxa"/>
            <w:vAlign w:val="center"/>
          </w:tcPr>
          <w:p w:rsidR="008D4EE5" w:rsidRPr="00BB7D5F" w:rsidRDefault="008D4EE5" w:rsidP="00A67771">
            <w:pPr>
              <w:jc w:val="center"/>
              <w:rPr>
                <w:rFonts w:cs="Tahoma"/>
                <w:color w:val="000000"/>
                <w:szCs w:val="18"/>
              </w:rPr>
            </w:pPr>
            <w:r>
              <w:rPr>
                <w:rFonts w:cs="Tahoma"/>
                <w:color w:val="000000"/>
                <w:szCs w:val="18"/>
              </w:rPr>
              <w:t>√</w:t>
            </w:r>
          </w:p>
        </w:tc>
      </w:tr>
      <w:tr w:rsidR="008D4EE5" w:rsidRPr="004F3ACA" w:rsidTr="00A67771">
        <w:tc>
          <w:tcPr>
            <w:tcW w:w="3168" w:type="dxa"/>
            <w:vAlign w:val="center"/>
          </w:tcPr>
          <w:p w:rsidR="008D4EE5" w:rsidRPr="004F3ACA" w:rsidRDefault="008D4EE5" w:rsidP="00A67771">
            <w:pPr>
              <w:rPr>
                <w:rFonts w:cs="Tahoma"/>
                <w:color w:val="000000"/>
                <w:szCs w:val="18"/>
              </w:rPr>
            </w:pPr>
            <w:r>
              <w:rPr>
                <w:rFonts w:cs="Tahoma"/>
                <w:color w:val="000000"/>
                <w:szCs w:val="18"/>
              </w:rPr>
              <w:t xml:space="preserve">Zusätzliche Stunden </w:t>
            </w:r>
          </w:p>
        </w:tc>
        <w:tc>
          <w:tcPr>
            <w:tcW w:w="1580" w:type="dxa"/>
            <w:vAlign w:val="center"/>
          </w:tcPr>
          <w:p w:rsidR="008D4EE5" w:rsidRPr="00AB7AC2" w:rsidRDefault="008D4EE5" w:rsidP="00A67771">
            <w:pPr>
              <w:jc w:val="center"/>
              <w:rPr>
                <w:rFonts w:cs="Tahoma"/>
                <w:color w:val="000000"/>
                <w:szCs w:val="18"/>
              </w:rPr>
            </w:pPr>
            <w:r>
              <w:rPr>
                <w:rFonts w:cs="Tahoma"/>
                <w:color w:val="000000"/>
                <w:szCs w:val="18"/>
              </w:rPr>
              <w:t>20 Stunden pro Paket</w:t>
            </w:r>
          </w:p>
        </w:tc>
        <w:tc>
          <w:tcPr>
            <w:tcW w:w="1444" w:type="dxa"/>
            <w:vAlign w:val="center"/>
          </w:tcPr>
          <w:p w:rsidR="008D4EE5" w:rsidRPr="00AB7AC2" w:rsidRDefault="008D4EE5" w:rsidP="00A67771">
            <w:pPr>
              <w:jc w:val="center"/>
              <w:rPr>
                <w:rFonts w:cs="Tahoma"/>
                <w:color w:val="000000"/>
                <w:szCs w:val="18"/>
              </w:rPr>
            </w:pPr>
            <w:r>
              <w:rPr>
                <w:rFonts w:cs="Tahoma"/>
                <w:color w:val="000000"/>
                <w:szCs w:val="18"/>
              </w:rPr>
              <w:t>20 Stunden pro Paket</w:t>
            </w:r>
          </w:p>
        </w:tc>
        <w:tc>
          <w:tcPr>
            <w:tcW w:w="1687" w:type="dxa"/>
            <w:vAlign w:val="center"/>
          </w:tcPr>
          <w:p w:rsidR="008D4EE5" w:rsidRPr="00C96BAE" w:rsidRDefault="008D4EE5" w:rsidP="00A67771">
            <w:pPr>
              <w:jc w:val="center"/>
              <w:rPr>
                <w:rFonts w:cs="Tahoma"/>
                <w:color w:val="000000"/>
                <w:szCs w:val="18"/>
              </w:rPr>
            </w:pPr>
            <w:r>
              <w:rPr>
                <w:rFonts w:cs="Tahoma"/>
                <w:color w:val="000000"/>
                <w:szCs w:val="18"/>
              </w:rPr>
              <w:t>20 Stunden pro Paket</w:t>
            </w:r>
          </w:p>
        </w:tc>
        <w:tc>
          <w:tcPr>
            <w:tcW w:w="1589" w:type="dxa"/>
            <w:vAlign w:val="center"/>
          </w:tcPr>
          <w:p w:rsidR="008D4EE5" w:rsidRPr="00BB7D5F" w:rsidRDefault="008D4EE5" w:rsidP="00A67771">
            <w:pPr>
              <w:jc w:val="center"/>
              <w:rPr>
                <w:rFonts w:cs="Tahoma"/>
                <w:color w:val="000000"/>
                <w:szCs w:val="18"/>
              </w:rPr>
            </w:pPr>
            <w:r>
              <w:rPr>
                <w:rFonts w:cs="Tahoma"/>
                <w:color w:val="000000"/>
                <w:szCs w:val="18"/>
              </w:rPr>
              <w:t>20 Stunden pro Paket</w:t>
            </w:r>
          </w:p>
        </w:tc>
      </w:tr>
    </w:tbl>
    <w:p w:rsidR="008D4EE5" w:rsidRPr="009123CB" w:rsidRDefault="008D4EE5" w:rsidP="008D4EE5">
      <w:pPr>
        <w:pStyle w:val="tableclose"/>
        <w:tabs>
          <w:tab w:val="left" w:pos="810"/>
        </w:tabs>
        <w:ind w:left="810" w:hanging="720"/>
        <w:rPr>
          <w:lang w:val="de-DE"/>
        </w:rPr>
      </w:pPr>
      <w:r w:rsidRPr="009123CB">
        <w:rPr>
          <w:rFonts w:ascii="Tahoma" w:hAnsi="Tahoma" w:cs="Tahoma"/>
          <w:i/>
          <w:color w:val="000000"/>
          <w:sz w:val="16"/>
          <w:szCs w:val="16"/>
          <w:vertAlign w:val="superscript"/>
          <w:lang w:val="de-DE"/>
        </w:rPr>
        <w:t xml:space="preserve"> 1</w:t>
      </w:r>
      <w:r w:rsidRPr="009123CB">
        <w:rPr>
          <w:rFonts w:ascii="Tahoma" w:hAnsi="Tahoma" w:cs="Tahoma"/>
          <w:i/>
          <w:color w:val="000000"/>
          <w:sz w:val="16"/>
          <w:szCs w:val="16"/>
          <w:lang w:val="de-DE"/>
        </w:rPr>
        <w:t xml:space="preserve"> Die Geschäftszeiten sind lokal festgelegt</w:t>
      </w:r>
      <w:r w:rsidR="006257A7">
        <w:rPr>
          <w:rFonts w:ascii="Tahoma" w:hAnsi="Tahoma" w:cs="Tahoma"/>
          <w:i/>
          <w:color w:val="000000"/>
          <w:sz w:val="16"/>
          <w:szCs w:val="16"/>
          <w:lang w:val="de-DE"/>
        </w:rPr>
        <w:t xml:space="preserve">. </w:t>
      </w:r>
    </w:p>
    <w:p w:rsidR="008D4EE5" w:rsidRPr="009123CB" w:rsidRDefault="008D4EE5" w:rsidP="008D4EE5">
      <w:pPr>
        <w:pStyle w:val="BodyText2"/>
        <w:spacing w:after="0" w:line="240" w:lineRule="auto"/>
        <w:rPr>
          <w:lang w:val="de-DE"/>
        </w:rPr>
      </w:pPr>
    </w:p>
    <w:p w:rsidR="008D4EE5" w:rsidRPr="009123CB" w:rsidRDefault="008D4EE5" w:rsidP="008D4EE5">
      <w:pPr>
        <w:pStyle w:val="BodyText2"/>
        <w:spacing w:after="0" w:line="240" w:lineRule="auto"/>
        <w:rPr>
          <w:lang w:val="de-DE"/>
        </w:rPr>
      </w:pPr>
      <w:r w:rsidRPr="009123CB">
        <w:rPr>
          <w:rFonts w:ascii="Tahoma" w:hAnsi="Tahoma" w:cs="Tahoma"/>
          <w:b/>
          <w:bCs/>
          <w:color w:val="000000"/>
          <w:sz w:val="18"/>
          <w:szCs w:val="18"/>
          <w:lang w:val="de-DE"/>
        </w:rPr>
        <w:t>Supportaccountverwaltung</w:t>
      </w:r>
      <w:r w:rsidRPr="009123CB">
        <w:rPr>
          <w:rFonts w:ascii="Tahoma" w:hAnsi="Tahoma" w:cs="Tahoma"/>
          <w:color w:val="000000"/>
          <w:sz w:val="18"/>
          <w:szCs w:val="18"/>
          <w:lang w:val="de-DE"/>
        </w:rPr>
        <w:t xml:space="preserve"> hilft, Beziehungen zum Management- und Diensterbringungspersonal des Kunden aufzubauen und aufrechtzuerhalten, und unterstützt den Kunden dabei, jedes Element seines Service-Plans so zu arrangieren, dass die Geschäftsanforderungen erfüllt werden</w:t>
      </w:r>
      <w:r w:rsidR="006257A7">
        <w:rPr>
          <w:rFonts w:ascii="Tahoma" w:hAnsi="Tahoma" w:cs="Tahoma"/>
          <w:color w:val="000000"/>
          <w:sz w:val="18"/>
          <w:szCs w:val="18"/>
          <w:lang w:val="de-DE"/>
        </w:rPr>
        <w:t xml:space="preserve">. </w:t>
      </w:r>
    </w:p>
    <w:p w:rsidR="008D4EE5" w:rsidRPr="009123CB" w:rsidRDefault="008D4EE5" w:rsidP="008D4EE5">
      <w:pPr>
        <w:pStyle w:val="BodyText2"/>
        <w:spacing w:after="0" w:line="240" w:lineRule="auto"/>
        <w:rPr>
          <w:lang w:val="de-DE"/>
        </w:rPr>
      </w:pPr>
    </w:p>
    <w:p w:rsidR="008D4EE5" w:rsidRPr="009123CB" w:rsidRDefault="008D4EE5" w:rsidP="008D4EE5">
      <w:pPr>
        <w:jc w:val="both"/>
        <w:rPr>
          <w:lang w:val="de-DE"/>
        </w:rPr>
      </w:pPr>
      <w:r w:rsidRPr="009123CB">
        <w:rPr>
          <w:rFonts w:cs="Tahoma"/>
          <w:b/>
          <w:bCs/>
          <w:color w:val="000000"/>
          <w:szCs w:val="18"/>
          <w:lang w:val="de-DE"/>
        </w:rPr>
        <w:t xml:space="preserve">Supportunterstützung </w:t>
      </w:r>
      <w:r w:rsidRPr="009123CB">
        <w:rPr>
          <w:rFonts w:cs="Tahoma"/>
          <w:color w:val="000000"/>
          <w:szCs w:val="18"/>
          <w:lang w:val="de-DE"/>
        </w:rPr>
        <w:t>bietet kurzfristige Ratschläge und Hilfestellung (basierend auf verfügbaren Microsoft-Ressourcen) für Probleme, die nicht durch den Problembehebungssupport abgedeckt sind, einschließlich der Unterstützung bei Design-, Entwicklungs- und Bereitstellungsproblemen</w:t>
      </w:r>
      <w:r w:rsidR="006257A7">
        <w:rPr>
          <w:rFonts w:cs="Tahoma"/>
          <w:color w:val="000000"/>
          <w:szCs w:val="18"/>
          <w:lang w:val="de-DE"/>
        </w:rPr>
        <w:t xml:space="preserve">. </w:t>
      </w:r>
    </w:p>
    <w:p w:rsidR="008D4EE5" w:rsidRPr="009123CB" w:rsidRDefault="008D4EE5" w:rsidP="008D4EE5">
      <w:pPr>
        <w:jc w:val="both"/>
        <w:rPr>
          <w:lang w:val="de-DE"/>
        </w:rPr>
      </w:pPr>
    </w:p>
    <w:p w:rsidR="008D4EE5" w:rsidRPr="009123CB" w:rsidRDefault="008D4EE5" w:rsidP="008D4EE5">
      <w:pPr>
        <w:rPr>
          <w:lang w:val="de-DE"/>
        </w:rPr>
      </w:pPr>
      <w:r w:rsidRPr="009123CB">
        <w:rPr>
          <w:rFonts w:cs="Tahoma"/>
          <w:b/>
          <w:bCs/>
          <w:color w:val="000000"/>
          <w:szCs w:val="18"/>
          <w:lang w:val="de-DE"/>
        </w:rPr>
        <w:t xml:space="preserve">Problembehebungssupport </w:t>
      </w:r>
      <w:r w:rsidRPr="009123CB">
        <w:rPr>
          <w:rFonts w:cs="Tahoma"/>
          <w:color w:val="000000"/>
          <w:szCs w:val="18"/>
          <w:lang w:val="de-DE"/>
        </w:rPr>
        <w:t>bietet Unterstützung für Probleme mit bestimmten Symptomen, die bei der Verwendung von Microsoft-Produkten aufgetreten sind, wenn eine vernünftige Erwartung besteht, dass das Problem von Microsoft-Produkten verursacht wird</w:t>
      </w:r>
      <w:r w:rsidR="006257A7">
        <w:rPr>
          <w:rFonts w:cs="Tahoma"/>
          <w:color w:val="000000"/>
          <w:szCs w:val="18"/>
          <w:lang w:val="de-DE"/>
        </w:rPr>
        <w:t xml:space="preserve">. </w:t>
      </w:r>
    </w:p>
    <w:p w:rsidR="008D4EE5" w:rsidRPr="009123CB" w:rsidRDefault="008D4EE5" w:rsidP="008D4EE5">
      <w:pPr>
        <w:rPr>
          <w:lang w:val="de-DE"/>
        </w:rPr>
      </w:pPr>
    </w:p>
    <w:p w:rsidR="008D4EE5" w:rsidRPr="009123CB" w:rsidRDefault="008D4EE5" w:rsidP="008D4EE5">
      <w:pPr>
        <w:rPr>
          <w:lang w:val="de-DE"/>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610"/>
        <w:gridCol w:w="2700"/>
      </w:tblGrid>
      <w:tr w:rsidR="008D4EE5" w:rsidTr="00A634DA">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8D4EE5" w:rsidRDefault="008D4EE5" w:rsidP="00A67771">
            <w:pPr>
              <w:pStyle w:val="tableclose"/>
              <w:spacing w:line="276" w:lineRule="auto"/>
              <w:rPr>
                <w:rFonts w:ascii="Tahoma" w:hAnsi="Tahoma" w:cs="Tahoma"/>
                <w:b/>
                <w:color w:val="000000"/>
              </w:rPr>
            </w:pPr>
            <w:r w:rsidRPr="009123CB">
              <w:rPr>
                <w:rFonts w:cs="Tahoma"/>
                <w:color w:val="000000"/>
                <w:sz w:val="6"/>
                <w:lang w:val="de-DE"/>
              </w:rPr>
              <w:br w:type="page"/>
            </w:r>
            <w:r>
              <w:rPr>
                <w:rFonts w:ascii="Tahoma" w:hAnsi="Tahoma" w:cs="Tahoma"/>
                <w:b/>
                <w:color w:val="000000"/>
              </w:rPr>
              <w:t>Schweregrad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D4EE5" w:rsidRDefault="008D4EE5" w:rsidP="00A67771">
            <w:pPr>
              <w:pStyle w:val="tableclose"/>
              <w:spacing w:line="276" w:lineRule="auto"/>
              <w:rPr>
                <w:rFonts w:ascii="Tahoma" w:hAnsi="Tahoma" w:cs="Tahoma"/>
                <w:b/>
                <w:color w:val="000000"/>
              </w:rPr>
            </w:pPr>
            <w:r>
              <w:rPr>
                <w:rFonts w:ascii="Tahoma" w:hAnsi="Tahoma" w:cs="Tahoma"/>
                <w:b/>
                <w:color w:val="000000"/>
              </w:rPr>
              <w:t>Situation</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D4EE5" w:rsidRDefault="008D4EE5" w:rsidP="00A67771">
            <w:pPr>
              <w:pStyle w:val="tableclose"/>
              <w:spacing w:line="276" w:lineRule="auto"/>
              <w:rPr>
                <w:rFonts w:ascii="Tahoma" w:hAnsi="Tahoma" w:cs="Tahoma"/>
                <w:b/>
                <w:color w:val="000000"/>
              </w:rPr>
            </w:pPr>
            <w:r>
              <w:rPr>
                <w:rFonts w:ascii="Tahoma" w:hAnsi="Tahoma" w:cs="Tahoma"/>
                <w:b/>
                <w:color w:val="000000"/>
              </w:rPr>
              <w:t>Unsere erwartete Reaktion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D4EE5" w:rsidRDefault="008D4EE5" w:rsidP="00A67771">
            <w:pPr>
              <w:pStyle w:val="tableclose"/>
              <w:spacing w:line="276" w:lineRule="auto"/>
              <w:rPr>
                <w:rFonts w:ascii="Tahoma" w:hAnsi="Tahoma" w:cs="Tahoma"/>
                <w:b/>
                <w:color w:val="000000"/>
              </w:rPr>
            </w:pPr>
            <w:r>
              <w:rPr>
                <w:rFonts w:ascii="Tahoma" w:hAnsi="Tahoma" w:cs="Tahoma"/>
                <w:b/>
                <w:color w:val="000000"/>
              </w:rPr>
              <w:t>Vom Kunden erwartete Reaktion</w:t>
            </w:r>
          </w:p>
        </w:tc>
      </w:tr>
      <w:tr w:rsidR="008D4EE5" w:rsidRPr="00FB51BA" w:rsidTr="00A634DA">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D4EE5" w:rsidRDefault="008D4EE5" w:rsidP="00A67771">
            <w:pPr>
              <w:pStyle w:val="tableclose"/>
              <w:spacing w:line="276" w:lineRule="auto"/>
              <w:rPr>
                <w:rFonts w:ascii="Tahoma" w:hAnsi="Tahoma" w:cs="Tahoma"/>
                <w:color w:val="000000"/>
                <w:sz w:val="18"/>
                <w:szCs w:val="18"/>
              </w:rPr>
            </w:pPr>
            <w:r>
              <w:rPr>
                <w:rFonts w:ascii="Tahoma" w:hAnsi="Tahoma" w:cs="Tahoma"/>
                <w:color w:val="000000"/>
                <w:sz w:val="18"/>
                <w:szCs w:val="18"/>
              </w:rPr>
              <w:t>1</w:t>
            </w:r>
            <w:r w:rsidR="006257A7">
              <w:rPr>
                <w:rFonts w:ascii="Tahoma" w:hAnsi="Tahoma" w:cs="Tahoma"/>
                <w:color w:val="000000"/>
                <w:sz w:val="18"/>
                <w:szCs w:val="18"/>
              </w:rPr>
              <w:t xml:space="preserve">. </w:t>
            </w:r>
            <w:r>
              <w:rPr>
                <w:rFonts w:ascii="Tahoma" w:hAnsi="Tahoma" w:cs="Tahoma"/>
                <w:color w:val="000000"/>
                <w:sz w:val="18"/>
                <w:szCs w:val="18"/>
              </w:rPr>
              <w:t>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8D4EE5" w:rsidRPr="009123CB" w:rsidRDefault="008D4EE5" w:rsidP="00A634DA">
            <w:pPr>
              <w:pStyle w:val="ListBullet3"/>
              <w:numPr>
                <w:ilvl w:val="0"/>
                <w:numId w:val="60"/>
              </w:numPr>
              <w:spacing w:line="276" w:lineRule="auto"/>
              <w:rPr>
                <w:lang w:val="de-DE"/>
              </w:rPr>
            </w:pPr>
            <w:r w:rsidRPr="009123CB">
              <w:rPr>
                <w:rFonts w:ascii="Tahoma" w:hAnsi="Tahoma" w:cs="Tahoma"/>
                <w:color w:val="000000"/>
                <w:sz w:val="18"/>
                <w:szCs w:val="18"/>
                <w:lang w:val="de-DE"/>
              </w:rPr>
              <w:t>Katastrophale Auswirkungen auf das</w:t>
            </w:r>
            <w:r w:rsidR="00A634DA">
              <w:rPr>
                <w:rFonts w:ascii="Tahoma" w:hAnsi="Tahoma" w:cs="Tahoma"/>
                <w:color w:val="000000"/>
                <w:sz w:val="18"/>
                <w:szCs w:val="18"/>
                <w:lang w:val="de-DE"/>
              </w:rPr>
              <w:t> </w:t>
            </w:r>
            <w:r w:rsidRPr="009123CB">
              <w:rPr>
                <w:rFonts w:ascii="Tahoma" w:hAnsi="Tahoma" w:cs="Tahoma"/>
                <w:color w:val="000000"/>
                <w:sz w:val="18"/>
                <w:szCs w:val="18"/>
                <w:lang w:val="de-DE"/>
              </w:rPr>
              <w:t xml:space="preserve">Geschäft: </w:t>
            </w:r>
          </w:p>
          <w:p w:rsidR="008D4EE5" w:rsidRPr="009123CB" w:rsidRDefault="008D4EE5" w:rsidP="00A67771">
            <w:pPr>
              <w:pStyle w:val="ListBullet3"/>
              <w:numPr>
                <w:ilvl w:val="0"/>
                <w:numId w:val="60"/>
              </w:numPr>
              <w:spacing w:line="276" w:lineRule="auto"/>
              <w:rPr>
                <w:lang w:val="de-DE"/>
              </w:rPr>
            </w:pPr>
            <w:r w:rsidRPr="009123CB">
              <w:rPr>
                <w:rFonts w:ascii="Tahoma" w:hAnsi="Tahoma" w:cs="Tahoma"/>
                <w:color w:val="000000"/>
                <w:sz w:val="18"/>
                <w:szCs w:val="18"/>
                <w:lang w:val="de-DE"/>
              </w:rPr>
              <w:t>Vollständiger Verlust eines zentralen (geschäftskritischen) Geschäftsprozesses, Arbeit kann vernünftigerweise nicht fortgesetzt werden</w:t>
            </w:r>
          </w:p>
          <w:p w:rsidR="008D4EE5" w:rsidRDefault="008D4EE5" w:rsidP="00A67771">
            <w:pPr>
              <w:pStyle w:val="ListBullet3"/>
              <w:numPr>
                <w:ilvl w:val="0"/>
                <w:numId w:val="60"/>
              </w:numPr>
              <w:spacing w:line="276" w:lineRule="auto"/>
              <w:rPr>
                <w:rFonts w:ascii="Tahoma" w:hAnsi="Tahoma" w:cs="Tahoma"/>
                <w:color w:val="000000"/>
                <w:sz w:val="18"/>
                <w:szCs w:val="18"/>
              </w:rPr>
            </w:pPr>
            <w:r>
              <w:rPr>
                <w:rFonts w:ascii="Tahoma" w:hAnsi="Tahoma" w:cs="Tahoma"/>
                <w:color w:val="000000"/>
                <w:sz w:val="18"/>
                <w:szCs w:val="18"/>
              </w:rPr>
              <w:t>Sofortige Bearbeitung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8D4EE5" w:rsidRPr="009123CB" w:rsidRDefault="008D4EE5" w:rsidP="00A634DA">
            <w:pPr>
              <w:pStyle w:val="ListBullet3"/>
              <w:numPr>
                <w:ilvl w:val="0"/>
                <w:numId w:val="61"/>
              </w:numPr>
              <w:spacing w:line="276" w:lineRule="auto"/>
              <w:rPr>
                <w:lang w:val="de-DE"/>
              </w:rPr>
            </w:pPr>
            <w:r w:rsidRPr="009123CB">
              <w:rPr>
                <w:rFonts w:ascii="Tahoma" w:hAnsi="Tahoma" w:cs="Tahoma"/>
                <w:color w:val="000000"/>
                <w:sz w:val="18"/>
                <w:szCs w:val="18"/>
                <w:lang w:val="de-DE"/>
              </w:rPr>
              <w:t>1</w:t>
            </w:r>
            <w:r w:rsidR="006257A7">
              <w:rPr>
                <w:rFonts w:ascii="Tahoma" w:hAnsi="Tahoma" w:cs="Tahoma"/>
                <w:color w:val="000000"/>
                <w:sz w:val="18"/>
                <w:szCs w:val="18"/>
                <w:vertAlign w:val="superscript"/>
                <w:lang w:val="de-DE"/>
              </w:rPr>
              <w:t xml:space="preserve">. </w:t>
            </w:r>
            <w:r w:rsidRPr="009123CB">
              <w:rPr>
                <w:rFonts w:ascii="Tahoma" w:hAnsi="Tahoma" w:cs="Tahoma"/>
                <w:color w:val="000000"/>
                <w:sz w:val="18"/>
                <w:szCs w:val="18"/>
                <w:lang w:val="de-DE"/>
              </w:rPr>
              <w:t>Reaktion auf Anruf in 1</w:t>
            </w:r>
            <w:r w:rsidR="00A634DA">
              <w:rPr>
                <w:rFonts w:ascii="Tahoma" w:hAnsi="Tahoma" w:cs="Tahoma"/>
                <w:color w:val="000000"/>
                <w:sz w:val="18"/>
                <w:szCs w:val="18"/>
                <w:lang w:val="de-DE"/>
              </w:rPr>
              <w:t> </w:t>
            </w:r>
            <w:r w:rsidRPr="009123CB">
              <w:rPr>
                <w:rFonts w:ascii="Tahoma" w:hAnsi="Tahoma" w:cs="Tahoma"/>
                <w:color w:val="000000"/>
                <w:sz w:val="18"/>
                <w:szCs w:val="18"/>
                <w:lang w:val="de-DE"/>
              </w:rPr>
              <w:t>Stunde oder weniger</w:t>
            </w:r>
          </w:p>
          <w:p w:rsidR="008D4EE5" w:rsidRPr="009123CB" w:rsidRDefault="008D4EE5" w:rsidP="00A67771">
            <w:pPr>
              <w:pStyle w:val="ListBullet3"/>
              <w:numPr>
                <w:ilvl w:val="0"/>
                <w:numId w:val="61"/>
              </w:numPr>
              <w:spacing w:line="276" w:lineRule="auto"/>
              <w:rPr>
                <w:lang w:val="de-DE"/>
              </w:rPr>
            </w:pPr>
            <w:r w:rsidRPr="009123CB">
              <w:rPr>
                <w:rFonts w:ascii="Tahoma" w:hAnsi="Tahoma" w:cs="Tahoma"/>
                <w:color w:val="000000"/>
                <w:sz w:val="18"/>
                <w:szCs w:val="18"/>
                <w:lang w:val="de-DE"/>
              </w:rPr>
              <w:t>Unsere Ressourcen schnellstmöglich am Standort des Kunden</w:t>
            </w:r>
          </w:p>
          <w:p w:rsidR="008D4EE5" w:rsidRPr="009123CB" w:rsidRDefault="008D4EE5" w:rsidP="00A634DA">
            <w:pPr>
              <w:pStyle w:val="ListBullet3"/>
              <w:numPr>
                <w:ilvl w:val="0"/>
                <w:numId w:val="61"/>
              </w:numPr>
              <w:spacing w:line="276" w:lineRule="auto"/>
              <w:rPr>
                <w:lang w:val="de-DE"/>
              </w:rPr>
            </w:pPr>
            <w:r w:rsidRPr="009123CB">
              <w:rPr>
                <w:rFonts w:ascii="Tahoma" w:hAnsi="Tahoma" w:cs="Tahoma"/>
                <w:color w:val="000000"/>
                <w:sz w:val="18"/>
                <w:szCs w:val="18"/>
                <w:lang w:val="de-DE"/>
              </w:rPr>
              <w:t>Durchgehende Bemühungen rund um</w:t>
            </w:r>
            <w:r w:rsidR="00A634DA">
              <w:rPr>
                <w:rFonts w:ascii="Tahoma" w:hAnsi="Tahoma" w:cs="Tahoma"/>
                <w:color w:val="000000"/>
                <w:sz w:val="18"/>
                <w:szCs w:val="18"/>
                <w:lang w:val="de-DE"/>
              </w:rPr>
              <w:t> </w:t>
            </w:r>
            <w:r w:rsidRPr="009123CB">
              <w:rPr>
                <w:rFonts w:ascii="Tahoma" w:hAnsi="Tahoma" w:cs="Tahoma"/>
                <w:color w:val="000000"/>
                <w:sz w:val="18"/>
                <w:szCs w:val="18"/>
                <w:lang w:val="de-DE"/>
              </w:rPr>
              <w:t>die Uhr</w:t>
            </w:r>
          </w:p>
          <w:p w:rsidR="008D4EE5" w:rsidRPr="009123CB" w:rsidRDefault="008D4EE5" w:rsidP="00A67771">
            <w:pPr>
              <w:pStyle w:val="ListBullet3"/>
              <w:numPr>
                <w:ilvl w:val="0"/>
                <w:numId w:val="61"/>
              </w:numPr>
              <w:spacing w:line="276" w:lineRule="auto"/>
              <w:rPr>
                <w:lang w:val="de-DE"/>
              </w:rPr>
            </w:pPr>
            <w:r w:rsidRPr="009123CB">
              <w:rPr>
                <w:rFonts w:ascii="Tahoma" w:hAnsi="Tahoma" w:cs="Tahoma"/>
                <w:color w:val="000000"/>
                <w:sz w:val="18"/>
                <w:szCs w:val="18"/>
                <w:lang w:val="de-DE"/>
              </w:rPr>
              <w:t>Schnelle Eskalation innerhalb von Microsoft an Produktteams</w:t>
            </w:r>
          </w:p>
          <w:p w:rsidR="008D4EE5" w:rsidRPr="009123CB" w:rsidRDefault="008D4EE5" w:rsidP="00A67771">
            <w:pPr>
              <w:pStyle w:val="ListBullet3"/>
              <w:numPr>
                <w:ilvl w:val="0"/>
                <w:numId w:val="61"/>
              </w:numPr>
              <w:spacing w:line="276" w:lineRule="auto"/>
              <w:rPr>
                <w:rFonts w:ascii="Tahoma" w:hAnsi="Tahoma" w:cs="Tahoma"/>
                <w:color w:val="000000"/>
                <w:sz w:val="18"/>
                <w:szCs w:val="18"/>
                <w:lang w:val="de-DE"/>
              </w:rPr>
            </w:pPr>
            <w:r w:rsidRPr="009123CB">
              <w:rPr>
                <w:rFonts w:ascii="Tahoma" w:hAnsi="Tahoma" w:cs="Tahoma"/>
                <w:color w:val="000000"/>
                <w:sz w:val="18"/>
                <w:szCs w:val="18"/>
                <w:lang w:val="de-DE"/>
              </w:rPr>
              <w:t xml:space="preserve">Benachrichtigung der leitenden Führungskräfte von Microsoft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8D4EE5" w:rsidRPr="009123CB" w:rsidRDefault="008D4EE5" w:rsidP="00A634DA">
            <w:pPr>
              <w:pStyle w:val="ListBullet3"/>
              <w:numPr>
                <w:ilvl w:val="0"/>
                <w:numId w:val="62"/>
              </w:numPr>
              <w:spacing w:line="276" w:lineRule="auto"/>
              <w:rPr>
                <w:lang w:val="de-DE"/>
              </w:rPr>
            </w:pPr>
            <w:r w:rsidRPr="009123CB">
              <w:rPr>
                <w:rFonts w:ascii="Tahoma" w:hAnsi="Tahoma" w:cs="Tahoma"/>
                <w:color w:val="000000"/>
                <w:sz w:val="18"/>
                <w:szCs w:val="18"/>
                <w:lang w:val="de-DE"/>
              </w:rPr>
              <w:t>Benachrichtigung der</w:t>
            </w:r>
            <w:r w:rsidR="00A634DA">
              <w:rPr>
                <w:rFonts w:ascii="Tahoma" w:hAnsi="Tahoma" w:cs="Tahoma"/>
                <w:color w:val="000000"/>
                <w:sz w:val="18"/>
                <w:szCs w:val="18"/>
                <w:lang w:val="de-DE"/>
              </w:rPr>
              <w:t> </w:t>
            </w:r>
            <w:r w:rsidRPr="009123CB">
              <w:rPr>
                <w:rFonts w:ascii="Tahoma" w:hAnsi="Tahoma" w:cs="Tahoma"/>
                <w:color w:val="000000"/>
                <w:sz w:val="18"/>
                <w:szCs w:val="18"/>
                <w:lang w:val="de-DE"/>
              </w:rPr>
              <w:t>leitenden Führungskräfte des</w:t>
            </w:r>
            <w:r w:rsidR="00A634DA">
              <w:rPr>
                <w:rFonts w:ascii="Tahoma" w:hAnsi="Tahoma" w:cs="Tahoma"/>
                <w:color w:val="000000"/>
                <w:sz w:val="18"/>
                <w:szCs w:val="18"/>
                <w:lang w:val="de-DE"/>
              </w:rPr>
              <w:t> </w:t>
            </w:r>
            <w:r w:rsidRPr="009123CB">
              <w:rPr>
                <w:rFonts w:ascii="Tahoma" w:hAnsi="Tahoma" w:cs="Tahoma"/>
                <w:color w:val="000000"/>
                <w:sz w:val="18"/>
                <w:szCs w:val="18"/>
                <w:lang w:val="de-DE"/>
              </w:rPr>
              <w:t xml:space="preserve">Kunden </w:t>
            </w:r>
          </w:p>
          <w:p w:rsidR="008D4EE5" w:rsidRPr="009123CB" w:rsidRDefault="008D4EE5" w:rsidP="00A634DA">
            <w:pPr>
              <w:pStyle w:val="ListBullet3"/>
              <w:numPr>
                <w:ilvl w:val="0"/>
                <w:numId w:val="62"/>
              </w:numPr>
              <w:spacing w:line="276" w:lineRule="auto"/>
              <w:rPr>
                <w:lang w:val="de-DE"/>
              </w:rPr>
            </w:pPr>
            <w:r w:rsidRPr="009123CB">
              <w:rPr>
                <w:rFonts w:ascii="Tahoma" w:hAnsi="Tahoma" w:cs="Tahoma"/>
                <w:color w:val="000000"/>
                <w:sz w:val="18"/>
                <w:szCs w:val="18"/>
                <w:lang w:val="de-DE"/>
              </w:rPr>
              <w:t>Zuweisung geeigneter Ressourcen zur Aufrechterhaltung durchgehender Bemühungen rund um</w:t>
            </w:r>
            <w:r w:rsidR="00A634DA">
              <w:rPr>
                <w:rFonts w:ascii="Tahoma" w:hAnsi="Tahoma" w:cs="Tahoma"/>
                <w:color w:val="000000"/>
                <w:sz w:val="18"/>
                <w:szCs w:val="18"/>
                <w:lang w:val="de-DE"/>
              </w:rPr>
              <w:t> </w:t>
            </w:r>
            <w:r w:rsidRPr="009123CB">
              <w:rPr>
                <w:rFonts w:ascii="Tahoma" w:hAnsi="Tahoma" w:cs="Tahoma"/>
                <w:color w:val="000000"/>
                <w:sz w:val="18"/>
                <w:szCs w:val="18"/>
                <w:lang w:val="de-DE"/>
              </w:rPr>
              <w:t>die</w:t>
            </w:r>
            <w:r w:rsidR="00A634DA">
              <w:rPr>
                <w:rFonts w:ascii="Tahoma" w:hAnsi="Tahoma" w:cs="Tahoma"/>
                <w:color w:val="000000"/>
                <w:sz w:val="18"/>
                <w:szCs w:val="18"/>
                <w:lang w:val="de-DE"/>
              </w:rPr>
              <w:t> </w:t>
            </w:r>
            <w:r w:rsidRPr="009123CB">
              <w:rPr>
                <w:rFonts w:ascii="Tahoma" w:hAnsi="Tahoma" w:cs="Tahoma"/>
                <w:color w:val="000000"/>
                <w:sz w:val="18"/>
                <w:szCs w:val="18"/>
                <w:lang w:val="de-DE"/>
              </w:rPr>
              <w:t>Uhr</w:t>
            </w:r>
            <w:r w:rsidRPr="009123CB">
              <w:rPr>
                <w:rFonts w:ascii="Tahoma" w:hAnsi="Tahoma" w:cs="Tahoma"/>
                <w:color w:val="000000"/>
                <w:sz w:val="18"/>
                <w:szCs w:val="18"/>
                <w:vertAlign w:val="superscript"/>
                <w:lang w:val="de-DE"/>
              </w:rPr>
              <w:t>2</w:t>
            </w:r>
          </w:p>
          <w:p w:rsidR="008D4EE5" w:rsidRPr="009123CB" w:rsidRDefault="008D4EE5" w:rsidP="00A634DA">
            <w:pPr>
              <w:pStyle w:val="ListBullet3"/>
              <w:numPr>
                <w:ilvl w:val="0"/>
                <w:numId w:val="62"/>
              </w:numPr>
              <w:spacing w:line="276" w:lineRule="auto"/>
              <w:rPr>
                <w:rFonts w:ascii="Tahoma" w:hAnsi="Tahoma" w:cs="Tahoma"/>
                <w:color w:val="000000"/>
                <w:sz w:val="18"/>
                <w:szCs w:val="18"/>
                <w:lang w:val="de-DE"/>
              </w:rPr>
            </w:pPr>
            <w:r w:rsidRPr="009123CB">
              <w:rPr>
                <w:rFonts w:ascii="Tahoma" w:hAnsi="Tahoma" w:cs="Tahoma"/>
                <w:color w:val="000000"/>
                <w:sz w:val="18"/>
                <w:szCs w:val="18"/>
                <w:lang w:val="de-DE"/>
              </w:rPr>
              <w:t>Schneller Zugriff und</w:t>
            </w:r>
            <w:r w:rsidR="00A634DA">
              <w:rPr>
                <w:rFonts w:ascii="Tahoma" w:hAnsi="Tahoma" w:cs="Tahoma"/>
                <w:color w:val="000000"/>
                <w:sz w:val="18"/>
                <w:szCs w:val="18"/>
                <w:lang w:val="de-DE"/>
              </w:rPr>
              <w:t> </w:t>
            </w:r>
            <w:r w:rsidRPr="009123CB">
              <w:rPr>
                <w:rFonts w:ascii="Tahoma" w:hAnsi="Tahoma" w:cs="Tahoma"/>
                <w:color w:val="000000"/>
                <w:sz w:val="18"/>
                <w:szCs w:val="18"/>
                <w:lang w:val="de-DE"/>
              </w:rPr>
              <w:t>schnelle Reaktion</w:t>
            </w:r>
            <w:r w:rsidR="00A634DA">
              <w:rPr>
                <w:rFonts w:ascii="Tahoma" w:hAnsi="Tahoma" w:cs="Tahoma"/>
                <w:color w:val="000000"/>
                <w:sz w:val="18"/>
                <w:szCs w:val="18"/>
                <w:lang w:val="de-DE"/>
              </w:rPr>
              <w:t> </w:t>
            </w:r>
            <w:r w:rsidRPr="009123CB">
              <w:rPr>
                <w:rFonts w:ascii="Tahoma" w:hAnsi="Tahoma" w:cs="Tahoma"/>
                <w:color w:val="000000"/>
                <w:sz w:val="18"/>
                <w:szCs w:val="18"/>
                <w:lang w:val="de-DE"/>
              </w:rPr>
              <w:t>durch Änderungskontrollautorität</w:t>
            </w:r>
          </w:p>
        </w:tc>
      </w:tr>
      <w:tr w:rsidR="008D4EE5" w:rsidTr="00A634DA">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D4EE5" w:rsidRPr="009123CB" w:rsidRDefault="008D4EE5" w:rsidP="00A67771">
            <w:pPr>
              <w:pStyle w:val="tableclose"/>
              <w:spacing w:line="276" w:lineRule="auto"/>
              <w:rPr>
                <w:rFonts w:ascii="Tahoma" w:hAnsi="Tahoma" w:cs="Tahoma"/>
                <w:color w:val="000000"/>
                <w:sz w:val="18"/>
                <w:szCs w:val="18"/>
                <w:lang w:val="de-DE"/>
              </w:rPr>
            </w:pPr>
            <w:r w:rsidRPr="009123CB">
              <w:rPr>
                <w:rFonts w:ascii="Tahoma" w:hAnsi="Tahoma" w:cs="Tahoma"/>
                <w:color w:val="000000"/>
                <w:sz w:val="18"/>
                <w:szCs w:val="18"/>
                <w:lang w:val="de-DE"/>
              </w:rPr>
              <w:t>A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8D4EE5" w:rsidRPr="009123CB" w:rsidRDefault="008D4EE5" w:rsidP="00A67771">
            <w:pPr>
              <w:pStyle w:val="ListBullet3"/>
              <w:numPr>
                <w:ilvl w:val="0"/>
                <w:numId w:val="60"/>
              </w:numPr>
              <w:spacing w:line="276" w:lineRule="auto"/>
              <w:rPr>
                <w:lang w:val="de-DE"/>
              </w:rPr>
            </w:pPr>
            <w:r w:rsidRPr="009123CB">
              <w:rPr>
                <w:rFonts w:ascii="Tahoma" w:hAnsi="Tahoma" w:cs="Tahoma"/>
                <w:color w:val="000000"/>
                <w:sz w:val="18"/>
                <w:szCs w:val="18"/>
                <w:lang w:val="de-DE"/>
              </w:rPr>
              <w:t xml:space="preserve">Kritische Auswirkungen auf das Geschäft: </w:t>
            </w:r>
          </w:p>
          <w:p w:rsidR="008D4EE5" w:rsidRPr="009123CB" w:rsidRDefault="008D4EE5" w:rsidP="00A67771">
            <w:pPr>
              <w:pStyle w:val="ListBullet3"/>
              <w:numPr>
                <w:ilvl w:val="0"/>
                <w:numId w:val="60"/>
              </w:numPr>
              <w:spacing w:line="276" w:lineRule="auto"/>
              <w:rPr>
                <w:lang w:val="de-DE"/>
              </w:rPr>
            </w:pPr>
            <w:r w:rsidRPr="009123CB">
              <w:rPr>
                <w:rFonts w:ascii="Tahoma" w:hAnsi="Tahoma" w:cs="Tahoma"/>
                <w:color w:val="000000"/>
                <w:sz w:val="18"/>
                <w:szCs w:val="18"/>
                <w:lang w:val="de-DE"/>
              </w:rPr>
              <w:t>Erheblicher Verlust oder erhebliche Beeinträchtigung von Diensten</w:t>
            </w:r>
          </w:p>
          <w:p w:rsidR="008D4EE5" w:rsidRPr="009123CB" w:rsidRDefault="008D4EE5" w:rsidP="00A67771">
            <w:pPr>
              <w:pStyle w:val="ListBullet3"/>
              <w:numPr>
                <w:ilvl w:val="0"/>
                <w:numId w:val="60"/>
              </w:numPr>
              <w:spacing w:line="276" w:lineRule="auto"/>
              <w:rPr>
                <w:rFonts w:ascii="Tahoma" w:hAnsi="Tahoma" w:cs="Tahoma"/>
                <w:color w:val="000000"/>
                <w:sz w:val="18"/>
                <w:szCs w:val="18"/>
                <w:lang w:val="de-DE"/>
              </w:rPr>
            </w:pPr>
            <w:r w:rsidRPr="009123CB">
              <w:rPr>
                <w:rFonts w:ascii="Tahoma" w:hAnsi="Tahoma" w:cs="Tahoma"/>
                <w:color w:val="000000"/>
                <w:sz w:val="18"/>
                <w:szCs w:val="18"/>
                <w:lang w:val="de-DE"/>
              </w:rPr>
              <w:t>Bearbeitung innerhalb von 1 Stunde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8D4EE5" w:rsidRPr="009123CB" w:rsidRDefault="008D4EE5" w:rsidP="00A634DA">
            <w:pPr>
              <w:pStyle w:val="ListBullet3"/>
              <w:numPr>
                <w:ilvl w:val="0"/>
                <w:numId w:val="61"/>
              </w:numPr>
              <w:spacing w:line="276" w:lineRule="auto"/>
              <w:rPr>
                <w:lang w:val="de-DE"/>
              </w:rPr>
            </w:pPr>
            <w:r w:rsidRPr="009123CB">
              <w:rPr>
                <w:rFonts w:ascii="Tahoma" w:hAnsi="Tahoma" w:cs="Tahoma"/>
                <w:color w:val="000000"/>
                <w:sz w:val="18"/>
                <w:szCs w:val="18"/>
                <w:lang w:val="de-DE"/>
              </w:rPr>
              <w:t>1</w:t>
            </w:r>
            <w:r w:rsidR="006257A7">
              <w:rPr>
                <w:rFonts w:ascii="Tahoma" w:hAnsi="Tahoma" w:cs="Tahoma"/>
                <w:color w:val="000000"/>
                <w:sz w:val="18"/>
                <w:szCs w:val="18"/>
                <w:vertAlign w:val="superscript"/>
                <w:lang w:val="de-DE"/>
              </w:rPr>
              <w:t xml:space="preserve">. </w:t>
            </w:r>
            <w:r w:rsidRPr="009123CB">
              <w:rPr>
                <w:rFonts w:ascii="Tahoma" w:hAnsi="Tahoma" w:cs="Tahoma"/>
                <w:color w:val="000000"/>
                <w:sz w:val="18"/>
                <w:szCs w:val="18"/>
                <w:lang w:val="de-DE"/>
              </w:rPr>
              <w:t>Reaktion auf Anruf in 1</w:t>
            </w:r>
            <w:r w:rsidR="00A634DA">
              <w:rPr>
                <w:rFonts w:ascii="Tahoma" w:hAnsi="Tahoma" w:cs="Tahoma"/>
                <w:color w:val="000000"/>
                <w:sz w:val="18"/>
                <w:szCs w:val="18"/>
                <w:lang w:val="de-DE"/>
              </w:rPr>
              <w:t> </w:t>
            </w:r>
            <w:r w:rsidRPr="009123CB">
              <w:rPr>
                <w:rFonts w:ascii="Tahoma" w:hAnsi="Tahoma" w:cs="Tahoma"/>
                <w:color w:val="000000"/>
                <w:sz w:val="18"/>
                <w:szCs w:val="18"/>
                <w:lang w:val="de-DE"/>
              </w:rPr>
              <w:t>Stunde oder weniger</w:t>
            </w:r>
          </w:p>
          <w:p w:rsidR="008D4EE5" w:rsidRPr="009123CB" w:rsidRDefault="008D4EE5" w:rsidP="00A67771">
            <w:pPr>
              <w:pStyle w:val="ListBullet3"/>
              <w:numPr>
                <w:ilvl w:val="0"/>
                <w:numId w:val="61"/>
              </w:numPr>
              <w:spacing w:line="276" w:lineRule="auto"/>
              <w:rPr>
                <w:lang w:val="de-DE"/>
              </w:rPr>
            </w:pPr>
            <w:r w:rsidRPr="009123CB">
              <w:rPr>
                <w:rFonts w:ascii="Tahoma" w:hAnsi="Tahoma" w:cs="Tahoma"/>
                <w:color w:val="000000"/>
                <w:sz w:val="18"/>
                <w:szCs w:val="18"/>
                <w:lang w:val="de-DE"/>
              </w:rPr>
              <w:t>Unsere Ressourcen nach Bedarf am Standort des Kunden</w:t>
            </w:r>
          </w:p>
          <w:p w:rsidR="008D4EE5" w:rsidRPr="009123CB" w:rsidRDefault="008D4EE5" w:rsidP="00A634DA">
            <w:pPr>
              <w:pStyle w:val="ListBullet3"/>
              <w:numPr>
                <w:ilvl w:val="0"/>
                <w:numId w:val="61"/>
              </w:numPr>
              <w:spacing w:line="276" w:lineRule="auto"/>
              <w:rPr>
                <w:lang w:val="de-DE"/>
              </w:rPr>
            </w:pPr>
            <w:r w:rsidRPr="009123CB">
              <w:rPr>
                <w:rFonts w:ascii="Tahoma" w:hAnsi="Tahoma" w:cs="Tahoma"/>
                <w:color w:val="000000"/>
                <w:sz w:val="18"/>
                <w:szCs w:val="18"/>
                <w:lang w:val="de-DE"/>
              </w:rPr>
              <w:t>Durchgehende Bemühungen rund um</w:t>
            </w:r>
            <w:r w:rsidR="00A634DA">
              <w:rPr>
                <w:rFonts w:ascii="Tahoma" w:hAnsi="Tahoma" w:cs="Tahoma"/>
                <w:color w:val="000000"/>
                <w:sz w:val="18"/>
                <w:szCs w:val="18"/>
                <w:lang w:val="de-DE"/>
              </w:rPr>
              <w:t> </w:t>
            </w:r>
            <w:r w:rsidRPr="009123CB">
              <w:rPr>
                <w:rFonts w:ascii="Tahoma" w:hAnsi="Tahoma" w:cs="Tahoma"/>
                <w:color w:val="000000"/>
                <w:sz w:val="18"/>
                <w:szCs w:val="18"/>
                <w:lang w:val="de-DE"/>
              </w:rPr>
              <w:t>die Uhr</w:t>
            </w:r>
          </w:p>
          <w:p w:rsidR="008D4EE5" w:rsidRPr="009123CB" w:rsidRDefault="008D4EE5" w:rsidP="00A67771">
            <w:pPr>
              <w:pStyle w:val="ListBullet3"/>
              <w:numPr>
                <w:ilvl w:val="0"/>
                <w:numId w:val="61"/>
              </w:numPr>
              <w:spacing w:line="276" w:lineRule="auto"/>
              <w:rPr>
                <w:rFonts w:ascii="Tahoma" w:hAnsi="Tahoma" w:cs="Tahoma"/>
                <w:color w:val="000000"/>
                <w:sz w:val="18"/>
                <w:szCs w:val="18"/>
                <w:lang w:val="de-DE"/>
              </w:rPr>
            </w:pPr>
            <w:r w:rsidRPr="009123CB">
              <w:rPr>
                <w:rFonts w:ascii="Tahoma" w:hAnsi="Tahoma" w:cs="Tahoma"/>
                <w:color w:val="000000"/>
                <w:sz w:val="18"/>
                <w:szCs w:val="18"/>
                <w:lang w:val="de-DE"/>
              </w:rPr>
              <w:t>Benachrichtigung der leitenden Manager von Microsoft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8D4EE5" w:rsidRPr="009123CB" w:rsidRDefault="008D4EE5" w:rsidP="00A634DA">
            <w:pPr>
              <w:pStyle w:val="ListBullet3"/>
              <w:numPr>
                <w:ilvl w:val="0"/>
                <w:numId w:val="62"/>
              </w:numPr>
              <w:spacing w:line="276" w:lineRule="auto"/>
              <w:rPr>
                <w:lang w:val="de-DE"/>
              </w:rPr>
            </w:pPr>
            <w:r w:rsidRPr="009123CB">
              <w:rPr>
                <w:rFonts w:ascii="Tahoma" w:hAnsi="Tahoma" w:cs="Tahoma"/>
                <w:color w:val="000000"/>
                <w:sz w:val="18"/>
                <w:szCs w:val="18"/>
                <w:lang w:val="de-DE"/>
              </w:rPr>
              <w:t>Zuweisung geeigneter Ressourcen zur Aufrechterhaltung durchgehender Bemühungen rund um die</w:t>
            </w:r>
            <w:r w:rsidR="00A634DA">
              <w:rPr>
                <w:rFonts w:ascii="Tahoma" w:hAnsi="Tahoma" w:cs="Tahoma"/>
                <w:color w:val="000000"/>
                <w:sz w:val="18"/>
                <w:szCs w:val="18"/>
                <w:lang w:val="de-DE"/>
              </w:rPr>
              <w:t> </w:t>
            </w:r>
            <w:r w:rsidRPr="009123CB">
              <w:rPr>
                <w:rFonts w:ascii="Tahoma" w:hAnsi="Tahoma" w:cs="Tahoma"/>
                <w:color w:val="000000"/>
                <w:sz w:val="18"/>
                <w:szCs w:val="18"/>
                <w:lang w:val="de-DE"/>
              </w:rPr>
              <w:t>Uhr</w:t>
            </w:r>
            <w:r w:rsidRPr="009123CB">
              <w:rPr>
                <w:rFonts w:ascii="Tahoma" w:hAnsi="Tahoma" w:cs="Tahoma"/>
                <w:color w:val="000000"/>
                <w:sz w:val="18"/>
                <w:szCs w:val="18"/>
                <w:vertAlign w:val="superscript"/>
                <w:lang w:val="de-DE"/>
              </w:rPr>
              <w:t>2</w:t>
            </w:r>
          </w:p>
          <w:p w:rsidR="008D4EE5" w:rsidRPr="009123CB" w:rsidRDefault="008D4EE5" w:rsidP="00A67771">
            <w:pPr>
              <w:pStyle w:val="ListBullet3"/>
              <w:numPr>
                <w:ilvl w:val="0"/>
                <w:numId w:val="62"/>
              </w:numPr>
              <w:spacing w:line="276" w:lineRule="auto"/>
              <w:rPr>
                <w:lang w:val="de-DE"/>
              </w:rPr>
            </w:pPr>
            <w:r w:rsidRPr="009123CB">
              <w:rPr>
                <w:rFonts w:ascii="Tahoma" w:hAnsi="Tahoma" w:cs="Tahoma"/>
                <w:color w:val="000000"/>
                <w:sz w:val="18"/>
                <w:szCs w:val="18"/>
                <w:lang w:val="de-DE"/>
              </w:rPr>
              <w:t>Schneller Zugriff und schnelle Reaktion durch Änderungskontrollautorität</w:t>
            </w:r>
          </w:p>
          <w:p w:rsidR="008D4EE5" w:rsidRDefault="008D4EE5" w:rsidP="00A67771">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Benachrichtigung des Managements</w:t>
            </w:r>
          </w:p>
        </w:tc>
      </w:tr>
      <w:tr w:rsidR="008D4EE5" w:rsidRPr="00FB51BA" w:rsidTr="00A634DA">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D4EE5" w:rsidRPr="009123CB" w:rsidRDefault="008D4EE5" w:rsidP="00965A6F">
            <w:pPr>
              <w:pStyle w:val="tableclose"/>
              <w:spacing w:line="276" w:lineRule="auto"/>
              <w:rPr>
                <w:rFonts w:ascii="Tahoma" w:hAnsi="Tahoma" w:cs="Tahoma"/>
                <w:color w:val="000000"/>
                <w:sz w:val="18"/>
                <w:szCs w:val="18"/>
                <w:lang w:val="de-DE"/>
              </w:rPr>
            </w:pPr>
            <w:r w:rsidRPr="009123CB">
              <w:rPr>
                <w:rFonts w:ascii="Tahoma" w:hAnsi="Tahoma" w:cs="Tahoma"/>
                <w:color w:val="000000"/>
                <w:sz w:val="18"/>
                <w:szCs w:val="18"/>
                <w:lang w:val="de-DE"/>
              </w:rPr>
              <w:t>B Einreichung per Telefon oder</w:t>
            </w:r>
            <w:r w:rsidR="00965A6F">
              <w:rPr>
                <w:rFonts w:ascii="Tahoma" w:hAnsi="Tahoma" w:cs="Tahoma"/>
                <w:color w:val="000000"/>
                <w:sz w:val="18"/>
                <w:szCs w:val="18"/>
                <w:lang w:val="de-DE"/>
              </w:rPr>
              <w:t> </w:t>
            </w:r>
            <w:r w:rsidRPr="009123CB">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8D4EE5" w:rsidRPr="009123CB" w:rsidRDefault="008D4EE5" w:rsidP="00A67771">
            <w:pPr>
              <w:pStyle w:val="ListBullet3"/>
              <w:numPr>
                <w:ilvl w:val="0"/>
                <w:numId w:val="60"/>
              </w:numPr>
              <w:spacing w:line="276" w:lineRule="auto"/>
              <w:rPr>
                <w:lang w:val="de-DE"/>
              </w:rPr>
            </w:pPr>
            <w:r w:rsidRPr="009123CB">
              <w:rPr>
                <w:rFonts w:ascii="Tahoma" w:hAnsi="Tahoma" w:cs="Tahoma"/>
                <w:color w:val="000000"/>
                <w:sz w:val="18"/>
                <w:szCs w:val="18"/>
                <w:lang w:val="de-DE"/>
              </w:rPr>
              <w:t xml:space="preserve">Mittelschwere Auswirkungen auf das Geschäft: </w:t>
            </w:r>
          </w:p>
          <w:p w:rsidR="008D4EE5" w:rsidRPr="009123CB" w:rsidRDefault="008D4EE5" w:rsidP="00A67771">
            <w:pPr>
              <w:pStyle w:val="ListBullet3"/>
              <w:numPr>
                <w:ilvl w:val="0"/>
                <w:numId w:val="60"/>
              </w:numPr>
              <w:spacing w:line="276" w:lineRule="auto"/>
              <w:rPr>
                <w:lang w:val="de-DE"/>
              </w:rPr>
            </w:pPr>
            <w:r w:rsidRPr="009123CB">
              <w:rPr>
                <w:rFonts w:ascii="Tahoma" w:hAnsi="Tahoma" w:cs="Tahoma"/>
                <w:color w:val="000000"/>
                <w:sz w:val="18"/>
                <w:szCs w:val="18"/>
                <w:lang w:val="de-DE"/>
              </w:rPr>
              <w:t>Mittelmäßiger Verlust oder mittelmäßige Beeinträchtigung von Diensten, die Arbeit kann jedoch vernünftigerweise mit Beeinträchtigungen fortgesetzt werden</w:t>
            </w:r>
            <w:r w:rsidR="006257A7">
              <w:rPr>
                <w:rFonts w:ascii="Tahoma" w:hAnsi="Tahoma" w:cs="Tahoma"/>
                <w:color w:val="000000"/>
                <w:sz w:val="18"/>
                <w:szCs w:val="18"/>
                <w:lang w:val="de-DE"/>
              </w:rPr>
              <w:t xml:space="preserve">. </w:t>
            </w:r>
          </w:p>
          <w:p w:rsidR="008D4EE5" w:rsidRPr="009123CB" w:rsidRDefault="008D4EE5" w:rsidP="00A67771">
            <w:pPr>
              <w:pStyle w:val="ListBullet3"/>
              <w:numPr>
                <w:ilvl w:val="0"/>
                <w:numId w:val="60"/>
              </w:numPr>
              <w:spacing w:line="276" w:lineRule="auto"/>
              <w:rPr>
                <w:rFonts w:ascii="Tahoma" w:hAnsi="Tahoma" w:cs="Tahoma"/>
                <w:color w:val="000000"/>
                <w:sz w:val="18"/>
                <w:szCs w:val="18"/>
                <w:lang w:val="de-DE"/>
              </w:rPr>
            </w:pPr>
            <w:r w:rsidRPr="009123CB">
              <w:rPr>
                <w:rFonts w:ascii="Tahoma" w:hAnsi="Tahoma" w:cs="Tahoma"/>
                <w:color w:val="000000"/>
                <w:sz w:val="18"/>
                <w:szCs w:val="18"/>
                <w:lang w:val="de-DE"/>
              </w:rPr>
              <w:t>Bearbeitung innerhalb von 2 Geschäftsstunden erforderlich</w:t>
            </w:r>
            <w:r w:rsidRPr="009123CB">
              <w:rPr>
                <w:rFonts w:ascii="Tahoma" w:hAnsi="Tahoma" w:cs="Tahoma"/>
                <w:color w:val="000000"/>
                <w:sz w:val="18"/>
                <w:szCs w:val="18"/>
                <w:vertAlign w:val="superscript"/>
                <w:lang w:val="de-DE"/>
              </w:rPr>
              <w:t>1</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8D4EE5" w:rsidRPr="009123CB" w:rsidRDefault="008D4EE5" w:rsidP="00A67771">
            <w:pPr>
              <w:pStyle w:val="ListBullet3"/>
              <w:numPr>
                <w:ilvl w:val="0"/>
                <w:numId w:val="61"/>
              </w:numPr>
              <w:spacing w:line="276" w:lineRule="auto"/>
              <w:rPr>
                <w:lang w:val="de-DE"/>
              </w:rPr>
            </w:pPr>
            <w:r w:rsidRPr="009123CB">
              <w:rPr>
                <w:rFonts w:ascii="Tahoma" w:hAnsi="Tahoma" w:cs="Tahoma"/>
                <w:color w:val="000000"/>
                <w:sz w:val="18"/>
                <w:szCs w:val="18"/>
                <w:lang w:val="de-DE"/>
              </w:rPr>
              <w:t>1</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Reaktion auf Anruf in 2 Stunden oder weniger</w:t>
            </w:r>
          </w:p>
          <w:p w:rsidR="008D4EE5" w:rsidRPr="0062435A" w:rsidRDefault="008D4EE5" w:rsidP="00A67771">
            <w:pPr>
              <w:pStyle w:val="ListBullet3"/>
              <w:numPr>
                <w:ilvl w:val="0"/>
                <w:numId w:val="61"/>
              </w:numPr>
              <w:spacing w:line="276" w:lineRule="auto"/>
            </w:pPr>
            <w:r>
              <w:rPr>
                <w:rFonts w:ascii="Tahoma" w:hAnsi="Tahoma" w:cs="Tahoma"/>
                <w:color w:val="000000"/>
                <w:sz w:val="18"/>
                <w:szCs w:val="18"/>
              </w:rPr>
              <w:t>Bemühungen nur während der Geschäftszeiten</w:t>
            </w:r>
            <w:r>
              <w:rPr>
                <w:rFonts w:ascii="Tahoma" w:hAnsi="Tahoma" w:cs="Tahoma"/>
                <w:color w:val="000000"/>
                <w:sz w:val="18"/>
                <w:szCs w:val="18"/>
                <w:vertAlign w:val="superscript"/>
              </w:rPr>
              <w:t>1</w:t>
            </w:r>
          </w:p>
          <w:p w:rsidR="008D4EE5" w:rsidRDefault="008D4EE5" w:rsidP="00A67771">
            <w:pPr>
              <w:pStyle w:val="ListBullet3"/>
              <w:tabs>
                <w:tab w:val="clear" w:pos="1080"/>
                <w:tab w:val="left" w:pos="720"/>
              </w:tabs>
              <w:spacing w:line="276"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8D4EE5" w:rsidRPr="009123CB" w:rsidRDefault="008D4EE5" w:rsidP="00A634DA">
            <w:pPr>
              <w:pStyle w:val="ListBullet3"/>
              <w:numPr>
                <w:ilvl w:val="0"/>
                <w:numId w:val="62"/>
              </w:numPr>
              <w:spacing w:line="276" w:lineRule="auto"/>
              <w:rPr>
                <w:lang w:val="de-DE"/>
              </w:rPr>
            </w:pPr>
            <w:r w:rsidRPr="009123CB">
              <w:rPr>
                <w:rFonts w:ascii="Tahoma" w:hAnsi="Tahoma" w:cs="Tahoma"/>
                <w:color w:val="000000"/>
                <w:sz w:val="18"/>
                <w:szCs w:val="18"/>
                <w:lang w:val="de-DE"/>
              </w:rPr>
              <w:t>Zuweisung geeigneter Ressourcen zur Aufrechterhaltung durchgehender Bemühungen während der</w:t>
            </w:r>
            <w:r w:rsidR="00A634DA">
              <w:rPr>
                <w:rFonts w:ascii="Tahoma" w:hAnsi="Tahoma" w:cs="Tahoma"/>
                <w:color w:val="000000"/>
                <w:sz w:val="18"/>
                <w:szCs w:val="18"/>
                <w:lang w:val="de-DE"/>
              </w:rPr>
              <w:t> </w:t>
            </w:r>
            <w:r w:rsidRPr="009123CB">
              <w:rPr>
                <w:rFonts w:ascii="Tahoma" w:hAnsi="Tahoma" w:cs="Tahoma"/>
                <w:color w:val="000000"/>
                <w:sz w:val="18"/>
                <w:szCs w:val="18"/>
                <w:lang w:val="de-DE"/>
              </w:rPr>
              <w:t>Geschäftszeiten</w:t>
            </w:r>
            <w:r w:rsidRPr="009123CB">
              <w:rPr>
                <w:rFonts w:ascii="Tahoma" w:hAnsi="Tahoma" w:cs="Tahoma"/>
                <w:color w:val="000000"/>
                <w:sz w:val="18"/>
                <w:szCs w:val="18"/>
                <w:vertAlign w:val="superscript"/>
                <w:lang w:val="de-DE"/>
              </w:rPr>
              <w:t>1</w:t>
            </w:r>
          </w:p>
          <w:p w:rsidR="008D4EE5" w:rsidRPr="009123CB" w:rsidRDefault="008D4EE5" w:rsidP="00A67771">
            <w:pPr>
              <w:pStyle w:val="ListBullet3"/>
              <w:numPr>
                <w:ilvl w:val="0"/>
                <w:numId w:val="62"/>
              </w:numPr>
              <w:spacing w:line="276" w:lineRule="auto"/>
              <w:rPr>
                <w:rFonts w:ascii="Tahoma" w:hAnsi="Tahoma" w:cs="Tahoma"/>
                <w:color w:val="000000"/>
                <w:sz w:val="18"/>
                <w:szCs w:val="18"/>
                <w:lang w:val="de-DE"/>
              </w:rPr>
            </w:pPr>
            <w:r w:rsidRPr="009123CB">
              <w:rPr>
                <w:rFonts w:ascii="Tahoma" w:hAnsi="Tahoma" w:cs="Tahoma"/>
                <w:color w:val="000000"/>
                <w:sz w:val="18"/>
                <w:szCs w:val="18"/>
                <w:lang w:val="de-DE"/>
              </w:rPr>
              <w:t>Zugriff und Reaktion von Änderungskontrollautorität innerhalb von 4 Geschäftsstunden</w:t>
            </w:r>
            <w:r w:rsidRPr="009123CB">
              <w:rPr>
                <w:rFonts w:ascii="Tahoma" w:hAnsi="Tahoma" w:cs="Tahoma"/>
                <w:color w:val="000000"/>
                <w:sz w:val="18"/>
                <w:szCs w:val="18"/>
                <w:vertAlign w:val="superscript"/>
                <w:lang w:val="de-DE"/>
              </w:rPr>
              <w:t>1</w:t>
            </w:r>
          </w:p>
        </w:tc>
      </w:tr>
      <w:tr w:rsidR="008D4EE5" w:rsidTr="00A634DA">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D4EE5" w:rsidRPr="009123CB" w:rsidRDefault="008D4EE5" w:rsidP="00965A6F">
            <w:pPr>
              <w:pStyle w:val="tableclose"/>
              <w:spacing w:line="276" w:lineRule="auto"/>
              <w:rPr>
                <w:rFonts w:ascii="Tahoma" w:hAnsi="Tahoma" w:cs="Tahoma"/>
                <w:color w:val="000000"/>
                <w:sz w:val="18"/>
                <w:szCs w:val="18"/>
                <w:lang w:val="de-DE"/>
              </w:rPr>
            </w:pPr>
            <w:r w:rsidRPr="009123CB">
              <w:rPr>
                <w:rFonts w:ascii="Tahoma" w:hAnsi="Tahoma" w:cs="Tahoma"/>
                <w:color w:val="000000"/>
                <w:sz w:val="18"/>
                <w:szCs w:val="18"/>
                <w:lang w:val="de-DE"/>
              </w:rPr>
              <w:t>C Einreichung per Telefon oder</w:t>
            </w:r>
            <w:r w:rsidR="00965A6F">
              <w:rPr>
                <w:rFonts w:ascii="Tahoma" w:hAnsi="Tahoma" w:cs="Tahoma"/>
                <w:color w:val="000000"/>
                <w:sz w:val="18"/>
                <w:szCs w:val="18"/>
                <w:lang w:val="de-DE"/>
              </w:rPr>
              <w:t> </w:t>
            </w:r>
            <w:r w:rsidRPr="009123CB">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8D4EE5" w:rsidRPr="009123CB" w:rsidRDefault="008D4EE5" w:rsidP="00A67771">
            <w:pPr>
              <w:pStyle w:val="ListBullet3"/>
              <w:numPr>
                <w:ilvl w:val="0"/>
                <w:numId w:val="60"/>
              </w:numPr>
              <w:spacing w:line="276" w:lineRule="auto"/>
              <w:rPr>
                <w:lang w:val="de-DE"/>
              </w:rPr>
            </w:pPr>
            <w:r w:rsidRPr="009123CB">
              <w:rPr>
                <w:rFonts w:ascii="Tahoma" w:hAnsi="Tahoma" w:cs="Tahoma"/>
                <w:color w:val="000000"/>
                <w:sz w:val="18"/>
                <w:szCs w:val="18"/>
                <w:lang w:val="de-DE"/>
              </w:rPr>
              <w:t xml:space="preserve">Minimale Auswirkungen auf das Geschäft: </w:t>
            </w:r>
          </w:p>
          <w:p w:rsidR="008D4EE5" w:rsidRPr="009123CB" w:rsidRDefault="008D4EE5" w:rsidP="00A67771">
            <w:pPr>
              <w:pStyle w:val="ListBullet3"/>
              <w:numPr>
                <w:ilvl w:val="0"/>
                <w:numId w:val="60"/>
              </w:numPr>
              <w:spacing w:line="276" w:lineRule="auto"/>
              <w:rPr>
                <w:lang w:val="de-DE"/>
              </w:rPr>
            </w:pPr>
            <w:r w:rsidRPr="009123CB">
              <w:rPr>
                <w:rFonts w:ascii="Tahoma" w:hAnsi="Tahoma" w:cs="Tahoma"/>
                <w:color w:val="000000"/>
                <w:sz w:val="18"/>
                <w:szCs w:val="18"/>
                <w:lang w:val="de-DE"/>
              </w:rPr>
              <w:t>Im Wesentlichen funktionsfähig, mit geringen oder keinen Beeinträchtigungen von Diensten</w:t>
            </w:r>
            <w:r w:rsidR="006257A7">
              <w:rPr>
                <w:rFonts w:ascii="Tahoma" w:hAnsi="Tahoma" w:cs="Tahoma"/>
                <w:color w:val="000000"/>
                <w:sz w:val="18"/>
                <w:szCs w:val="18"/>
                <w:lang w:val="de-DE"/>
              </w:rPr>
              <w:t xml:space="preserve">. </w:t>
            </w:r>
          </w:p>
          <w:p w:rsidR="008D4EE5" w:rsidRPr="008849B7" w:rsidRDefault="008D4EE5" w:rsidP="00A67771">
            <w:pPr>
              <w:pStyle w:val="ListBullet3"/>
              <w:numPr>
                <w:ilvl w:val="0"/>
                <w:numId w:val="60"/>
              </w:numPr>
              <w:spacing w:line="276" w:lineRule="auto"/>
              <w:rPr>
                <w:rFonts w:ascii="Tahoma" w:hAnsi="Tahoma" w:cs="Tahoma"/>
                <w:color w:val="000000"/>
                <w:sz w:val="18"/>
                <w:szCs w:val="18"/>
                <w:lang w:val="de-DE"/>
              </w:rPr>
            </w:pPr>
            <w:r w:rsidRPr="008849B7">
              <w:rPr>
                <w:rFonts w:ascii="Tahoma" w:hAnsi="Tahoma" w:cs="Tahoma"/>
                <w:color w:val="000000"/>
                <w:sz w:val="18"/>
                <w:szCs w:val="18"/>
                <w:lang w:val="de-DE"/>
              </w:rPr>
              <w:t>Bearbeitung innerhalb von 4 Geschäftsstunden erforderlich</w:t>
            </w:r>
            <w:r w:rsidRPr="008849B7">
              <w:rPr>
                <w:rFonts w:ascii="Tahoma" w:hAnsi="Tahoma" w:cs="Tahoma"/>
                <w:color w:val="000000"/>
                <w:sz w:val="18"/>
                <w:szCs w:val="18"/>
                <w:vertAlign w:val="superscript"/>
                <w:lang w:val="de-DE"/>
              </w:rPr>
              <w:t>1</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8D4EE5" w:rsidRPr="008849B7" w:rsidRDefault="008D4EE5" w:rsidP="00A67771">
            <w:pPr>
              <w:pStyle w:val="ListBullet3"/>
              <w:numPr>
                <w:ilvl w:val="0"/>
                <w:numId w:val="61"/>
              </w:numPr>
              <w:spacing w:line="276" w:lineRule="auto"/>
              <w:rPr>
                <w:lang w:val="de-DE"/>
              </w:rPr>
            </w:pPr>
            <w:r w:rsidRPr="008849B7">
              <w:rPr>
                <w:rFonts w:ascii="Tahoma" w:hAnsi="Tahoma" w:cs="Tahoma"/>
                <w:color w:val="000000"/>
                <w:sz w:val="18"/>
                <w:szCs w:val="18"/>
                <w:lang w:val="de-DE"/>
              </w:rPr>
              <w:t>1</w:t>
            </w:r>
            <w:r w:rsidR="006257A7">
              <w:rPr>
                <w:rFonts w:ascii="Tahoma" w:hAnsi="Tahoma" w:cs="Tahoma"/>
                <w:color w:val="000000"/>
                <w:sz w:val="18"/>
                <w:szCs w:val="18"/>
                <w:lang w:val="de-DE"/>
              </w:rPr>
              <w:t xml:space="preserve">. </w:t>
            </w:r>
            <w:r w:rsidRPr="008849B7">
              <w:rPr>
                <w:rFonts w:ascii="Tahoma" w:hAnsi="Tahoma" w:cs="Tahoma"/>
                <w:color w:val="000000"/>
                <w:sz w:val="18"/>
                <w:szCs w:val="18"/>
                <w:lang w:val="de-DE"/>
              </w:rPr>
              <w:t>Reaktion auf Anruf in 4 Stunden oder weniger</w:t>
            </w:r>
          </w:p>
          <w:p w:rsidR="008D4EE5" w:rsidRPr="0062435A" w:rsidRDefault="008D4EE5" w:rsidP="00A67771">
            <w:pPr>
              <w:pStyle w:val="ListBullet3"/>
              <w:numPr>
                <w:ilvl w:val="0"/>
                <w:numId w:val="61"/>
              </w:numPr>
              <w:spacing w:line="276" w:lineRule="auto"/>
            </w:pPr>
            <w:r>
              <w:rPr>
                <w:rFonts w:ascii="Tahoma" w:hAnsi="Tahoma" w:cs="Tahoma"/>
                <w:color w:val="000000"/>
                <w:sz w:val="18"/>
                <w:szCs w:val="18"/>
              </w:rPr>
              <w:t>Bemühungen nur während der Geschäftszeiten</w:t>
            </w:r>
            <w:r>
              <w:rPr>
                <w:rFonts w:ascii="Tahoma" w:hAnsi="Tahoma" w:cs="Tahoma"/>
                <w:color w:val="000000"/>
                <w:sz w:val="18"/>
                <w:szCs w:val="18"/>
                <w:vertAlign w:val="superscript"/>
              </w:rPr>
              <w:t>1</w:t>
            </w:r>
          </w:p>
          <w:p w:rsidR="008D4EE5" w:rsidRDefault="008D4EE5" w:rsidP="00A67771">
            <w:pPr>
              <w:pStyle w:val="tableclose"/>
              <w:spacing w:line="276"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8D4EE5" w:rsidRPr="0062435A" w:rsidRDefault="008D4EE5" w:rsidP="00A634DA">
            <w:pPr>
              <w:pStyle w:val="ListBullet3"/>
              <w:numPr>
                <w:ilvl w:val="0"/>
                <w:numId w:val="62"/>
              </w:numPr>
              <w:spacing w:line="276" w:lineRule="auto"/>
            </w:pPr>
            <w:r>
              <w:rPr>
                <w:rFonts w:ascii="Tahoma" w:hAnsi="Tahoma" w:cs="Tahoma"/>
                <w:color w:val="000000"/>
                <w:sz w:val="18"/>
                <w:szCs w:val="18"/>
              </w:rPr>
              <w:t>Genaue Kontaktinformationen zum</w:t>
            </w:r>
            <w:r w:rsidR="00A634DA">
              <w:rPr>
                <w:rFonts w:ascii="Tahoma" w:hAnsi="Tahoma" w:cs="Tahoma"/>
                <w:color w:val="000000"/>
                <w:sz w:val="18"/>
                <w:szCs w:val="18"/>
              </w:rPr>
              <w:t> </w:t>
            </w:r>
            <w:r>
              <w:rPr>
                <w:rFonts w:ascii="Tahoma" w:hAnsi="Tahoma" w:cs="Tahoma"/>
                <w:color w:val="000000"/>
                <w:sz w:val="18"/>
                <w:szCs w:val="18"/>
              </w:rPr>
              <w:t>Fallinhaber</w:t>
            </w:r>
          </w:p>
          <w:p w:rsidR="008D4EE5" w:rsidRDefault="008D4EE5" w:rsidP="00A634DA">
            <w:pPr>
              <w:pStyle w:val="ListBullet3"/>
              <w:numPr>
                <w:ilvl w:val="0"/>
                <w:numId w:val="62"/>
              </w:numPr>
              <w:spacing w:line="276" w:lineRule="auto"/>
              <w:rPr>
                <w:rFonts w:ascii="Tahoma" w:hAnsi="Tahoma" w:cs="Tahoma"/>
                <w:color w:val="000000"/>
                <w:sz w:val="18"/>
                <w:szCs w:val="18"/>
              </w:rPr>
            </w:pPr>
            <w:r>
              <w:rPr>
                <w:rFonts w:ascii="Tahoma" w:hAnsi="Tahoma" w:cs="Tahoma"/>
                <w:color w:val="000000"/>
                <w:sz w:val="18"/>
                <w:szCs w:val="18"/>
              </w:rPr>
              <w:t>Reaktion innerhalb von 24</w:t>
            </w:r>
            <w:r w:rsidR="00A634DA">
              <w:rPr>
                <w:rFonts w:ascii="Tahoma" w:hAnsi="Tahoma" w:cs="Tahoma"/>
                <w:color w:val="000000"/>
                <w:sz w:val="18"/>
                <w:szCs w:val="18"/>
              </w:rPr>
              <w:t> </w:t>
            </w:r>
            <w:r>
              <w:rPr>
                <w:rFonts w:ascii="Tahoma" w:hAnsi="Tahoma" w:cs="Tahoma"/>
                <w:color w:val="000000"/>
                <w:sz w:val="18"/>
                <w:szCs w:val="18"/>
              </w:rPr>
              <w:t>Stunden</w:t>
            </w:r>
            <w:r w:rsidR="006257A7">
              <w:rPr>
                <w:rFonts w:ascii="Tahoma" w:hAnsi="Tahoma" w:cs="Tahoma"/>
                <w:color w:val="000000"/>
                <w:sz w:val="18"/>
                <w:szCs w:val="18"/>
              </w:rPr>
              <w:t xml:space="preserve">. </w:t>
            </w:r>
          </w:p>
        </w:tc>
      </w:tr>
    </w:tbl>
    <w:p w:rsidR="008D4EE5" w:rsidRPr="008849B7" w:rsidRDefault="008D4EE5" w:rsidP="008D4EE5">
      <w:pPr>
        <w:pStyle w:val="tableclose"/>
        <w:rPr>
          <w:lang w:val="de-DE"/>
        </w:rPr>
      </w:pPr>
      <w:r w:rsidRPr="008849B7">
        <w:rPr>
          <w:rFonts w:ascii="Tahoma" w:hAnsi="Tahoma" w:cs="Tahoma"/>
          <w:i/>
          <w:color w:val="000000"/>
          <w:sz w:val="16"/>
          <w:szCs w:val="16"/>
          <w:vertAlign w:val="superscript"/>
          <w:lang w:val="de-DE"/>
        </w:rPr>
        <w:t>1</w:t>
      </w:r>
      <w:r w:rsidRPr="008849B7">
        <w:rPr>
          <w:rFonts w:ascii="Tahoma" w:hAnsi="Tahoma" w:cs="Tahoma"/>
          <w:i/>
          <w:color w:val="000000"/>
          <w:sz w:val="16"/>
          <w:szCs w:val="16"/>
          <w:lang w:val="de-DE"/>
        </w:rPr>
        <w:t xml:space="preserve"> Die Geschäftszeiten sind lokal festgelegt</w:t>
      </w:r>
      <w:r w:rsidR="006257A7">
        <w:rPr>
          <w:rFonts w:ascii="Tahoma" w:hAnsi="Tahoma" w:cs="Tahoma"/>
          <w:i/>
          <w:color w:val="000000"/>
          <w:sz w:val="16"/>
          <w:szCs w:val="16"/>
          <w:lang w:val="de-DE"/>
        </w:rPr>
        <w:t xml:space="preserve">. </w:t>
      </w:r>
    </w:p>
    <w:p w:rsidR="008D4EE5" w:rsidRPr="008849B7" w:rsidRDefault="008D4EE5" w:rsidP="008D4EE5">
      <w:pPr>
        <w:pStyle w:val="tableclose"/>
        <w:rPr>
          <w:lang w:val="de-DE"/>
        </w:rPr>
      </w:pPr>
      <w:r w:rsidRPr="008849B7">
        <w:rPr>
          <w:rFonts w:ascii="Tahoma" w:hAnsi="Tahoma" w:cs="Tahoma"/>
          <w:i/>
          <w:color w:val="000000"/>
          <w:sz w:val="16"/>
          <w:szCs w:val="16"/>
          <w:vertAlign w:val="superscript"/>
          <w:lang w:val="de-DE"/>
        </w:rPr>
        <w:t>2</w:t>
      </w:r>
      <w:r w:rsidRPr="008849B7">
        <w:rPr>
          <w:rFonts w:ascii="Tahoma" w:hAnsi="Tahoma" w:cs="Tahoma"/>
          <w:i/>
          <w:color w:val="000000"/>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r w:rsidR="006257A7">
        <w:rPr>
          <w:rFonts w:ascii="Tahoma" w:hAnsi="Tahoma" w:cs="Tahoma"/>
          <w:i/>
          <w:color w:val="000000"/>
          <w:sz w:val="16"/>
          <w:szCs w:val="16"/>
          <w:lang w:val="de-DE"/>
        </w:rPr>
        <w:t xml:space="preserve">. </w:t>
      </w:r>
    </w:p>
    <w:p w:rsidR="008D4EE5" w:rsidRPr="008849B7" w:rsidRDefault="008D4EE5" w:rsidP="008D4EE5">
      <w:pPr>
        <w:rPr>
          <w:lang w:val="de-DE"/>
        </w:rPr>
      </w:pPr>
    </w:p>
    <w:p w:rsidR="008D4EE5" w:rsidRPr="008849B7" w:rsidRDefault="008D4EE5" w:rsidP="008D4EE5">
      <w:pPr>
        <w:spacing w:after="120"/>
        <w:rPr>
          <w:lang w:val="de-DE"/>
        </w:rPr>
      </w:pPr>
      <w:r w:rsidRPr="008849B7">
        <w:rPr>
          <w:rFonts w:cs="Tahoma"/>
          <w:b/>
          <w:bCs/>
          <w:color w:val="000000"/>
          <w:szCs w:val="18"/>
          <w:lang w:val="de-DE"/>
        </w:rPr>
        <w:t>Informationsdienste</w:t>
      </w:r>
      <w:r w:rsidRPr="008849B7">
        <w:rPr>
          <w:rFonts w:cs="Tahoma"/>
          <w:color w:val="000000"/>
          <w:szCs w:val="18"/>
          <w:lang w:val="de-DE"/>
        </w:rPr>
        <w:t xml:space="preserve"> umfassen den Zugang zur Premier-Onlinewebsite sowie regelmäßige geplante Supportwebcasts, die von Programmmanagern, Entwicklern und Fachleuten von Microsoft geleitet werden und wichtige Informationen zu Microsoft-Technologien bieten</w:t>
      </w:r>
      <w:r w:rsidR="006257A7">
        <w:rPr>
          <w:rFonts w:cs="Tahoma"/>
          <w:color w:val="000000"/>
          <w:szCs w:val="18"/>
          <w:lang w:val="de-DE"/>
        </w:rPr>
        <w:t xml:space="preserve">. </w:t>
      </w:r>
    </w:p>
    <w:p w:rsidR="008D4EE5" w:rsidRPr="008849B7" w:rsidRDefault="008D4EE5" w:rsidP="008D4EE5">
      <w:pPr>
        <w:rPr>
          <w:lang w:val="de-DE"/>
        </w:rPr>
      </w:pPr>
      <w:r w:rsidRPr="008849B7">
        <w:rPr>
          <w:rFonts w:cs="Tahoma"/>
          <w:b/>
          <w:bCs/>
          <w:color w:val="000000"/>
          <w:szCs w:val="18"/>
          <w:lang w:val="de-DE"/>
        </w:rPr>
        <w:t xml:space="preserve">Zusätzliche Stunden </w:t>
      </w:r>
      <w:r w:rsidRPr="008849B7">
        <w:rPr>
          <w:rFonts w:cs="Tahoma"/>
          <w:color w:val="000000"/>
          <w:szCs w:val="18"/>
          <w:lang w:val="de-DE"/>
        </w:rPr>
        <w:t>können für Supportunterstützung oder Problembehebungssupport verwendet werden</w:t>
      </w:r>
      <w:r w:rsidR="006257A7">
        <w:rPr>
          <w:rFonts w:cs="Tahoma"/>
          <w:color w:val="000000"/>
          <w:szCs w:val="18"/>
          <w:lang w:val="de-DE"/>
        </w:rPr>
        <w:t xml:space="preserve">. </w:t>
      </w:r>
    </w:p>
    <w:p w:rsidR="008D4EE5" w:rsidRPr="008849B7" w:rsidRDefault="008D4EE5" w:rsidP="008D4EE5">
      <w:pPr>
        <w:jc w:val="both"/>
        <w:rPr>
          <w:lang w:val="de-DE"/>
        </w:rPr>
      </w:pPr>
    </w:p>
    <w:p w:rsidR="008D4EE5" w:rsidRPr="009123CB" w:rsidRDefault="008D4EE5" w:rsidP="008D4EE5">
      <w:pPr>
        <w:spacing w:after="60"/>
        <w:rPr>
          <w:lang w:val="de-DE"/>
        </w:rPr>
      </w:pPr>
      <w:r w:rsidRPr="009123CB">
        <w:rPr>
          <w:rFonts w:cs="Tahoma"/>
          <w:b/>
          <w:bCs/>
          <w:color w:val="000000"/>
          <w:szCs w:val="18"/>
          <w:lang w:val="de-DE"/>
        </w:rPr>
        <w:t>Weitere Geschäftsregeln</w:t>
      </w:r>
    </w:p>
    <w:p w:rsidR="008D4EE5" w:rsidRPr="009123CB" w:rsidRDefault="008D4EE5" w:rsidP="00801007">
      <w:pPr>
        <w:rPr>
          <w:lang w:val="de-DE"/>
        </w:rPr>
      </w:pPr>
      <w:r w:rsidRPr="009123CB">
        <w:rPr>
          <w:rFonts w:cs="Tahoma"/>
          <w:color w:val="000000"/>
          <w:szCs w:val="18"/>
          <w:lang w:val="de-DE"/>
        </w:rPr>
        <w:t>Alle Services stellen Support für kommerziell freigegebene, allgemein verfügbare Microsoft-Produkte bereit (sofern sie</w:t>
      </w:r>
      <w:r w:rsidR="00801007">
        <w:rPr>
          <w:rFonts w:cs="Tahoma"/>
          <w:color w:val="000000"/>
          <w:szCs w:val="18"/>
          <w:lang w:val="de-DE"/>
        </w:rPr>
        <w:t> </w:t>
      </w:r>
      <w:r w:rsidRPr="009123CB">
        <w:rPr>
          <w:rFonts w:cs="Tahoma"/>
          <w:color w:val="000000"/>
          <w:szCs w:val="18"/>
          <w:lang w:val="de-DE"/>
        </w:rPr>
        <w:t>nicht auf der Premier-Onlinewebsite oder der Supportlebenszyklus-Website von Microsoft ausdrücklich ausgeschlossen sind)</w:t>
      </w:r>
      <w:r w:rsidR="006257A7">
        <w:rPr>
          <w:rFonts w:cs="Tahoma"/>
          <w:color w:val="000000"/>
          <w:szCs w:val="18"/>
          <w:lang w:val="de-DE"/>
        </w:rPr>
        <w:t xml:space="preserve">. </w:t>
      </w:r>
      <w:r w:rsidRPr="009123CB">
        <w:rPr>
          <w:rFonts w:cs="Tahoma"/>
          <w:color w:val="000000"/>
          <w:szCs w:val="18"/>
          <w:lang w:val="de-DE"/>
        </w:rPr>
        <w:t>Die Services werden im Allgemeinen stündlich abgerechnet und durch Fernübermittlung in englischer Sprache bereitgestellt (außer eine andere Sprache ist verfügbar)</w:t>
      </w:r>
      <w:r w:rsidR="006257A7">
        <w:rPr>
          <w:rFonts w:cs="Tahoma"/>
          <w:color w:val="000000"/>
          <w:szCs w:val="18"/>
          <w:lang w:val="de-DE"/>
        </w:rPr>
        <w:t xml:space="preserve">. </w:t>
      </w:r>
      <w:r w:rsidRPr="009123CB">
        <w:rPr>
          <w:rFonts w:cs="Tahoma"/>
          <w:color w:val="000000"/>
          <w:szCs w:val="18"/>
          <w:lang w:val="de-DE"/>
        </w:rPr>
        <w:t>Sie werden in dem Land erbracht, in dem der Volumenlizenzvertrag unterzeichnet wurde</w:t>
      </w:r>
      <w:r w:rsidR="006257A7">
        <w:rPr>
          <w:rFonts w:cs="Tahoma"/>
          <w:color w:val="000000"/>
          <w:szCs w:val="18"/>
          <w:lang w:val="de-DE"/>
        </w:rPr>
        <w:t xml:space="preserve">. </w:t>
      </w:r>
      <w:r w:rsidRPr="009123CB">
        <w:rPr>
          <w:rFonts w:cs="Tahoma"/>
          <w:color w:val="000000"/>
          <w:szCs w:val="18"/>
          <w:lang w:val="de-DE"/>
        </w:rPr>
        <w:t>Besuche vor Ort sind nicht vorausbezahlt und können nur erfolgen, wenn die entsprechenden Ressourcen verfügbar sind</w:t>
      </w:r>
      <w:r w:rsidR="006257A7">
        <w:rPr>
          <w:rFonts w:cs="Tahoma"/>
          <w:color w:val="000000"/>
          <w:szCs w:val="18"/>
          <w:lang w:val="de-DE"/>
        </w:rPr>
        <w:t xml:space="preserve">. </w:t>
      </w:r>
      <w:r w:rsidRPr="009123CB">
        <w:rPr>
          <w:rFonts w:cs="Tahoma"/>
          <w:color w:val="000000"/>
          <w:szCs w:val="18"/>
          <w:lang w:val="de-DE"/>
        </w:rPr>
        <w:t>Services, die während eines Jahres nicht genutzt werden, verfallen</w:t>
      </w:r>
      <w:r w:rsidR="006257A7">
        <w:rPr>
          <w:rFonts w:cs="Tahoma"/>
          <w:color w:val="000000"/>
          <w:szCs w:val="18"/>
          <w:lang w:val="de-DE"/>
        </w:rPr>
        <w:t xml:space="preserve">. </w:t>
      </w:r>
      <w:r w:rsidRPr="009123CB">
        <w:rPr>
          <w:rFonts w:cs="Tahoma"/>
          <w:color w:val="000000"/>
          <w:szCs w:val="18"/>
          <w:lang w:val="de-DE"/>
        </w:rPr>
        <w:t>Auf Anfrage des Kunden können wir über eine DFÜ-Remoteverbindung auf sein System zugreifen, um Probleme zu analysieren</w:t>
      </w:r>
      <w:r w:rsidR="006257A7">
        <w:rPr>
          <w:rFonts w:cs="Tahoma"/>
          <w:color w:val="000000"/>
          <w:szCs w:val="18"/>
          <w:lang w:val="de-DE"/>
        </w:rPr>
        <w:t xml:space="preserve">. </w:t>
      </w:r>
      <w:r w:rsidRPr="009123CB">
        <w:rPr>
          <w:rFonts w:cs="Tahoma"/>
          <w:color w:val="000000"/>
          <w:szCs w:val="18"/>
          <w:lang w:val="de-DE"/>
        </w:rPr>
        <w:t>Der Kunde muss über einen Zugriff auf das Internet verfügen, um internetbasierte Dienste nutzen zu können</w:t>
      </w:r>
      <w:r w:rsidR="006257A7">
        <w:rPr>
          <w:rFonts w:cs="Tahoma"/>
          <w:color w:val="000000"/>
          <w:szCs w:val="18"/>
          <w:lang w:val="de-DE"/>
        </w:rPr>
        <w:t xml:space="preserve">. </w:t>
      </w:r>
    </w:p>
    <w:p w:rsidR="008D4EE5" w:rsidRPr="009123CB" w:rsidRDefault="008D4EE5" w:rsidP="008D4EE5">
      <w:pPr>
        <w:jc w:val="both"/>
        <w:rPr>
          <w:lang w:val="de-DE"/>
        </w:rPr>
      </w:pPr>
    </w:p>
    <w:p w:rsidR="008D4EE5" w:rsidRPr="009123CB" w:rsidRDefault="008D4EE5" w:rsidP="008D4EE5">
      <w:pPr>
        <w:rPr>
          <w:lang w:val="de-DE"/>
        </w:rPr>
      </w:pPr>
      <w:r w:rsidRPr="009123CB">
        <w:rPr>
          <w:b/>
          <w:sz w:val="24"/>
          <w:szCs w:val="24"/>
          <w:lang w:val="de-DE"/>
        </w:rPr>
        <w:t>Microsoft Windows Azure-Supportangebote</w:t>
      </w:r>
    </w:p>
    <w:p w:rsidR="008D4EE5" w:rsidRPr="009123CB" w:rsidRDefault="008D4EE5" w:rsidP="008D4EE5">
      <w:pPr>
        <w:rPr>
          <w:lang w:val="de-DE"/>
        </w:rPr>
      </w:pPr>
    </w:p>
    <w:p w:rsidR="008D4EE5" w:rsidRPr="009123CB" w:rsidRDefault="008D4EE5" w:rsidP="008D4EE5">
      <w:pPr>
        <w:jc w:val="both"/>
        <w:rPr>
          <w:lang w:val="de-DE"/>
        </w:rPr>
      </w:pPr>
      <w:r w:rsidRPr="009123CB">
        <w:rPr>
          <w:rFonts w:cs="Arial"/>
          <w:color w:val="000000"/>
          <w:szCs w:val="18"/>
          <w:lang w:val="de-DE"/>
        </w:rPr>
        <w:t>Sofern unten nichts anderes dargelegt ist, sind die Windows Azure-Supportservices für Windows Azure verfügbar</w:t>
      </w:r>
      <w:r w:rsidR="006257A7">
        <w:rPr>
          <w:rFonts w:cs="Arial"/>
          <w:color w:val="000000"/>
          <w:szCs w:val="18"/>
          <w:lang w:val="de-DE"/>
        </w:rPr>
        <w:t xml:space="preserve">. </w:t>
      </w:r>
    </w:p>
    <w:p w:rsidR="008D4EE5" w:rsidRPr="009123CB" w:rsidRDefault="008D4EE5" w:rsidP="008D4EE5">
      <w:pPr>
        <w:tabs>
          <w:tab w:val="left" w:pos="360"/>
        </w:tabs>
        <w:jc w:val="both"/>
        <w:rPr>
          <w:lang w:val="de-DE"/>
        </w:rPr>
      </w:pPr>
    </w:p>
    <w:p w:rsidR="008D4EE5" w:rsidRPr="009123CB" w:rsidRDefault="008D4EE5" w:rsidP="008D4EE5">
      <w:pPr>
        <w:tabs>
          <w:tab w:val="left" w:pos="360"/>
        </w:tabs>
        <w:jc w:val="both"/>
        <w:rPr>
          <w:lang w:val="de-DE"/>
        </w:rPr>
      </w:pPr>
      <w:r w:rsidRPr="009123CB">
        <w:rPr>
          <w:rFonts w:cs="Arial"/>
          <w:szCs w:val="18"/>
          <w:lang w:val="de-DE"/>
        </w:rPr>
        <w:t>Die Services werden vom Windows Azure-Supportteam erbracht, das aus Windows Azure-Experten besteht, die Supportanfragen von Kunden zu Windows Azure bearbeiten</w:t>
      </w:r>
      <w:r w:rsidR="006257A7">
        <w:rPr>
          <w:rFonts w:cs="Arial"/>
          <w:snapToGrid w:val="0"/>
          <w:szCs w:val="18"/>
          <w:lang w:val="de-DE"/>
        </w:rPr>
        <w:t xml:space="preserve">. </w:t>
      </w:r>
      <w:r w:rsidRPr="009123CB">
        <w:rPr>
          <w:rFonts w:cs="Arial"/>
          <w:snapToGrid w:val="0"/>
          <w:szCs w:val="18"/>
          <w:lang w:val="de-DE"/>
        </w:rPr>
        <w:t xml:space="preserve">Kunden erhalten einen verbesserten </w:t>
      </w:r>
      <w:r w:rsidRPr="009123CB">
        <w:rPr>
          <w:rFonts w:cs="Arial"/>
          <w:szCs w:val="18"/>
          <w:lang w:val="de-DE"/>
        </w:rPr>
        <w:t>Support, der 24 Stunden/Tag an 7 Tagen/Woche ausschließlich in englischer Sprache verfügbar ist</w:t>
      </w:r>
      <w:r w:rsidR="006257A7">
        <w:rPr>
          <w:rFonts w:cs="Arial"/>
          <w:szCs w:val="18"/>
          <w:lang w:val="de-DE"/>
        </w:rPr>
        <w:t xml:space="preserve">. </w:t>
      </w:r>
      <w:r w:rsidRPr="009123CB">
        <w:rPr>
          <w:rFonts w:cs="Arial"/>
          <w:szCs w:val="18"/>
          <w:lang w:val="de-DE"/>
        </w:rPr>
        <w:t>Support in anderen Sprachen (</w:t>
      </w:r>
      <w:hyperlink r:id="rId30" w:history="1">
        <w:r w:rsidR="00E869D6" w:rsidRPr="00420E1C">
          <w:rPr>
            <w:rStyle w:val="Hyperlink"/>
            <w:szCs w:val="18"/>
            <w:lang w:val="de-DE"/>
          </w:rPr>
          <w:t>www.windowsazure.com/en-us/support/plans/</w:t>
        </w:r>
      </w:hyperlink>
      <w:r w:rsidRPr="009123CB">
        <w:rPr>
          <w:rFonts w:cs="Arial"/>
          <w:szCs w:val="18"/>
          <w:lang w:val="de-DE"/>
        </w:rPr>
        <w:t>) steht nur während der Geschäftszeiten zur Verfügung</w:t>
      </w:r>
      <w:r w:rsidR="006257A7">
        <w:rPr>
          <w:rFonts w:cs="Arial"/>
          <w:szCs w:val="18"/>
          <w:lang w:val="de-DE"/>
        </w:rPr>
        <w:t xml:space="preserve">. . </w:t>
      </w:r>
    </w:p>
    <w:p w:rsidR="008D4EE5" w:rsidRPr="009123CB" w:rsidRDefault="008D4EE5" w:rsidP="008D4EE5">
      <w:pPr>
        <w:tabs>
          <w:tab w:val="left" w:pos="360"/>
        </w:tabs>
        <w:jc w:val="both"/>
        <w:rPr>
          <w:lang w:val="de-DE"/>
        </w:rPr>
      </w:pPr>
    </w:p>
    <w:p w:rsidR="008D4EE5" w:rsidRPr="008849B7" w:rsidRDefault="008D4EE5" w:rsidP="00801007">
      <w:pPr>
        <w:tabs>
          <w:tab w:val="left" w:pos="360"/>
        </w:tabs>
        <w:jc w:val="both"/>
        <w:rPr>
          <w:lang w:val="de-DE"/>
        </w:rPr>
      </w:pPr>
      <w:r w:rsidRPr="009123CB">
        <w:rPr>
          <w:rFonts w:cs="Arial"/>
          <w:szCs w:val="18"/>
          <w:lang w:val="de-DE"/>
        </w:rPr>
        <w:t>„Fall“ ist eine unterstützte Break-Fix-Supportanfrage für ein Einzelnes Supportproblem</w:t>
      </w:r>
      <w:r w:rsidR="006257A7">
        <w:rPr>
          <w:rFonts w:cs="Arial"/>
          <w:szCs w:val="18"/>
          <w:lang w:val="de-DE"/>
        </w:rPr>
        <w:t xml:space="preserve">. </w:t>
      </w:r>
      <w:r w:rsidRPr="008849B7">
        <w:rPr>
          <w:rFonts w:cs="Arial"/>
          <w:szCs w:val="18"/>
          <w:lang w:val="de-DE"/>
        </w:rPr>
        <w:t>Ein „Einzelnes Supportproblem“ ist ein Problem, das nicht in untergeordnete Probleme aufgeteilt werden kann</w:t>
      </w:r>
      <w:r w:rsidR="006257A7">
        <w:rPr>
          <w:rFonts w:cs="Arial"/>
          <w:szCs w:val="18"/>
          <w:lang w:val="de-DE"/>
        </w:rPr>
        <w:t xml:space="preserve">. </w:t>
      </w:r>
      <w:r w:rsidRPr="008849B7">
        <w:rPr>
          <w:rFonts w:cs="Arial"/>
          <w:szCs w:val="18"/>
          <w:lang w:val="de-DE"/>
        </w:rPr>
        <w:t>Wenn ein Problem aus untergeordneten Problemen besteht, wird jedes von ihnen als separater Fall betrachtet</w:t>
      </w:r>
      <w:r w:rsidR="006257A7">
        <w:rPr>
          <w:rFonts w:cs="Arial"/>
          <w:szCs w:val="18"/>
          <w:lang w:val="de-DE"/>
        </w:rPr>
        <w:t xml:space="preserve">. </w:t>
      </w:r>
      <w:r w:rsidRPr="008849B7">
        <w:rPr>
          <w:rFonts w:cs="Arial"/>
          <w:szCs w:val="18"/>
          <w:lang w:val="de-DE"/>
        </w:rPr>
        <w:t>Fälle umfassen den</w:t>
      </w:r>
      <w:r w:rsidR="00801007">
        <w:rPr>
          <w:rFonts w:cs="Arial"/>
          <w:szCs w:val="18"/>
          <w:lang w:val="de-DE"/>
        </w:rPr>
        <w:t> </w:t>
      </w:r>
      <w:r w:rsidRPr="008849B7">
        <w:rPr>
          <w:rFonts w:cs="Arial"/>
          <w:szCs w:val="18"/>
          <w:lang w:val="de-DE"/>
        </w:rPr>
        <w:t>wirtschaftlich angemessenen Serviceumfang, der für die Problembehandlung und Hilfe bei der Behebung</w:t>
      </w:r>
      <w:r w:rsidR="00801007">
        <w:rPr>
          <w:rFonts w:cs="Arial"/>
          <w:szCs w:val="18"/>
          <w:lang w:val="de-DE"/>
        </w:rPr>
        <w:t> </w:t>
      </w:r>
      <w:r w:rsidRPr="008849B7">
        <w:rPr>
          <w:rFonts w:cs="Arial"/>
          <w:szCs w:val="18"/>
          <w:lang w:val="de-DE"/>
        </w:rPr>
        <w:t>des</w:t>
      </w:r>
      <w:r w:rsidR="00801007">
        <w:rPr>
          <w:rFonts w:cs="Arial"/>
          <w:szCs w:val="18"/>
          <w:lang w:val="de-DE"/>
        </w:rPr>
        <w:t> </w:t>
      </w:r>
      <w:r w:rsidRPr="008849B7">
        <w:rPr>
          <w:rFonts w:cs="Arial"/>
          <w:szCs w:val="18"/>
          <w:lang w:val="de-DE"/>
        </w:rPr>
        <w:t>Supportproblems notwendig ist</w:t>
      </w:r>
      <w:r w:rsidR="006257A7">
        <w:rPr>
          <w:rFonts w:cs="Arial"/>
          <w:szCs w:val="18"/>
          <w:lang w:val="de-DE"/>
        </w:rPr>
        <w:t xml:space="preserve">. </w:t>
      </w:r>
      <w:r w:rsidRPr="008849B7">
        <w:rPr>
          <w:rFonts w:cs="Arial"/>
          <w:szCs w:val="18"/>
          <w:lang w:val="de-DE"/>
        </w:rPr>
        <w:t xml:space="preserve">Fälle können über die unterstützte Online-Supportwebsite unter </w:t>
      </w:r>
      <w:hyperlink r:id="rId31" w:history="1">
        <w:r w:rsidR="00801007" w:rsidRPr="006C7619">
          <w:rPr>
            <w:rStyle w:val="Hyperlink"/>
            <w:rFonts w:cs="Arial"/>
            <w:szCs w:val="18"/>
            <w:lang w:val="de-DE"/>
          </w:rPr>
          <w:t>www.windowsazure.com</w:t>
        </w:r>
      </w:hyperlink>
      <w:r w:rsidRPr="008849B7">
        <w:rPr>
          <w:rFonts w:cs="Arial"/>
          <w:szCs w:val="18"/>
          <w:lang w:val="de-DE"/>
        </w:rPr>
        <w:t xml:space="preserve"> eingereicht werden</w:t>
      </w:r>
      <w:r w:rsidR="006257A7">
        <w:rPr>
          <w:rFonts w:cs="Arial"/>
          <w:szCs w:val="18"/>
          <w:lang w:val="de-DE"/>
        </w:rPr>
        <w:t xml:space="preserve">. </w:t>
      </w:r>
    </w:p>
    <w:p w:rsidR="008D4EE5" w:rsidRPr="008849B7" w:rsidRDefault="008D4EE5" w:rsidP="008D4EE5">
      <w:pPr>
        <w:tabs>
          <w:tab w:val="left" w:pos="360"/>
        </w:tabs>
        <w:jc w:val="both"/>
        <w:rPr>
          <w:lang w:val="de-DE"/>
        </w:rPr>
      </w:pPr>
    </w:p>
    <w:p w:rsidR="008D4EE5" w:rsidRPr="009123CB" w:rsidRDefault="008D4EE5" w:rsidP="008D4EE5">
      <w:pPr>
        <w:tabs>
          <w:tab w:val="left" w:pos="360"/>
        </w:tabs>
        <w:jc w:val="both"/>
        <w:rPr>
          <w:lang w:val="de-DE"/>
        </w:rPr>
      </w:pPr>
      <w:r w:rsidRPr="009123CB">
        <w:rPr>
          <w:rFonts w:cs="Arial"/>
          <w:szCs w:val="18"/>
          <w:lang w:val="de-DE"/>
        </w:rPr>
        <w:t>Soweit nichts anderes zwischen einem Kunden und Microsoft schriftlich vereinbart wurde, werden die Services in englischer Sprache erbracht</w:t>
      </w:r>
      <w:r w:rsidR="006257A7">
        <w:rPr>
          <w:rFonts w:cs="Arial"/>
          <w:szCs w:val="18"/>
          <w:lang w:val="de-DE"/>
        </w:rPr>
        <w:t xml:space="preserve">. </w:t>
      </w:r>
      <w:r w:rsidRPr="009123CB">
        <w:rPr>
          <w:rFonts w:cs="Arial"/>
          <w:szCs w:val="18"/>
          <w:lang w:val="de-DE"/>
        </w:rPr>
        <w:t>Zusätzliche Services, darunter technische Supportservices, sind möglicherweise in Übereinstimmung mit einem separaten Vertrag, der zwischen den Parteien geschlossen wird, für Windows Azure verfügbar</w:t>
      </w:r>
      <w:r w:rsidR="006257A7">
        <w:rPr>
          <w:rFonts w:cs="Arial"/>
          <w:szCs w:val="18"/>
          <w:lang w:val="de-DE"/>
        </w:rPr>
        <w:t xml:space="preserve">. </w:t>
      </w:r>
      <w:r w:rsidRPr="009123CB">
        <w:rPr>
          <w:rFonts w:cs="Arial"/>
          <w:szCs w:val="18"/>
          <w:lang w:val="de-DE"/>
        </w:rPr>
        <w:t>Diese zusätzlichen Services unterliegen den Bestimmungen dieses separaten Vertrages</w:t>
      </w:r>
      <w:r w:rsidR="006257A7">
        <w:rPr>
          <w:rFonts w:cs="Arial"/>
          <w:szCs w:val="18"/>
          <w:lang w:val="de-DE"/>
        </w:rPr>
        <w:t xml:space="preserve">. </w:t>
      </w:r>
    </w:p>
    <w:p w:rsidR="008D4EE5" w:rsidRDefault="008D4EE5" w:rsidP="008D4EE5">
      <w:pPr>
        <w:pStyle w:val="normal1"/>
        <w:jc w:val="both"/>
        <w:rPr>
          <w:lang w:val="de-DE"/>
        </w:rPr>
      </w:pPr>
    </w:p>
    <w:p w:rsidR="00A634DA" w:rsidRDefault="00A634DA" w:rsidP="008D4EE5">
      <w:pPr>
        <w:pStyle w:val="normal1"/>
        <w:jc w:val="both"/>
        <w:rPr>
          <w:lang w:val="de-DE"/>
        </w:rPr>
      </w:pPr>
    </w:p>
    <w:p w:rsidR="00A634DA" w:rsidRPr="009123CB" w:rsidRDefault="00A634DA" w:rsidP="008D4EE5">
      <w:pPr>
        <w:pStyle w:val="normal1"/>
        <w:jc w:val="both"/>
        <w:rPr>
          <w:lang w:val="de-DE"/>
        </w:rPr>
      </w:pPr>
    </w:p>
    <w:p w:rsidR="008D4EE5" w:rsidRPr="006257A7" w:rsidRDefault="008D4EE5" w:rsidP="008D4EE5">
      <w:pPr>
        <w:widowControl w:val="0"/>
        <w:tabs>
          <w:tab w:val="left" w:pos="720"/>
          <w:tab w:val="left" w:pos="1170"/>
        </w:tabs>
        <w:rPr>
          <w:rFonts w:cs="Arial"/>
          <w:b/>
          <w:bCs/>
          <w:sz w:val="24"/>
          <w:szCs w:val="18"/>
          <w:lang w:val="de-DE"/>
        </w:rPr>
      </w:pPr>
      <w:r w:rsidRPr="006257A7">
        <w:rPr>
          <w:rFonts w:cs="Arial"/>
          <w:b/>
          <w:bCs/>
          <w:sz w:val="24"/>
          <w:szCs w:val="18"/>
          <w:lang w:val="de-DE"/>
        </w:rPr>
        <w:t>Professional Direct Support for Windows Azure</w:t>
      </w:r>
    </w:p>
    <w:p w:rsidR="00A634DA" w:rsidRPr="006257A7" w:rsidRDefault="00A634DA" w:rsidP="00A634DA">
      <w:pPr>
        <w:widowControl w:val="0"/>
        <w:tabs>
          <w:tab w:val="left" w:pos="720"/>
          <w:tab w:val="left" w:pos="1170"/>
        </w:tabs>
        <w:spacing w:line="100" w:lineRule="exact"/>
        <w:rPr>
          <w:sz w:val="16"/>
          <w:szCs w:val="16"/>
          <w:lang w:val="de-DE"/>
        </w:rPr>
      </w:pPr>
    </w:p>
    <w:p w:rsidR="008D4EE5" w:rsidRPr="009123CB" w:rsidRDefault="008D4EE5" w:rsidP="008D4EE5">
      <w:pPr>
        <w:tabs>
          <w:tab w:val="left" w:pos="360"/>
        </w:tabs>
        <w:jc w:val="both"/>
        <w:rPr>
          <w:lang w:val="de-DE"/>
        </w:rPr>
      </w:pPr>
      <w:r w:rsidRPr="009123CB">
        <w:rPr>
          <w:rFonts w:cs="Arial"/>
          <w:color w:val="000000"/>
          <w:szCs w:val="18"/>
          <w:lang w:val="de-DE"/>
        </w:rPr>
        <w:t>Die Kunden sind dafür verantwortlich, den anfänglichen Schweregrad im Rahmen des Web-Übermittlungsverfahrens und gemäß den nachfolgend aufgeführten Richtlinien zum Schweregrad festzulegen</w:t>
      </w:r>
      <w:r w:rsidR="006257A7">
        <w:rPr>
          <w:rFonts w:cs="Arial"/>
          <w:color w:val="000000"/>
          <w:szCs w:val="18"/>
          <w:lang w:val="de-DE"/>
        </w:rPr>
        <w:t xml:space="preserve">. </w:t>
      </w:r>
      <w:r w:rsidRPr="009123CB">
        <w:rPr>
          <w:rFonts w:cs="Arial"/>
          <w:color w:val="000000"/>
          <w:szCs w:val="18"/>
          <w:lang w:val="de-DE"/>
        </w:rPr>
        <w:t>Microsoft ist dazu berechtigt, den Schweregrad herunterzustufen, u</w:t>
      </w:r>
      <w:r w:rsidR="006257A7">
        <w:rPr>
          <w:rFonts w:cs="Arial"/>
          <w:color w:val="000000"/>
          <w:szCs w:val="18"/>
          <w:lang w:val="de-DE"/>
        </w:rPr>
        <w:t xml:space="preserve">. </w:t>
      </w:r>
      <w:r w:rsidRPr="009123CB">
        <w:rPr>
          <w:rFonts w:cs="Arial"/>
          <w:color w:val="000000"/>
          <w:szCs w:val="18"/>
          <w:lang w:val="de-DE"/>
        </w:rPr>
        <w:t>a</w:t>
      </w:r>
      <w:r w:rsidR="006257A7">
        <w:rPr>
          <w:rFonts w:cs="Arial"/>
          <w:color w:val="000000"/>
          <w:szCs w:val="18"/>
          <w:lang w:val="de-DE"/>
        </w:rPr>
        <w:t xml:space="preserve">. </w:t>
      </w:r>
      <w:r w:rsidRPr="009123CB">
        <w:rPr>
          <w:rFonts w:cs="Arial"/>
          <w:color w:val="000000"/>
          <w:szCs w:val="18"/>
          <w:lang w:val="de-DE"/>
        </w:rPr>
        <w:t>wenn der Kunde angemessene Ressourcen oder Reaktionen nicht bereitstellt, um Microsoft die Fortsetzung der Bemühungen zur Problembehebung zu ermöglichen</w:t>
      </w:r>
      <w:r w:rsidR="006257A7">
        <w:rPr>
          <w:rFonts w:cs="Arial"/>
          <w:color w:val="000000"/>
          <w:szCs w:val="18"/>
          <w:lang w:val="de-DE"/>
        </w:rPr>
        <w:t xml:space="preserve">. </w:t>
      </w:r>
      <w:r w:rsidRPr="009123CB">
        <w:rPr>
          <w:rFonts w:cs="Arial"/>
          <w:color w:val="000000"/>
          <w:szCs w:val="18"/>
          <w:lang w:val="de-DE"/>
        </w:rPr>
        <w:t>Der Schweregrad des Falls bestimmt die Reaktionsebene innerhalb von Microsoft, und geschätzte Reaktionszeiten sind in der folgenden Tabelle festgelegt</w:t>
      </w:r>
      <w:r w:rsidR="006257A7">
        <w:rPr>
          <w:rFonts w:cs="Arial"/>
          <w:color w:val="000000"/>
          <w:szCs w:val="18"/>
          <w:lang w:val="de-DE"/>
        </w:rPr>
        <w:t xml:space="preserve">. </w:t>
      </w:r>
      <w:r w:rsidRPr="009123CB">
        <w:rPr>
          <w:rFonts w:cs="Arial"/>
          <w:color w:val="000000"/>
          <w:szCs w:val="18"/>
          <w:lang w:val="de-DE"/>
        </w:rPr>
        <w:t>Unsere Fähigkeit, die Services zu erbringen, ist von der umfassenden und zeitgerechten Zusammenarbeit des Kunden sowie von der Genauigkeit und Vollständigkeit der vom Kunden bereitgestellten Informationen abhängig</w:t>
      </w:r>
      <w:r w:rsidR="006257A7">
        <w:rPr>
          <w:rFonts w:cs="Arial"/>
          <w:color w:val="000000"/>
          <w:szCs w:val="18"/>
          <w:lang w:val="de-DE"/>
        </w:rPr>
        <w:t xml:space="preserve">. </w:t>
      </w:r>
    </w:p>
    <w:p w:rsidR="008D4EE5" w:rsidRPr="00A634DA" w:rsidRDefault="008D4EE5" w:rsidP="00A634DA">
      <w:pPr>
        <w:spacing w:line="100" w:lineRule="exact"/>
        <w:rPr>
          <w:sz w:val="16"/>
          <w:szCs w:val="16"/>
          <w:lang w:val="de-D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769"/>
        <w:gridCol w:w="3022"/>
        <w:gridCol w:w="3212"/>
      </w:tblGrid>
      <w:tr w:rsidR="008D4EE5" w:rsidRPr="009E0647" w:rsidTr="00A67771">
        <w:tc>
          <w:tcPr>
            <w:tcW w:w="1347" w:type="dxa"/>
            <w:shd w:val="clear" w:color="auto" w:fill="FABF8F"/>
          </w:tcPr>
          <w:p w:rsidR="008D4EE5" w:rsidRPr="0037031E" w:rsidRDefault="008D4EE5" w:rsidP="00A67771">
            <w:pPr>
              <w:jc w:val="center"/>
              <w:rPr>
                <w:rFonts w:cs="Tahoma"/>
                <w:b/>
                <w:bCs/>
                <w:color w:val="000000"/>
                <w:sz w:val="20"/>
                <w:szCs w:val="18"/>
              </w:rPr>
            </w:pPr>
            <w:r>
              <w:rPr>
                <w:rFonts w:cs="Tahoma"/>
                <w:b/>
                <w:bCs/>
                <w:color w:val="000000"/>
                <w:sz w:val="20"/>
                <w:szCs w:val="18"/>
              </w:rPr>
              <w:t>Schweregrad</w:t>
            </w:r>
          </w:p>
        </w:tc>
        <w:tc>
          <w:tcPr>
            <w:tcW w:w="1800" w:type="dxa"/>
            <w:shd w:val="clear" w:color="auto" w:fill="FABF8F"/>
          </w:tcPr>
          <w:p w:rsidR="008D4EE5" w:rsidRPr="0037031E" w:rsidRDefault="008D4EE5" w:rsidP="00A67771">
            <w:pPr>
              <w:jc w:val="center"/>
              <w:rPr>
                <w:rFonts w:cs="Tahoma"/>
                <w:b/>
                <w:bCs/>
                <w:color w:val="000000"/>
                <w:sz w:val="20"/>
                <w:szCs w:val="18"/>
              </w:rPr>
            </w:pPr>
            <w:r>
              <w:rPr>
                <w:rFonts w:cs="Tahoma"/>
                <w:b/>
                <w:bCs/>
                <w:color w:val="000000"/>
                <w:sz w:val="20"/>
                <w:szCs w:val="18"/>
              </w:rPr>
              <w:t>Kontakt</w:t>
            </w:r>
          </w:p>
        </w:tc>
        <w:tc>
          <w:tcPr>
            <w:tcW w:w="3079" w:type="dxa"/>
            <w:shd w:val="clear" w:color="auto" w:fill="FABF8F"/>
          </w:tcPr>
          <w:p w:rsidR="008D4EE5" w:rsidRPr="0037031E" w:rsidRDefault="008D4EE5" w:rsidP="00A67771">
            <w:pPr>
              <w:jc w:val="center"/>
              <w:rPr>
                <w:rFonts w:cs="Tahoma"/>
                <w:b/>
                <w:bCs/>
                <w:color w:val="000000"/>
                <w:sz w:val="20"/>
                <w:szCs w:val="18"/>
              </w:rPr>
            </w:pPr>
            <w:r>
              <w:rPr>
                <w:rFonts w:cs="Tahoma"/>
                <w:b/>
                <w:bCs/>
                <w:color w:val="000000"/>
                <w:sz w:val="20"/>
                <w:szCs w:val="18"/>
              </w:rPr>
              <w:t>Situation des Kunden</w:t>
            </w:r>
          </w:p>
        </w:tc>
        <w:tc>
          <w:tcPr>
            <w:tcW w:w="3314" w:type="dxa"/>
            <w:shd w:val="clear" w:color="auto" w:fill="FABF8F"/>
          </w:tcPr>
          <w:p w:rsidR="008D4EE5" w:rsidRPr="0037031E" w:rsidRDefault="008D4EE5" w:rsidP="00A67771">
            <w:pPr>
              <w:jc w:val="center"/>
              <w:rPr>
                <w:rFonts w:cs="Tahoma"/>
                <w:b/>
                <w:bCs/>
                <w:color w:val="000000"/>
                <w:sz w:val="20"/>
                <w:szCs w:val="18"/>
              </w:rPr>
            </w:pPr>
            <w:r>
              <w:rPr>
                <w:rFonts w:cs="Tahoma"/>
                <w:b/>
                <w:bCs/>
                <w:color w:val="000000"/>
                <w:sz w:val="20"/>
                <w:szCs w:val="18"/>
              </w:rPr>
              <w:t>Von Microsoft erwartete Reaktion</w:t>
            </w:r>
          </w:p>
        </w:tc>
      </w:tr>
      <w:tr w:rsidR="008D4EE5" w:rsidRPr="009E0647" w:rsidTr="00A67771">
        <w:tc>
          <w:tcPr>
            <w:tcW w:w="1347" w:type="dxa"/>
          </w:tcPr>
          <w:p w:rsidR="008D4EE5" w:rsidRPr="00C72182" w:rsidRDefault="008D4EE5" w:rsidP="00A67771">
            <w:pPr>
              <w:spacing w:after="60" w:line="240" w:lineRule="atLeast"/>
              <w:jc w:val="center"/>
              <w:rPr>
                <w:rFonts w:ascii="SegoeBook" w:hAnsi="SegoeBook"/>
                <w:szCs w:val="18"/>
              </w:rPr>
            </w:pPr>
            <w:r>
              <w:rPr>
                <w:rFonts w:ascii="SegoeBook" w:hAnsi="SegoeBook"/>
                <w:szCs w:val="18"/>
              </w:rPr>
              <w:t>A</w:t>
            </w:r>
          </w:p>
        </w:tc>
        <w:tc>
          <w:tcPr>
            <w:tcW w:w="1800" w:type="dxa"/>
          </w:tcPr>
          <w:p w:rsidR="008D4EE5" w:rsidRPr="00C72182" w:rsidRDefault="008D4EE5" w:rsidP="00965A6F">
            <w:pPr>
              <w:spacing w:after="60" w:line="240" w:lineRule="atLeast"/>
              <w:jc w:val="center"/>
              <w:rPr>
                <w:rFonts w:ascii="SegoeBook" w:hAnsi="SegoeBook"/>
                <w:szCs w:val="18"/>
              </w:rPr>
            </w:pPr>
            <w:r>
              <w:rPr>
                <w:rFonts w:ascii="SegoeBook" w:hAnsi="SegoeBook"/>
                <w:szCs w:val="18"/>
              </w:rPr>
              <w:t>Einreichung per</w:t>
            </w:r>
            <w:r w:rsidR="00965A6F">
              <w:rPr>
                <w:rFonts w:ascii="SegoeBook" w:hAnsi="SegoeBook"/>
                <w:szCs w:val="18"/>
              </w:rPr>
              <w:t> </w:t>
            </w:r>
            <w:r>
              <w:rPr>
                <w:rFonts w:ascii="SegoeBook" w:hAnsi="SegoeBook"/>
                <w:szCs w:val="18"/>
              </w:rPr>
              <w:t>Web</w:t>
            </w:r>
          </w:p>
        </w:tc>
        <w:tc>
          <w:tcPr>
            <w:tcW w:w="3079" w:type="dxa"/>
          </w:tcPr>
          <w:p w:rsidR="008D4EE5" w:rsidRPr="009123CB" w:rsidRDefault="008D4EE5" w:rsidP="00801007">
            <w:pPr>
              <w:spacing w:after="40" w:line="230" w:lineRule="atLeast"/>
              <w:rPr>
                <w:lang w:val="de-DE"/>
              </w:rPr>
            </w:pPr>
            <w:r w:rsidRPr="009123CB">
              <w:rPr>
                <w:rFonts w:ascii="SegoeBook" w:hAnsi="SegoeBook"/>
                <w:szCs w:val="18"/>
                <w:lang w:val="de-DE"/>
              </w:rPr>
              <w:t>Kritische Auswirkungen auf das Geschäft:</w:t>
            </w:r>
          </w:p>
          <w:p w:rsidR="008D4EE5" w:rsidRPr="009123CB" w:rsidRDefault="008D4EE5" w:rsidP="00801007">
            <w:pPr>
              <w:spacing w:after="60" w:line="230" w:lineRule="atLeast"/>
              <w:rPr>
                <w:lang w:val="de-DE"/>
              </w:rPr>
            </w:pPr>
            <w:r w:rsidRPr="009123CB">
              <w:rPr>
                <w:rFonts w:ascii="SegoeBook" w:hAnsi="SegoeBook"/>
                <w:szCs w:val="18"/>
                <w:lang w:val="de-DE"/>
              </w:rPr>
              <w:t>Erheblicher Verlust oder erhebliche Beeinträchtigung von Diensten (Anwendungsausfall)</w:t>
            </w:r>
          </w:p>
          <w:p w:rsidR="008D4EE5" w:rsidRPr="009123CB" w:rsidRDefault="008D4EE5" w:rsidP="00801007">
            <w:pPr>
              <w:spacing w:after="60" w:line="230" w:lineRule="atLeast"/>
              <w:rPr>
                <w:rFonts w:ascii="SegoeBook" w:hAnsi="SegoeBook"/>
                <w:szCs w:val="18"/>
                <w:lang w:val="de-DE"/>
              </w:rPr>
            </w:pPr>
            <w:r w:rsidRPr="009123CB">
              <w:rPr>
                <w:rFonts w:ascii="SegoeBook" w:hAnsi="SegoeBook"/>
                <w:szCs w:val="18"/>
                <w:lang w:val="de-DE"/>
              </w:rPr>
              <w:t>Bearbeitung innerhalb von 1</w:t>
            </w:r>
            <w:r w:rsidR="00F04B7B">
              <w:rPr>
                <w:rFonts w:ascii="SegoeBook" w:hAnsi="SegoeBook"/>
                <w:szCs w:val="18"/>
                <w:lang w:val="de-DE"/>
              </w:rPr>
              <w:t> </w:t>
            </w:r>
            <w:r w:rsidRPr="009123CB">
              <w:rPr>
                <w:rFonts w:ascii="SegoeBook" w:hAnsi="SegoeBook"/>
                <w:szCs w:val="18"/>
                <w:lang w:val="de-DE"/>
              </w:rPr>
              <w:t>Stunde erforderlich</w:t>
            </w:r>
          </w:p>
        </w:tc>
        <w:tc>
          <w:tcPr>
            <w:tcW w:w="3314" w:type="dxa"/>
          </w:tcPr>
          <w:p w:rsidR="008D4EE5" w:rsidRPr="0062435A" w:rsidRDefault="008D4EE5" w:rsidP="00A67771">
            <w:pPr>
              <w:spacing w:after="60" w:line="240" w:lineRule="atLeast"/>
            </w:pPr>
            <w:r>
              <w:rPr>
                <w:rFonts w:ascii="SegoeBook" w:hAnsi="SegoeBook"/>
                <w:szCs w:val="18"/>
              </w:rPr>
              <w:t>1</w:t>
            </w:r>
            <w:r w:rsidR="006257A7">
              <w:rPr>
                <w:rFonts w:ascii="SegoeBook" w:hAnsi="SegoeBook"/>
                <w:szCs w:val="18"/>
              </w:rPr>
              <w:t xml:space="preserve">. </w:t>
            </w:r>
            <w:r>
              <w:rPr>
                <w:rFonts w:ascii="SegoeBook" w:hAnsi="SegoeBook"/>
                <w:szCs w:val="18"/>
              </w:rPr>
              <w:t>Reaktion in 1 Stunde oder weniger</w:t>
            </w:r>
          </w:p>
          <w:p w:rsidR="008D4EE5" w:rsidRPr="00C72182" w:rsidRDefault="008D4EE5" w:rsidP="00A67771">
            <w:pPr>
              <w:spacing w:after="60" w:line="240" w:lineRule="atLeast"/>
              <w:rPr>
                <w:rFonts w:ascii="SegoeBook" w:hAnsi="SegoeBook"/>
                <w:szCs w:val="18"/>
              </w:rPr>
            </w:pPr>
          </w:p>
        </w:tc>
      </w:tr>
      <w:tr w:rsidR="008D4EE5" w:rsidRPr="009E0647" w:rsidTr="00A67771">
        <w:tc>
          <w:tcPr>
            <w:tcW w:w="1347" w:type="dxa"/>
          </w:tcPr>
          <w:p w:rsidR="008D4EE5" w:rsidRPr="00C72182" w:rsidRDefault="008D4EE5" w:rsidP="00A67771">
            <w:pPr>
              <w:spacing w:after="60" w:line="240" w:lineRule="atLeast"/>
              <w:jc w:val="center"/>
              <w:rPr>
                <w:rFonts w:ascii="SegoeBook" w:hAnsi="SegoeBook"/>
                <w:szCs w:val="18"/>
              </w:rPr>
            </w:pPr>
            <w:r>
              <w:rPr>
                <w:rFonts w:ascii="SegoeBook" w:hAnsi="SegoeBook"/>
                <w:szCs w:val="18"/>
              </w:rPr>
              <w:t>B</w:t>
            </w:r>
          </w:p>
        </w:tc>
        <w:tc>
          <w:tcPr>
            <w:tcW w:w="1800" w:type="dxa"/>
          </w:tcPr>
          <w:p w:rsidR="008D4EE5" w:rsidRPr="00C72182" w:rsidRDefault="008D4EE5" w:rsidP="00965A6F">
            <w:pPr>
              <w:spacing w:after="60" w:line="240" w:lineRule="atLeast"/>
              <w:jc w:val="center"/>
              <w:rPr>
                <w:rFonts w:ascii="SegoeBook" w:hAnsi="SegoeBook"/>
                <w:szCs w:val="18"/>
              </w:rPr>
            </w:pPr>
            <w:r>
              <w:rPr>
                <w:rFonts w:ascii="SegoeBook" w:hAnsi="SegoeBook"/>
                <w:szCs w:val="18"/>
              </w:rPr>
              <w:t>Einreichung per</w:t>
            </w:r>
            <w:r w:rsidR="00965A6F">
              <w:rPr>
                <w:rFonts w:ascii="SegoeBook" w:hAnsi="SegoeBook"/>
                <w:szCs w:val="18"/>
              </w:rPr>
              <w:t> </w:t>
            </w:r>
            <w:r>
              <w:rPr>
                <w:rFonts w:ascii="SegoeBook" w:hAnsi="SegoeBook"/>
                <w:szCs w:val="18"/>
              </w:rPr>
              <w:t>Web</w:t>
            </w:r>
          </w:p>
        </w:tc>
        <w:tc>
          <w:tcPr>
            <w:tcW w:w="3079" w:type="dxa"/>
          </w:tcPr>
          <w:p w:rsidR="008D4EE5" w:rsidRPr="009123CB" w:rsidRDefault="008D4EE5" w:rsidP="00801007">
            <w:pPr>
              <w:spacing w:after="60" w:line="230" w:lineRule="atLeast"/>
              <w:rPr>
                <w:lang w:val="de-DE"/>
              </w:rPr>
            </w:pPr>
            <w:r w:rsidRPr="009123CB">
              <w:rPr>
                <w:rFonts w:ascii="SegoeBook" w:hAnsi="SegoeBook"/>
                <w:szCs w:val="18"/>
                <w:lang w:val="de-DE"/>
              </w:rPr>
              <w:t xml:space="preserve">Mittelschwere Auswirkungen auf das Geschäft: </w:t>
            </w:r>
          </w:p>
          <w:p w:rsidR="008D4EE5" w:rsidRPr="009123CB" w:rsidRDefault="008D4EE5" w:rsidP="00801007">
            <w:pPr>
              <w:spacing w:line="230" w:lineRule="atLeast"/>
              <w:rPr>
                <w:lang w:val="de-DE"/>
              </w:rPr>
            </w:pPr>
            <w:r w:rsidRPr="009123CB">
              <w:rPr>
                <w:rFonts w:ascii="SegoeBook" w:hAnsi="SegoeBook"/>
                <w:szCs w:val="18"/>
                <w:lang w:val="de-DE"/>
              </w:rPr>
              <w:t>Mittelmäßiger Verlust oder mittelmäßige Beeinträchtigung von Diensten, die Arbeit kann jedoch vernünftigerweise mit Beeinträchtigungen fortgesetzt werden</w:t>
            </w:r>
            <w:r w:rsidR="006257A7">
              <w:rPr>
                <w:rFonts w:ascii="SegoeBook" w:hAnsi="SegoeBook"/>
                <w:szCs w:val="18"/>
                <w:lang w:val="de-DE"/>
              </w:rPr>
              <w:t xml:space="preserve">. </w:t>
            </w:r>
          </w:p>
          <w:p w:rsidR="008D4EE5" w:rsidRPr="009123CB" w:rsidRDefault="008D4EE5" w:rsidP="00801007">
            <w:pPr>
              <w:spacing w:after="60" w:line="230" w:lineRule="atLeast"/>
              <w:rPr>
                <w:rFonts w:ascii="SegoeBook" w:hAnsi="SegoeBook"/>
                <w:szCs w:val="18"/>
                <w:lang w:val="de-DE"/>
              </w:rPr>
            </w:pPr>
            <w:r w:rsidRPr="009123CB">
              <w:rPr>
                <w:rFonts w:ascii="SegoeBook" w:hAnsi="SegoeBook"/>
                <w:szCs w:val="18"/>
                <w:lang w:val="de-DE"/>
              </w:rPr>
              <w:t>Bearbeitung innerhalb von 2</w:t>
            </w:r>
            <w:r w:rsidR="00F04B7B">
              <w:rPr>
                <w:rFonts w:ascii="SegoeBook" w:hAnsi="SegoeBook"/>
                <w:szCs w:val="18"/>
                <w:lang w:val="de-DE"/>
              </w:rPr>
              <w:t> </w:t>
            </w:r>
            <w:r w:rsidRPr="009123CB">
              <w:rPr>
                <w:rFonts w:ascii="SegoeBook" w:hAnsi="SegoeBook"/>
                <w:szCs w:val="18"/>
                <w:lang w:val="de-DE"/>
              </w:rPr>
              <w:t>Stunden erforderlich</w:t>
            </w:r>
          </w:p>
        </w:tc>
        <w:tc>
          <w:tcPr>
            <w:tcW w:w="3314" w:type="dxa"/>
          </w:tcPr>
          <w:p w:rsidR="008D4EE5" w:rsidRPr="0062435A" w:rsidRDefault="008D4EE5" w:rsidP="00A67771">
            <w:pPr>
              <w:spacing w:line="240" w:lineRule="atLeast"/>
            </w:pPr>
            <w:r>
              <w:rPr>
                <w:rFonts w:ascii="SegoeBook" w:hAnsi="SegoeBook"/>
                <w:szCs w:val="18"/>
              </w:rPr>
              <w:t>1</w:t>
            </w:r>
            <w:r w:rsidR="006257A7">
              <w:rPr>
                <w:rFonts w:ascii="SegoeBook" w:hAnsi="SegoeBook"/>
                <w:szCs w:val="18"/>
              </w:rPr>
              <w:t xml:space="preserve">. </w:t>
            </w:r>
            <w:r>
              <w:rPr>
                <w:rFonts w:ascii="SegoeBook" w:hAnsi="SegoeBook"/>
                <w:szCs w:val="18"/>
              </w:rPr>
              <w:t>Reaktion in 2 Stunden oder weniger</w:t>
            </w:r>
          </w:p>
          <w:p w:rsidR="008D4EE5" w:rsidRPr="00C72182" w:rsidRDefault="008D4EE5" w:rsidP="00A67771">
            <w:pPr>
              <w:spacing w:after="60" w:line="240" w:lineRule="atLeast"/>
              <w:rPr>
                <w:rFonts w:ascii="SegoeBook" w:hAnsi="SegoeBook"/>
                <w:szCs w:val="18"/>
              </w:rPr>
            </w:pPr>
          </w:p>
        </w:tc>
      </w:tr>
      <w:tr w:rsidR="008D4EE5" w:rsidRPr="009E0647" w:rsidTr="00A67771">
        <w:tc>
          <w:tcPr>
            <w:tcW w:w="1347" w:type="dxa"/>
          </w:tcPr>
          <w:p w:rsidR="008D4EE5" w:rsidRPr="00C72182" w:rsidRDefault="008D4EE5" w:rsidP="00A67771">
            <w:pPr>
              <w:spacing w:after="60" w:line="240" w:lineRule="atLeast"/>
              <w:jc w:val="center"/>
              <w:rPr>
                <w:rFonts w:ascii="SegoeBook" w:hAnsi="SegoeBook"/>
                <w:szCs w:val="18"/>
              </w:rPr>
            </w:pPr>
            <w:r>
              <w:rPr>
                <w:rFonts w:ascii="SegoeBook" w:hAnsi="SegoeBook"/>
                <w:szCs w:val="18"/>
              </w:rPr>
              <w:t>C</w:t>
            </w:r>
          </w:p>
        </w:tc>
        <w:tc>
          <w:tcPr>
            <w:tcW w:w="1800" w:type="dxa"/>
          </w:tcPr>
          <w:p w:rsidR="008D4EE5" w:rsidRPr="00C72182" w:rsidRDefault="008D4EE5" w:rsidP="00A634DA">
            <w:pPr>
              <w:spacing w:after="60" w:line="240" w:lineRule="atLeast"/>
              <w:jc w:val="center"/>
              <w:rPr>
                <w:rFonts w:ascii="SegoeBook" w:hAnsi="SegoeBook"/>
                <w:szCs w:val="18"/>
              </w:rPr>
            </w:pPr>
            <w:r>
              <w:rPr>
                <w:rFonts w:ascii="SegoeBook" w:hAnsi="SegoeBook"/>
                <w:szCs w:val="18"/>
              </w:rPr>
              <w:t>Einreichung per</w:t>
            </w:r>
            <w:r w:rsidR="00A634DA">
              <w:rPr>
                <w:rFonts w:ascii="SegoeBook" w:hAnsi="SegoeBook"/>
                <w:szCs w:val="18"/>
              </w:rPr>
              <w:t> </w:t>
            </w:r>
            <w:r>
              <w:rPr>
                <w:rFonts w:ascii="SegoeBook" w:hAnsi="SegoeBook"/>
                <w:szCs w:val="18"/>
              </w:rPr>
              <w:t>Web</w:t>
            </w:r>
          </w:p>
        </w:tc>
        <w:tc>
          <w:tcPr>
            <w:tcW w:w="3079" w:type="dxa"/>
          </w:tcPr>
          <w:p w:rsidR="008D4EE5" w:rsidRPr="009123CB" w:rsidRDefault="008D4EE5" w:rsidP="00A67771">
            <w:pPr>
              <w:rPr>
                <w:lang w:val="de-DE"/>
              </w:rPr>
            </w:pPr>
            <w:r w:rsidRPr="009123CB">
              <w:rPr>
                <w:rFonts w:ascii="SegoeBook" w:hAnsi="SegoeBook"/>
                <w:szCs w:val="18"/>
                <w:lang w:val="de-DE"/>
              </w:rPr>
              <w:t>Minimale Auswirkungen auf das Geschäft:</w:t>
            </w:r>
          </w:p>
          <w:p w:rsidR="008D4EE5" w:rsidRPr="008849B7" w:rsidRDefault="008D4EE5" w:rsidP="00A67771">
            <w:pPr>
              <w:rPr>
                <w:lang w:val="de-DE"/>
              </w:rPr>
            </w:pPr>
            <w:r w:rsidRPr="008849B7">
              <w:rPr>
                <w:rFonts w:ascii="SegoeBook" w:hAnsi="SegoeBook"/>
                <w:szCs w:val="18"/>
                <w:lang w:val="de-DE"/>
              </w:rPr>
              <w:t>Im Wesentlichen funktionsfähig, mit geringen oder keinen Beeinträchtigungen von Diensten</w:t>
            </w:r>
            <w:r w:rsidR="006257A7">
              <w:rPr>
                <w:rFonts w:ascii="SegoeBook" w:hAnsi="SegoeBook"/>
                <w:szCs w:val="18"/>
                <w:lang w:val="de-DE"/>
              </w:rPr>
              <w:t xml:space="preserve">. </w:t>
            </w:r>
          </w:p>
          <w:p w:rsidR="008D4EE5" w:rsidRPr="008849B7" w:rsidRDefault="008D4EE5" w:rsidP="00F04B7B">
            <w:pPr>
              <w:spacing w:after="60" w:line="240" w:lineRule="atLeast"/>
              <w:rPr>
                <w:rFonts w:ascii="SegoeBook" w:hAnsi="SegoeBook"/>
                <w:szCs w:val="18"/>
                <w:lang w:val="de-DE"/>
              </w:rPr>
            </w:pPr>
            <w:r w:rsidRPr="008849B7">
              <w:rPr>
                <w:rFonts w:ascii="SegoeBook" w:hAnsi="SegoeBook"/>
                <w:szCs w:val="18"/>
                <w:lang w:val="de-DE"/>
              </w:rPr>
              <w:t>Bearbeitung innerhalb von 4</w:t>
            </w:r>
            <w:r w:rsidR="00F04B7B">
              <w:rPr>
                <w:rFonts w:ascii="SegoeBook" w:hAnsi="SegoeBook"/>
                <w:szCs w:val="18"/>
                <w:lang w:val="de-DE"/>
              </w:rPr>
              <w:t> </w:t>
            </w:r>
            <w:r w:rsidRPr="008849B7">
              <w:rPr>
                <w:rFonts w:ascii="SegoeBook" w:hAnsi="SegoeBook"/>
                <w:szCs w:val="18"/>
                <w:lang w:val="de-DE"/>
              </w:rPr>
              <w:t>Stunden erforderlich</w:t>
            </w:r>
          </w:p>
        </w:tc>
        <w:tc>
          <w:tcPr>
            <w:tcW w:w="3314" w:type="dxa"/>
          </w:tcPr>
          <w:p w:rsidR="008D4EE5" w:rsidRPr="0062435A" w:rsidRDefault="008D4EE5" w:rsidP="00A67771">
            <w:r>
              <w:rPr>
                <w:rFonts w:ascii="SegoeBook" w:hAnsi="SegoeBook"/>
                <w:szCs w:val="18"/>
              </w:rPr>
              <w:t>1</w:t>
            </w:r>
            <w:r w:rsidR="006257A7">
              <w:rPr>
                <w:rFonts w:ascii="SegoeBook" w:hAnsi="SegoeBook"/>
                <w:szCs w:val="18"/>
              </w:rPr>
              <w:t xml:space="preserve">. </w:t>
            </w:r>
            <w:r>
              <w:rPr>
                <w:rFonts w:ascii="SegoeBook" w:hAnsi="SegoeBook"/>
                <w:szCs w:val="18"/>
              </w:rPr>
              <w:t>Reaktion in 4 Stunden oder weniger</w:t>
            </w:r>
          </w:p>
          <w:p w:rsidR="008D4EE5" w:rsidRPr="00C72182" w:rsidRDefault="008D4EE5" w:rsidP="00A67771">
            <w:pPr>
              <w:spacing w:line="240" w:lineRule="atLeast"/>
              <w:rPr>
                <w:rFonts w:ascii="SegoeBook" w:hAnsi="SegoeBook"/>
                <w:szCs w:val="18"/>
              </w:rPr>
            </w:pPr>
          </w:p>
        </w:tc>
      </w:tr>
    </w:tbl>
    <w:p w:rsidR="008D4EE5" w:rsidRPr="00A634DA" w:rsidRDefault="008D4EE5" w:rsidP="00A634DA">
      <w:pPr>
        <w:spacing w:line="100" w:lineRule="exact"/>
        <w:rPr>
          <w:sz w:val="16"/>
          <w:szCs w:val="16"/>
        </w:rPr>
      </w:pPr>
    </w:p>
    <w:p w:rsidR="008D4EE5" w:rsidRPr="009123CB" w:rsidRDefault="008D4EE5" w:rsidP="00A634DA">
      <w:pPr>
        <w:rPr>
          <w:lang w:val="de-DE"/>
        </w:rPr>
      </w:pPr>
      <w:r w:rsidRPr="009123CB">
        <w:rPr>
          <w:rFonts w:cs="Arial"/>
          <w:snapToGrid w:val="0"/>
          <w:color w:val="000000"/>
          <w:szCs w:val="18"/>
          <w:lang w:val="de-DE"/>
        </w:rPr>
        <w:t>Kunden können sich dafür entscheiden, einen Rückruf von Microsoft zu erhalten</w:t>
      </w:r>
      <w:r w:rsidR="006257A7">
        <w:rPr>
          <w:rFonts w:cs="Arial"/>
          <w:snapToGrid w:val="0"/>
          <w:color w:val="000000"/>
          <w:szCs w:val="18"/>
          <w:lang w:val="de-DE"/>
        </w:rPr>
        <w:t xml:space="preserve">. </w:t>
      </w:r>
      <w:r w:rsidRPr="009123CB">
        <w:rPr>
          <w:rFonts w:cs="Arial"/>
          <w:snapToGrid w:val="0"/>
          <w:color w:val="000000"/>
          <w:szCs w:val="18"/>
          <w:lang w:val="de-DE"/>
        </w:rPr>
        <w:t>Andernfalls übernimmt das Windows</w:t>
      </w:r>
      <w:r w:rsidR="00A634DA">
        <w:rPr>
          <w:rFonts w:cs="Arial"/>
          <w:snapToGrid w:val="0"/>
          <w:color w:val="000000"/>
          <w:szCs w:val="18"/>
          <w:lang w:val="de-DE"/>
        </w:rPr>
        <w:t> </w:t>
      </w:r>
      <w:r w:rsidRPr="009123CB">
        <w:rPr>
          <w:rFonts w:cs="Arial"/>
          <w:snapToGrid w:val="0"/>
          <w:color w:val="000000"/>
          <w:szCs w:val="18"/>
          <w:lang w:val="de-DE"/>
        </w:rPr>
        <w:t>Azure-Supportteam die Fehlerbehebung und bearbeitet den Fall über Onlinekanäle (z</w:t>
      </w:r>
      <w:r w:rsidR="006257A7">
        <w:rPr>
          <w:rFonts w:cs="Arial"/>
          <w:snapToGrid w:val="0"/>
          <w:color w:val="000000"/>
          <w:szCs w:val="18"/>
          <w:lang w:val="de-DE"/>
        </w:rPr>
        <w:t xml:space="preserve">. </w:t>
      </w:r>
      <w:r w:rsidRPr="009123CB">
        <w:rPr>
          <w:rFonts w:cs="Arial"/>
          <w:snapToGrid w:val="0"/>
          <w:color w:val="000000"/>
          <w:szCs w:val="18"/>
          <w:lang w:val="de-DE"/>
        </w:rPr>
        <w:t>B</w:t>
      </w:r>
      <w:r w:rsidR="006257A7">
        <w:rPr>
          <w:rFonts w:cs="Arial"/>
          <w:snapToGrid w:val="0"/>
          <w:color w:val="000000"/>
          <w:szCs w:val="18"/>
          <w:lang w:val="de-DE"/>
        </w:rPr>
        <w:t xml:space="preserve">. </w:t>
      </w:r>
      <w:r w:rsidRPr="009123CB">
        <w:rPr>
          <w:rFonts w:cs="Arial"/>
          <w:snapToGrid w:val="0"/>
          <w:color w:val="000000"/>
          <w:szCs w:val="18"/>
          <w:lang w:val="de-DE"/>
        </w:rPr>
        <w:t>E-Mail oder Windows Azure-Portal)</w:t>
      </w:r>
      <w:r w:rsidR="006257A7">
        <w:rPr>
          <w:rFonts w:cs="Arial"/>
          <w:snapToGrid w:val="0"/>
          <w:color w:val="000000"/>
          <w:szCs w:val="18"/>
          <w:lang w:val="de-DE"/>
        </w:rPr>
        <w:t xml:space="preserve">. </w:t>
      </w:r>
    </w:p>
    <w:p w:rsidR="008D4EE5" w:rsidRPr="00A634DA" w:rsidRDefault="008D4EE5" w:rsidP="00A634DA">
      <w:pPr>
        <w:spacing w:line="100" w:lineRule="exact"/>
        <w:rPr>
          <w:sz w:val="16"/>
          <w:szCs w:val="16"/>
          <w:lang w:val="de-DE"/>
        </w:rPr>
      </w:pPr>
    </w:p>
    <w:p w:rsidR="008D4EE5" w:rsidRPr="009123CB" w:rsidRDefault="008D4EE5" w:rsidP="008D4EE5">
      <w:pPr>
        <w:tabs>
          <w:tab w:val="left" w:pos="360"/>
        </w:tabs>
        <w:spacing w:after="60"/>
        <w:jc w:val="both"/>
        <w:rPr>
          <w:lang w:val="de-DE"/>
        </w:rPr>
      </w:pPr>
      <w:r w:rsidRPr="009123CB">
        <w:rPr>
          <w:rFonts w:cs="Arial"/>
          <w:b/>
          <w:color w:val="000000"/>
          <w:szCs w:val="18"/>
          <w:lang w:val="de-DE"/>
        </w:rPr>
        <w:t>Service Delivery Management</w:t>
      </w:r>
    </w:p>
    <w:p w:rsidR="008D4EE5" w:rsidRPr="009123CB" w:rsidRDefault="008D4EE5" w:rsidP="008D4EE5">
      <w:pPr>
        <w:tabs>
          <w:tab w:val="left" w:pos="360"/>
        </w:tabs>
        <w:jc w:val="both"/>
        <w:rPr>
          <w:lang w:val="de-DE"/>
        </w:rPr>
      </w:pPr>
      <w:r w:rsidRPr="009123CB">
        <w:rPr>
          <w:rFonts w:cs="Arial"/>
          <w:color w:val="000000"/>
          <w:szCs w:val="18"/>
          <w:lang w:val="de-DE"/>
        </w:rPr>
        <w:t>Zusätzlich</w:t>
      </w:r>
      <w:r w:rsidRPr="009123CB">
        <w:rPr>
          <w:rFonts w:cs="Arial"/>
          <w:snapToGrid w:val="0"/>
          <w:szCs w:val="18"/>
          <w:lang w:val="de-DE"/>
        </w:rPr>
        <w:t xml:space="preserve"> zu den oben beschriebenen Services erhalten Kunden mit Professional Direct Support for Windows Azure </w:t>
      </w:r>
      <w:r w:rsidRPr="009123CB">
        <w:rPr>
          <w:rFonts w:cs="Arial"/>
          <w:snapToGrid w:val="0"/>
          <w:color w:val="000000"/>
          <w:szCs w:val="18"/>
          <w:lang w:val="de-DE"/>
        </w:rPr>
        <w:t>Hilfe bei der Koordination der Support- und Servicebeziehung für Windows Azure</w:t>
      </w:r>
      <w:r w:rsidR="006257A7">
        <w:rPr>
          <w:rFonts w:cs="Arial"/>
          <w:snapToGrid w:val="0"/>
          <w:color w:val="000000"/>
          <w:szCs w:val="18"/>
          <w:lang w:val="de-DE"/>
        </w:rPr>
        <w:t xml:space="preserve">. </w:t>
      </w:r>
      <w:r w:rsidRPr="009123CB">
        <w:rPr>
          <w:rFonts w:cs="Arial"/>
          <w:snapToGrid w:val="0"/>
          <w:color w:val="000000"/>
          <w:szCs w:val="18"/>
          <w:lang w:val="de-DE"/>
        </w:rPr>
        <w:t>Diese Services werden durch einen Pool von Servicemitarbeitern („Professional Direct Delivery Managern“) erbracht</w:t>
      </w:r>
      <w:r w:rsidR="006257A7">
        <w:rPr>
          <w:rFonts w:cs="Arial"/>
          <w:snapToGrid w:val="0"/>
          <w:color w:val="000000"/>
          <w:szCs w:val="18"/>
          <w:lang w:val="de-DE"/>
        </w:rPr>
        <w:t xml:space="preserve">. </w:t>
      </w:r>
      <w:r w:rsidRPr="009123CB">
        <w:rPr>
          <w:rFonts w:cs="Arial"/>
          <w:snapToGrid w:val="0"/>
          <w:color w:val="000000"/>
          <w:szCs w:val="18"/>
          <w:lang w:val="de-DE"/>
        </w:rPr>
        <w:t xml:space="preserve">Die Professional Direct Delivery Manager sind bei Microsoft die Vertreter </w:t>
      </w:r>
      <w:r w:rsidRPr="009123CB">
        <w:rPr>
          <w:rFonts w:cs="Arial"/>
          <w:szCs w:val="18"/>
          <w:lang w:val="de-DE"/>
        </w:rPr>
        <w:t xml:space="preserve">des Kunden </w:t>
      </w:r>
      <w:r w:rsidRPr="009123CB">
        <w:rPr>
          <w:rFonts w:cs="Arial"/>
          <w:snapToGrid w:val="0"/>
          <w:color w:val="000000"/>
          <w:szCs w:val="18"/>
          <w:lang w:val="de-DE"/>
        </w:rPr>
        <w:t>und erleichtern die Koordination mit Teams, die den für die Onlinedienste verfügbaren technischen Support bereitstellen können</w:t>
      </w:r>
      <w:r w:rsidR="006257A7">
        <w:rPr>
          <w:rFonts w:cs="Arial"/>
          <w:snapToGrid w:val="0"/>
          <w:color w:val="000000"/>
          <w:szCs w:val="18"/>
          <w:lang w:val="de-DE"/>
        </w:rPr>
        <w:t xml:space="preserve">. </w:t>
      </w:r>
      <w:r w:rsidRPr="009123CB">
        <w:rPr>
          <w:rFonts w:cs="Arial"/>
          <w:snapToGrid w:val="0"/>
          <w:color w:val="000000"/>
          <w:szCs w:val="18"/>
          <w:lang w:val="de-DE"/>
        </w:rPr>
        <w:t xml:space="preserve">Die Professional Direct Delivery Manager dienen auch als Informationslieferungspunkt und stellen dem </w:t>
      </w:r>
      <w:r w:rsidRPr="009123CB">
        <w:rPr>
          <w:rFonts w:cs="Arial"/>
          <w:szCs w:val="18"/>
          <w:lang w:val="de-DE"/>
        </w:rPr>
        <w:t xml:space="preserve">Kunden </w:t>
      </w:r>
      <w:r w:rsidRPr="009123CB">
        <w:rPr>
          <w:rFonts w:cs="Arial"/>
          <w:snapToGrid w:val="0"/>
          <w:color w:val="000000"/>
          <w:szCs w:val="18"/>
          <w:lang w:val="de-DE"/>
        </w:rPr>
        <w:t>Feedback zu den Services anderen Microsoft-Gruppen bereit</w:t>
      </w:r>
      <w:r w:rsidR="006257A7">
        <w:rPr>
          <w:rFonts w:cs="Arial"/>
          <w:snapToGrid w:val="0"/>
          <w:color w:val="000000"/>
          <w:szCs w:val="18"/>
          <w:lang w:val="de-DE"/>
        </w:rPr>
        <w:t xml:space="preserve">. </w:t>
      </w:r>
      <w:r w:rsidRPr="009123CB">
        <w:rPr>
          <w:rFonts w:cs="Arial"/>
          <w:snapToGrid w:val="0"/>
          <w:color w:val="000000"/>
          <w:szCs w:val="18"/>
          <w:lang w:val="de-DE"/>
        </w:rPr>
        <w:t>Die Professional Direct Delivery Manager stellen außerdem folgende zusätzliche Services bereit:</w:t>
      </w:r>
    </w:p>
    <w:p w:rsidR="008D4EE5" w:rsidRPr="00A634DA" w:rsidRDefault="008D4EE5" w:rsidP="00A634DA">
      <w:pPr>
        <w:tabs>
          <w:tab w:val="left" w:pos="360"/>
        </w:tabs>
        <w:spacing w:line="100" w:lineRule="exact"/>
        <w:jc w:val="both"/>
        <w:rPr>
          <w:sz w:val="16"/>
          <w:szCs w:val="16"/>
          <w:lang w:val="de-DE"/>
        </w:rPr>
      </w:pPr>
    </w:p>
    <w:p w:rsidR="008D4EE5" w:rsidRPr="009123CB" w:rsidRDefault="008D4EE5" w:rsidP="008D4EE5">
      <w:pPr>
        <w:numPr>
          <w:ilvl w:val="0"/>
          <w:numId w:val="112"/>
        </w:numPr>
        <w:tabs>
          <w:tab w:val="clear" w:pos="720"/>
        </w:tabs>
        <w:spacing w:after="60"/>
        <w:ind w:left="1440"/>
        <w:jc w:val="both"/>
        <w:rPr>
          <w:lang w:val="de-DE"/>
        </w:rPr>
      </w:pPr>
      <w:r w:rsidRPr="009123CB">
        <w:rPr>
          <w:rFonts w:cs="Tahoma"/>
          <w:b/>
          <w:color w:val="000000"/>
          <w:szCs w:val="18"/>
          <w:lang w:val="de-DE"/>
        </w:rPr>
        <w:t>Planungs- und Ressourcenunterstützung</w:t>
      </w:r>
      <w:r w:rsidR="006257A7">
        <w:rPr>
          <w:rFonts w:cs="Tahoma"/>
          <w:b/>
          <w:color w:val="000000"/>
          <w:szCs w:val="18"/>
          <w:lang w:val="de-DE"/>
        </w:rPr>
        <w:t xml:space="preserve">. </w:t>
      </w:r>
      <w:r w:rsidRPr="009123CB">
        <w:rPr>
          <w:rFonts w:cs="Arial"/>
          <w:szCs w:val="18"/>
          <w:lang w:val="de-DE"/>
        </w:rPr>
        <w:t>Zu Beginn dieses Vertrages bietet Microsoft über Telefonkonferenz eine Orientierungssitzung für das Management und Personal des Kunden an</w:t>
      </w:r>
      <w:r w:rsidR="006257A7">
        <w:rPr>
          <w:rFonts w:cs="Arial"/>
          <w:szCs w:val="18"/>
          <w:lang w:val="de-DE"/>
        </w:rPr>
        <w:t xml:space="preserve">. </w:t>
      </w:r>
      <w:r w:rsidRPr="009123CB">
        <w:rPr>
          <w:rFonts w:cs="Arial"/>
          <w:szCs w:val="18"/>
          <w:lang w:val="de-DE"/>
        </w:rPr>
        <w:t>Der Zweck dieses Meetings besteht darin, die verfügbaren Supportservices zu erörtern und etwaige Fragen zu beantworten, sodass der Kunde seine Nutzung der Services planen kann</w:t>
      </w:r>
      <w:r w:rsidR="00801007">
        <w:rPr>
          <w:rFonts w:cs="Arial"/>
          <w:szCs w:val="18"/>
          <w:lang w:val="de-DE"/>
        </w:rPr>
        <w:t>.</w:t>
      </w:r>
    </w:p>
    <w:p w:rsidR="008D4EE5" w:rsidRPr="009123CB" w:rsidRDefault="008D4EE5" w:rsidP="008D4EE5">
      <w:pPr>
        <w:numPr>
          <w:ilvl w:val="0"/>
          <w:numId w:val="112"/>
        </w:numPr>
        <w:tabs>
          <w:tab w:val="clear" w:pos="720"/>
        </w:tabs>
        <w:spacing w:after="60"/>
        <w:ind w:left="1440"/>
        <w:jc w:val="both"/>
        <w:rPr>
          <w:lang w:val="de-DE"/>
        </w:rPr>
      </w:pPr>
      <w:r w:rsidRPr="009123CB">
        <w:rPr>
          <w:rFonts w:cs="Tahoma"/>
          <w:b/>
          <w:color w:val="000000"/>
          <w:szCs w:val="18"/>
          <w:lang w:val="de-DE"/>
        </w:rPr>
        <w:t>Eskalationsverwaltung</w:t>
      </w:r>
      <w:r w:rsidR="006257A7">
        <w:rPr>
          <w:rFonts w:cs="Tahoma"/>
          <w:b/>
          <w:color w:val="000000"/>
          <w:szCs w:val="18"/>
          <w:lang w:val="de-DE"/>
        </w:rPr>
        <w:t xml:space="preserve">. </w:t>
      </w:r>
      <w:r w:rsidRPr="009123CB">
        <w:rPr>
          <w:rFonts w:cs="Arial"/>
          <w:szCs w:val="18"/>
          <w:lang w:val="de-DE"/>
        </w:rPr>
        <w:t xml:space="preserve">Ein Professional Direct Delivery Manager </w:t>
      </w:r>
      <w:r w:rsidRPr="009123CB">
        <w:rPr>
          <w:rFonts w:cs="Arial"/>
          <w:snapToGrid w:val="0"/>
          <w:szCs w:val="18"/>
          <w:lang w:val="de-DE"/>
        </w:rPr>
        <w:t>stellt dem Kunden Eskalationsverwaltungsservices für technischen Support für Windows Azure zur Verfügung</w:t>
      </w:r>
      <w:r w:rsidR="006257A7">
        <w:rPr>
          <w:rFonts w:cs="Arial"/>
          <w:snapToGrid w:val="0"/>
          <w:szCs w:val="18"/>
          <w:lang w:val="de-DE"/>
        </w:rPr>
        <w:t xml:space="preserve">. </w:t>
      </w:r>
    </w:p>
    <w:p w:rsidR="008D4EE5" w:rsidRPr="009123CB" w:rsidRDefault="008D4EE5" w:rsidP="008D4EE5">
      <w:pPr>
        <w:pStyle w:val="normal1"/>
        <w:jc w:val="both"/>
        <w:rPr>
          <w:lang w:val="de-DE"/>
        </w:rPr>
      </w:pPr>
      <w:r w:rsidRPr="009123CB">
        <w:rPr>
          <w:color w:val="000000"/>
          <w:sz w:val="18"/>
          <w:szCs w:val="18"/>
          <w:lang w:val="de-DE"/>
        </w:rPr>
        <w:t>Service Delivery Management-Services werden nur in englischer Sprache</w:t>
      </w:r>
      <w:r w:rsidRPr="009123CB">
        <w:rPr>
          <w:color w:val="FF3399"/>
          <w:sz w:val="18"/>
          <w:szCs w:val="18"/>
          <w:lang w:val="de-DE"/>
        </w:rPr>
        <w:t xml:space="preserve"> </w:t>
      </w:r>
      <w:r w:rsidRPr="009123CB">
        <w:rPr>
          <w:sz w:val="18"/>
          <w:szCs w:val="18"/>
          <w:lang w:val="de-DE"/>
        </w:rPr>
        <w:t>außer an Feiertagen montags bis freitags von 9</w:t>
      </w:r>
      <w:r w:rsidR="00801007">
        <w:rPr>
          <w:sz w:val="18"/>
          <w:szCs w:val="18"/>
          <w:lang w:val="de-DE"/>
        </w:rPr>
        <w:t>.</w:t>
      </w:r>
      <w:r w:rsidRPr="009123CB">
        <w:rPr>
          <w:sz w:val="18"/>
          <w:szCs w:val="18"/>
          <w:lang w:val="de-DE"/>
        </w:rPr>
        <w:t>00 Uhr bis 17</w:t>
      </w:r>
      <w:r w:rsidR="00801007">
        <w:rPr>
          <w:sz w:val="18"/>
          <w:szCs w:val="18"/>
          <w:lang w:val="de-DE"/>
        </w:rPr>
        <w:t>.</w:t>
      </w:r>
      <w:r w:rsidRPr="009123CB">
        <w:rPr>
          <w:sz w:val="18"/>
          <w:szCs w:val="18"/>
          <w:lang w:val="de-DE"/>
        </w:rPr>
        <w:t>00 Uhr Ortszeit erbracht</w:t>
      </w:r>
      <w:r w:rsidR="006257A7">
        <w:rPr>
          <w:sz w:val="18"/>
          <w:szCs w:val="18"/>
          <w:lang w:val="de-DE"/>
        </w:rPr>
        <w:t xml:space="preserve">. </w:t>
      </w:r>
    </w:p>
    <w:p w:rsidR="008D4EE5" w:rsidRPr="009123CB" w:rsidRDefault="008D4EE5" w:rsidP="008D4EE5">
      <w:pPr>
        <w:pStyle w:val="normal1"/>
        <w:jc w:val="both"/>
        <w:rPr>
          <w:lang w:val="de-DE"/>
        </w:rPr>
      </w:pPr>
    </w:p>
    <w:p w:rsidR="008D4EE5" w:rsidRPr="009123CB" w:rsidRDefault="008D4EE5" w:rsidP="008D4EE5">
      <w:pPr>
        <w:tabs>
          <w:tab w:val="left" w:pos="360"/>
        </w:tabs>
        <w:spacing w:after="60"/>
        <w:jc w:val="both"/>
        <w:rPr>
          <w:lang w:val="de-DE"/>
        </w:rPr>
      </w:pPr>
      <w:r w:rsidRPr="009123CB">
        <w:rPr>
          <w:rFonts w:cs="Arial"/>
          <w:b/>
          <w:szCs w:val="18"/>
          <w:lang w:val="de-DE"/>
        </w:rPr>
        <w:t>Sonstige Informationsservices und Leistungen</w:t>
      </w:r>
    </w:p>
    <w:p w:rsidR="008D4EE5" w:rsidRPr="009123CB" w:rsidRDefault="008D4EE5" w:rsidP="008D4EE5">
      <w:pPr>
        <w:tabs>
          <w:tab w:val="left" w:pos="360"/>
        </w:tabs>
        <w:jc w:val="both"/>
        <w:rPr>
          <w:lang w:val="de-DE"/>
        </w:rPr>
      </w:pPr>
      <w:r w:rsidRPr="009123CB">
        <w:rPr>
          <w:rFonts w:cs="Arial"/>
          <w:szCs w:val="18"/>
          <w:lang w:val="de-DE"/>
        </w:rPr>
        <w:t>Informationsservices bieten technische Informationen zu Windows Azure und Supporttools, mit denen Kunden Windows Azure effizienter und effektiver implementieren und betreiben können</w:t>
      </w:r>
      <w:r w:rsidR="006257A7">
        <w:rPr>
          <w:rFonts w:cs="Arial"/>
          <w:szCs w:val="18"/>
          <w:lang w:val="de-DE"/>
        </w:rPr>
        <w:t xml:space="preserve">. </w:t>
      </w:r>
      <w:r w:rsidRPr="009123CB">
        <w:rPr>
          <w:rFonts w:cs="Arial"/>
          <w:szCs w:val="18"/>
          <w:lang w:val="de-DE"/>
        </w:rPr>
        <w:t>Informationsservices werden nur in englischer Sprache erbracht, einschließlich der folgenden:</w:t>
      </w:r>
    </w:p>
    <w:p w:rsidR="008D4EE5" w:rsidRPr="009123CB" w:rsidRDefault="008D4EE5" w:rsidP="008D4EE5">
      <w:pPr>
        <w:tabs>
          <w:tab w:val="left" w:pos="360"/>
        </w:tabs>
        <w:jc w:val="both"/>
        <w:rPr>
          <w:lang w:val="de-DE"/>
        </w:rPr>
      </w:pPr>
    </w:p>
    <w:p w:rsidR="008D4EE5" w:rsidRPr="009123CB" w:rsidRDefault="008D4EE5" w:rsidP="008D4EE5">
      <w:pPr>
        <w:pStyle w:val="ListParagraph"/>
        <w:numPr>
          <w:ilvl w:val="0"/>
          <w:numId w:val="113"/>
        </w:numPr>
        <w:tabs>
          <w:tab w:val="left" w:pos="360"/>
        </w:tabs>
        <w:spacing w:after="60"/>
        <w:ind w:left="1440"/>
        <w:contextualSpacing w:val="0"/>
        <w:jc w:val="both"/>
        <w:rPr>
          <w:lang w:val="de-DE"/>
        </w:rPr>
      </w:pPr>
      <w:r>
        <w:rPr>
          <w:rFonts w:ascii="Tahoma" w:hAnsi="Tahoma" w:cs="Tahoma"/>
          <w:b/>
          <w:color w:val="000000"/>
          <w:sz w:val="18"/>
          <w:szCs w:val="18"/>
        </w:rPr>
        <w:t>Exklusive Inhalte für Professional Direct Support for Windows Azure</w:t>
      </w:r>
      <w:r w:rsidR="006257A7">
        <w:rPr>
          <w:rFonts w:ascii="Tahoma" w:hAnsi="Tahoma" w:cs="Tahoma"/>
          <w:b/>
          <w:color w:val="000000"/>
          <w:sz w:val="18"/>
          <w:szCs w:val="18"/>
        </w:rPr>
        <w:t xml:space="preserve">. </w:t>
      </w:r>
      <w:r w:rsidRPr="009123CB">
        <w:rPr>
          <w:rFonts w:ascii="Tahoma" w:hAnsi="Tahoma" w:cs="Arial"/>
          <w:snapToGrid w:val="0"/>
          <w:sz w:val="18"/>
          <w:szCs w:val="18"/>
          <w:lang w:val="de-DE"/>
        </w:rPr>
        <w:t>Kunden erhalten Zugriff auf exklusive Windows Azure-Inhalte, einschließlich, jedoch nicht beschränkt auf Onlineveröffentlichungen im Zusammenhang mit Leitfäden zu optimalen Vorgehensweisen bei Architektur und Bereitstellung, archivierte Schulungsinhalte, Benachrichtigungen über Webinare sowie andere allgemeine Informationen zu Windows Azure</w:t>
      </w:r>
      <w:r w:rsidR="006257A7">
        <w:rPr>
          <w:rFonts w:ascii="Tahoma" w:hAnsi="Tahoma" w:cs="Arial"/>
          <w:snapToGrid w:val="0"/>
          <w:sz w:val="18"/>
          <w:szCs w:val="18"/>
          <w:lang w:val="de-DE"/>
        </w:rPr>
        <w:t xml:space="preserve">. </w:t>
      </w:r>
    </w:p>
    <w:p w:rsidR="008D4EE5" w:rsidRPr="009123CB" w:rsidRDefault="008D4EE5" w:rsidP="008D4EE5">
      <w:pPr>
        <w:numPr>
          <w:ilvl w:val="0"/>
          <w:numId w:val="113"/>
        </w:numPr>
        <w:tabs>
          <w:tab w:val="left" w:pos="360"/>
        </w:tabs>
        <w:spacing w:after="60"/>
        <w:ind w:left="1440"/>
        <w:jc w:val="both"/>
        <w:rPr>
          <w:lang w:val="de-DE"/>
        </w:rPr>
      </w:pPr>
      <w:r w:rsidRPr="009123CB">
        <w:rPr>
          <w:rFonts w:cs="Tahoma"/>
          <w:b/>
          <w:color w:val="000000"/>
          <w:szCs w:val="18"/>
          <w:lang w:val="de-DE"/>
        </w:rPr>
        <w:t>Webinare</w:t>
      </w:r>
      <w:r w:rsidR="006257A7">
        <w:rPr>
          <w:rFonts w:cs="Tahoma"/>
          <w:b/>
          <w:color w:val="000000"/>
          <w:szCs w:val="18"/>
          <w:lang w:val="de-DE"/>
        </w:rPr>
        <w:t xml:space="preserve">. </w:t>
      </w:r>
      <w:r w:rsidRPr="009123CB">
        <w:rPr>
          <w:rFonts w:cs="Arial"/>
          <w:szCs w:val="18"/>
          <w:lang w:val="de-DE"/>
        </w:rPr>
        <w:t>Bei Webinaren handelt es sich um regelmäßig geplante Diskussionen, die von Fachleuten von Microsoft geleitet werden und Schlüsselbereiche der Microsoft-Onlinedienste abdecken</w:t>
      </w:r>
      <w:r w:rsidR="006257A7">
        <w:rPr>
          <w:rFonts w:cs="Arial"/>
          <w:szCs w:val="18"/>
          <w:lang w:val="de-DE"/>
        </w:rPr>
        <w:t xml:space="preserve">. </w:t>
      </w:r>
      <w:r w:rsidRPr="009123CB">
        <w:rPr>
          <w:rFonts w:cs="Arial"/>
          <w:szCs w:val="18"/>
          <w:lang w:val="de-DE"/>
        </w:rPr>
        <w:t>Beispielthemen sind unter anderem „Erste Schritte“ mit Windows Azure, Informationen zu neuen Features und „Fragen an Experten“-Frage- und Antwortsitzungen</w:t>
      </w:r>
      <w:r w:rsidR="006257A7">
        <w:rPr>
          <w:rFonts w:cs="Arial"/>
          <w:szCs w:val="18"/>
          <w:lang w:val="de-DE"/>
        </w:rPr>
        <w:t xml:space="preserve">. </w:t>
      </w:r>
    </w:p>
    <w:p w:rsidR="008D4EE5" w:rsidRPr="009123CB" w:rsidRDefault="008D4EE5" w:rsidP="008D4EE5">
      <w:pPr>
        <w:numPr>
          <w:ilvl w:val="0"/>
          <w:numId w:val="113"/>
        </w:numPr>
        <w:tabs>
          <w:tab w:val="left" w:pos="360"/>
        </w:tabs>
        <w:spacing w:after="60"/>
        <w:ind w:left="1440"/>
        <w:jc w:val="both"/>
        <w:rPr>
          <w:lang w:val="de-DE"/>
        </w:rPr>
      </w:pPr>
      <w:r w:rsidRPr="009123CB">
        <w:rPr>
          <w:rFonts w:cs="Tahoma"/>
          <w:b/>
          <w:color w:val="000000"/>
          <w:szCs w:val="18"/>
          <w:lang w:val="de-DE"/>
        </w:rPr>
        <w:t>Zusätzliche Beratungsdienste von Professional Direct Delivery Managern</w:t>
      </w:r>
      <w:r w:rsidR="006257A7">
        <w:rPr>
          <w:rFonts w:cs="Tahoma"/>
          <w:b/>
          <w:color w:val="000000"/>
          <w:szCs w:val="18"/>
          <w:lang w:val="de-DE"/>
        </w:rPr>
        <w:t xml:space="preserve">. </w:t>
      </w:r>
    </w:p>
    <w:p w:rsidR="008D4EE5" w:rsidRPr="009123CB" w:rsidRDefault="008D4EE5" w:rsidP="008D4EE5">
      <w:pPr>
        <w:numPr>
          <w:ilvl w:val="1"/>
          <w:numId w:val="99"/>
        </w:numPr>
        <w:tabs>
          <w:tab w:val="left" w:pos="360"/>
        </w:tabs>
        <w:spacing w:after="60"/>
        <w:ind w:left="1980"/>
        <w:jc w:val="both"/>
        <w:rPr>
          <w:lang w:val="de-DE"/>
        </w:rPr>
      </w:pPr>
      <w:r w:rsidRPr="009123CB">
        <w:rPr>
          <w:rFonts w:cs="Arial"/>
          <w:snapToGrid w:val="0"/>
          <w:szCs w:val="18"/>
          <w:lang w:val="de-DE"/>
        </w:rPr>
        <w:t>Verweise auf Top-Onlineressourcen</w:t>
      </w:r>
      <w:r w:rsidR="006257A7">
        <w:rPr>
          <w:rFonts w:cs="Arial"/>
          <w:snapToGrid w:val="0"/>
          <w:szCs w:val="18"/>
          <w:lang w:val="de-DE"/>
        </w:rPr>
        <w:t xml:space="preserve">. </w:t>
      </w:r>
      <w:r w:rsidRPr="009123CB">
        <w:rPr>
          <w:rFonts w:cs="Arial"/>
          <w:snapToGrid w:val="0"/>
          <w:szCs w:val="18"/>
          <w:lang w:val="de-DE"/>
        </w:rPr>
        <w:t>Ein Professional Direct Delivery Manager stellt Kunden Empfehlungen zur Verfügung, einschließlich Anweisungen zum Zugreifen auf Self-Service-Ressourcen, die derzeit zur Beantwortung von Fragen zur Verwendung gängiger Windows Azure-Services und -Features verfügbar sind</w:t>
      </w:r>
      <w:r w:rsidR="006257A7">
        <w:rPr>
          <w:rFonts w:cs="Arial"/>
          <w:snapToGrid w:val="0"/>
          <w:szCs w:val="18"/>
          <w:lang w:val="de-DE"/>
        </w:rPr>
        <w:t xml:space="preserve">. </w:t>
      </w:r>
    </w:p>
    <w:p w:rsidR="008D4EE5" w:rsidRPr="009123CB" w:rsidRDefault="008D4EE5" w:rsidP="008D4EE5">
      <w:pPr>
        <w:numPr>
          <w:ilvl w:val="1"/>
          <w:numId w:val="99"/>
        </w:numPr>
        <w:spacing w:after="60"/>
        <w:ind w:left="1980"/>
        <w:jc w:val="both"/>
        <w:rPr>
          <w:lang w:val="de-DE"/>
        </w:rPr>
      </w:pPr>
      <w:r w:rsidRPr="009123CB">
        <w:rPr>
          <w:rFonts w:cs="Arial"/>
          <w:snapToGrid w:val="0"/>
          <w:szCs w:val="18"/>
          <w:lang w:val="de-DE"/>
        </w:rPr>
        <w:t>Standardtrenderstellung zu Fällen</w:t>
      </w:r>
      <w:r w:rsidR="006257A7">
        <w:rPr>
          <w:rFonts w:cs="Arial"/>
          <w:snapToGrid w:val="0"/>
          <w:szCs w:val="18"/>
          <w:lang w:val="de-DE"/>
        </w:rPr>
        <w:t xml:space="preserve">. </w:t>
      </w:r>
      <w:r w:rsidRPr="009123CB">
        <w:rPr>
          <w:rFonts w:cs="Arial"/>
          <w:snapToGrid w:val="0"/>
          <w:szCs w:val="18"/>
          <w:lang w:val="de-DE"/>
        </w:rPr>
        <w:t>Ein Professional Direct Delivery Manager trägt zur Erkennung und Bewertung der Ursachen häufiger Supportanfragen bei, die von Kunden eingereicht werden, und unterbreitet Vorschläge zur künftigen Behebung derartiger Supportfälle</w:t>
      </w:r>
      <w:r w:rsidR="006257A7">
        <w:rPr>
          <w:rFonts w:cs="Arial"/>
          <w:snapToGrid w:val="0"/>
          <w:szCs w:val="18"/>
          <w:lang w:val="de-DE"/>
        </w:rPr>
        <w:t xml:space="preserve">. </w:t>
      </w:r>
    </w:p>
    <w:p w:rsidR="008D4EE5" w:rsidRPr="009123CB" w:rsidRDefault="008D4EE5" w:rsidP="008D4EE5">
      <w:pPr>
        <w:numPr>
          <w:ilvl w:val="0"/>
          <w:numId w:val="113"/>
        </w:numPr>
        <w:tabs>
          <w:tab w:val="left" w:pos="360"/>
        </w:tabs>
        <w:spacing w:after="60"/>
        <w:ind w:left="1440"/>
        <w:jc w:val="both"/>
        <w:rPr>
          <w:lang w:val="de-DE"/>
        </w:rPr>
      </w:pPr>
      <w:r w:rsidRPr="009123CB">
        <w:rPr>
          <w:rFonts w:cs="Tahoma"/>
          <w:b/>
          <w:color w:val="000000"/>
          <w:szCs w:val="18"/>
          <w:lang w:val="de-DE"/>
        </w:rPr>
        <w:t>Windows Azure-Optimierungsberichte</w:t>
      </w:r>
      <w:r w:rsidR="006257A7">
        <w:rPr>
          <w:rFonts w:cs="Tahoma"/>
          <w:b/>
          <w:color w:val="000000"/>
          <w:szCs w:val="18"/>
          <w:lang w:val="de-DE"/>
        </w:rPr>
        <w:t xml:space="preserve">. </w:t>
      </w:r>
      <w:r w:rsidRPr="009123CB">
        <w:rPr>
          <w:rFonts w:cs="Arial"/>
          <w:szCs w:val="18"/>
          <w:lang w:val="de-DE"/>
        </w:rPr>
        <w:t>Ein Professional Direct Delivery Manager stellt regelmäßige Berichte zur Verfügung, um potenzielle Kosteneinsparungen zu erkennen, Betriebszeiten zu maximieren und die Erfahrungen der Nutzer zu verbessern</w:t>
      </w:r>
      <w:r w:rsidR="006257A7">
        <w:rPr>
          <w:rFonts w:cs="Arial"/>
          <w:szCs w:val="18"/>
          <w:lang w:val="de-DE"/>
        </w:rPr>
        <w:t xml:space="preserve">. </w:t>
      </w:r>
    </w:p>
    <w:p w:rsidR="008D4EE5" w:rsidRPr="009123CB" w:rsidRDefault="008D4EE5" w:rsidP="008D4EE5">
      <w:pPr>
        <w:pStyle w:val="normal1"/>
        <w:jc w:val="both"/>
        <w:rPr>
          <w:lang w:val="de-DE"/>
        </w:rPr>
      </w:pPr>
    </w:p>
    <w:p w:rsidR="008D4EE5" w:rsidRPr="009123CB" w:rsidRDefault="008D4EE5" w:rsidP="008D4EE5">
      <w:pPr>
        <w:tabs>
          <w:tab w:val="left" w:pos="360"/>
        </w:tabs>
        <w:jc w:val="both"/>
        <w:rPr>
          <w:lang w:val="de-DE"/>
        </w:rPr>
      </w:pPr>
      <w:r w:rsidRPr="009123CB">
        <w:rPr>
          <w:rFonts w:cs="Arial"/>
          <w:b/>
          <w:sz w:val="24"/>
          <w:szCs w:val="18"/>
          <w:lang w:val="de-DE"/>
        </w:rPr>
        <w:t>Standardsupport für Windows Azure</w:t>
      </w:r>
    </w:p>
    <w:p w:rsidR="008D4EE5" w:rsidRPr="009123CB" w:rsidRDefault="008D4EE5" w:rsidP="008D4EE5">
      <w:pPr>
        <w:tabs>
          <w:tab w:val="left" w:pos="360"/>
        </w:tabs>
        <w:jc w:val="both"/>
        <w:rPr>
          <w:lang w:val="de-DE"/>
        </w:rPr>
      </w:pPr>
    </w:p>
    <w:p w:rsidR="008D4EE5" w:rsidRPr="009123CB" w:rsidRDefault="008D4EE5" w:rsidP="00801007">
      <w:pPr>
        <w:rPr>
          <w:lang w:val="de-DE"/>
        </w:rPr>
      </w:pPr>
      <w:r w:rsidRPr="009123CB">
        <w:rPr>
          <w:rFonts w:cs="Arial"/>
          <w:color w:val="000000"/>
          <w:szCs w:val="18"/>
          <w:lang w:val="de-DE"/>
        </w:rPr>
        <w:t>Die Kunden sind dafür verantwortlich, den anfänglichen Schweregrad im Laufe des Web-Übermittlungsverfahrens und gemäß den dargelegten Richtlinien zum Schweregrad festzulegen</w:t>
      </w:r>
      <w:r w:rsidR="006257A7">
        <w:rPr>
          <w:rFonts w:cs="Arial"/>
          <w:color w:val="000000"/>
          <w:szCs w:val="18"/>
          <w:lang w:val="de-DE"/>
        </w:rPr>
        <w:t xml:space="preserve">. </w:t>
      </w:r>
      <w:r w:rsidRPr="009123CB">
        <w:rPr>
          <w:rFonts w:cs="Arial"/>
          <w:color w:val="000000"/>
          <w:szCs w:val="18"/>
          <w:lang w:val="de-DE"/>
        </w:rPr>
        <w:t>Microsoft ist dazu berechtigt, den Schweregrad herunterzustufen, falls der Kunde nicht in der Lage ist, angemessene Ressourcen oder Reaktionen bereitzustellen, um Microsoft die Fortsetzung der Bemühungen zur Problembehebung zu ermöglichen</w:t>
      </w:r>
      <w:r w:rsidR="006257A7">
        <w:rPr>
          <w:rFonts w:cs="Arial"/>
          <w:color w:val="000000"/>
          <w:szCs w:val="18"/>
          <w:lang w:val="de-DE"/>
        </w:rPr>
        <w:t xml:space="preserve">. </w:t>
      </w:r>
      <w:r w:rsidRPr="009123CB">
        <w:rPr>
          <w:rFonts w:cs="Arial"/>
          <w:szCs w:val="18"/>
          <w:lang w:val="de-DE"/>
        </w:rPr>
        <w:t>Der Schweregrad des Falls bestimmt die Reaktionsebene innerhalb von Microsoft und die geschätzte Reaktionszeiten, wie</w:t>
      </w:r>
      <w:r w:rsidR="00801007">
        <w:rPr>
          <w:rFonts w:cs="Arial"/>
          <w:szCs w:val="18"/>
          <w:lang w:val="de-DE"/>
        </w:rPr>
        <w:t> </w:t>
      </w:r>
      <w:r w:rsidRPr="009123CB">
        <w:rPr>
          <w:rFonts w:cs="Arial"/>
          <w:szCs w:val="18"/>
          <w:lang w:val="de-DE"/>
        </w:rPr>
        <w:t>in der Tabelle unten dargelegt</w:t>
      </w:r>
      <w:r w:rsidR="006257A7">
        <w:rPr>
          <w:rFonts w:cs="Arial"/>
          <w:szCs w:val="18"/>
          <w:lang w:val="de-DE"/>
        </w:rPr>
        <w:t xml:space="preserve">. </w:t>
      </w:r>
      <w:r w:rsidRPr="009123CB">
        <w:rPr>
          <w:rFonts w:cs="Arial"/>
          <w:szCs w:val="18"/>
          <w:lang w:val="de-DE"/>
        </w:rPr>
        <w:t>Unsere Fähigkeit, die Services zu erbringen, ist von der umfassenden und zeitgerechten Zusammenarbeit des Kunden sowie von der Genauigkeit und Vollständigkeit der vom Kunden bereitgestellten Informationen abhängig</w:t>
      </w:r>
      <w:r w:rsidR="006257A7">
        <w:rPr>
          <w:rFonts w:cs="Arial"/>
          <w:szCs w:val="18"/>
          <w:lang w:val="de-DE"/>
        </w:rPr>
        <w:t xml:space="preserve">. </w:t>
      </w:r>
    </w:p>
    <w:p w:rsidR="008D4EE5" w:rsidRPr="009123CB" w:rsidRDefault="008D4EE5" w:rsidP="008D4EE5">
      <w:pPr>
        <w:rPr>
          <w:lang w:val="de-D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942"/>
        <w:gridCol w:w="2994"/>
        <w:gridCol w:w="3103"/>
      </w:tblGrid>
      <w:tr w:rsidR="008D4EE5" w:rsidRPr="009E0647" w:rsidTr="00A634DA">
        <w:trPr>
          <w:tblHeader/>
        </w:trPr>
        <w:tc>
          <w:tcPr>
            <w:tcW w:w="779" w:type="pct"/>
            <w:shd w:val="clear" w:color="auto" w:fill="FABF8F"/>
          </w:tcPr>
          <w:p w:rsidR="008D4EE5" w:rsidRPr="0037031E" w:rsidRDefault="008D4EE5" w:rsidP="00A67771">
            <w:pPr>
              <w:jc w:val="center"/>
              <w:rPr>
                <w:rFonts w:cs="Tahoma"/>
                <w:b/>
                <w:bCs/>
                <w:color w:val="000000"/>
                <w:sz w:val="20"/>
                <w:szCs w:val="18"/>
              </w:rPr>
            </w:pPr>
            <w:r>
              <w:rPr>
                <w:rFonts w:cs="Tahoma"/>
                <w:b/>
                <w:bCs/>
                <w:color w:val="000000"/>
                <w:sz w:val="20"/>
                <w:szCs w:val="18"/>
              </w:rPr>
              <w:t>Schweregrad</w:t>
            </w:r>
          </w:p>
        </w:tc>
        <w:tc>
          <w:tcPr>
            <w:tcW w:w="1022" w:type="pct"/>
            <w:shd w:val="clear" w:color="auto" w:fill="FABF8F"/>
          </w:tcPr>
          <w:p w:rsidR="008D4EE5" w:rsidRPr="0037031E" w:rsidRDefault="008D4EE5" w:rsidP="00A67771">
            <w:pPr>
              <w:jc w:val="center"/>
              <w:rPr>
                <w:rFonts w:cs="Tahoma"/>
                <w:b/>
                <w:bCs/>
                <w:color w:val="000000"/>
                <w:sz w:val="20"/>
                <w:szCs w:val="18"/>
              </w:rPr>
            </w:pPr>
            <w:r>
              <w:rPr>
                <w:rFonts w:cs="Tahoma"/>
                <w:b/>
                <w:bCs/>
                <w:color w:val="000000"/>
                <w:sz w:val="20"/>
                <w:szCs w:val="18"/>
              </w:rPr>
              <w:t>Kontakt</w:t>
            </w:r>
          </w:p>
        </w:tc>
        <w:tc>
          <w:tcPr>
            <w:tcW w:w="1571" w:type="pct"/>
            <w:shd w:val="clear" w:color="auto" w:fill="FABF8F"/>
          </w:tcPr>
          <w:p w:rsidR="008D4EE5" w:rsidRPr="0037031E" w:rsidRDefault="008D4EE5" w:rsidP="00A67771">
            <w:pPr>
              <w:jc w:val="center"/>
              <w:rPr>
                <w:rFonts w:cs="Tahoma"/>
                <w:b/>
                <w:bCs/>
                <w:color w:val="000000"/>
                <w:sz w:val="20"/>
                <w:szCs w:val="18"/>
              </w:rPr>
            </w:pPr>
            <w:r>
              <w:rPr>
                <w:rFonts w:cs="Tahoma"/>
                <w:b/>
                <w:bCs/>
                <w:color w:val="000000"/>
                <w:sz w:val="20"/>
                <w:szCs w:val="18"/>
              </w:rPr>
              <w:t>Situation des Kunden</w:t>
            </w:r>
          </w:p>
        </w:tc>
        <w:tc>
          <w:tcPr>
            <w:tcW w:w="1628" w:type="pct"/>
            <w:shd w:val="clear" w:color="auto" w:fill="FABF8F"/>
          </w:tcPr>
          <w:p w:rsidR="008D4EE5" w:rsidRPr="0037031E" w:rsidRDefault="008D4EE5" w:rsidP="00A67771">
            <w:pPr>
              <w:jc w:val="center"/>
              <w:rPr>
                <w:rFonts w:cs="Tahoma"/>
                <w:b/>
                <w:bCs/>
                <w:color w:val="000000"/>
                <w:sz w:val="20"/>
                <w:szCs w:val="18"/>
              </w:rPr>
            </w:pPr>
            <w:r>
              <w:rPr>
                <w:rFonts w:cs="Tahoma"/>
                <w:b/>
                <w:bCs/>
                <w:color w:val="000000"/>
                <w:sz w:val="20"/>
                <w:szCs w:val="18"/>
              </w:rPr>
              <w:t>Von Microsoft erwartete Reaktion</w:t>
            </w:r>
          </w:p>
        </w:tc>
      </w:tr>
      <w:tr w:rsidR="008D4EE5" w:rsidRPr="009E0647" w:rsidTr="00A67771">
        <w:tc>
          <w:tcPr>
            <w:tcW w:w="779" w:type="pct"/>
          </w:tcPr>
          <w:p w:rsidR="008D4EE5" w:rsidRPr="00C72182" w:rsidRDefault="008D4EE5" w:rsidP="00A67771">
            <w:pPr>
              <w:spacing w:after="60" w:line="240" w:lineRule="atLeast"/>
              <w:jc w:val="center"/>
              <w:rPr>
                <w:rFonts w:ascii="SegoeBook" w:hAnsi="SegoeBook"/>
                <w:szCs w:val="18"/>
              </w:rPr>
            </w:pPr>
            <w:r>
              <w:rPr>
                <w:rFonts w:ascii="SegoeBook" w:hAnsi="SegoeBook"/>
                <w:szCs w:val="18"/>
              </w:rPr>
              <w:t>A</w:t>
            </w:r>
          </w:p>
        </w:tc>
        <w:tc>
          <w:tcPr>
            <w:tcW w:w="1022" w:type="pct"/>
          </w:tcPr>
          <w:p w:rsidR="008D4EE5" w:rsidRPr="00C72182" w:rsidRDefault="008D4EE5" w:rsidP="00A67771">
            <w:pPr>
              <w:spacing w:after="60" w:line="240" w:lineRule="atLeast"/>
              <w:jc w:val="center"/>
              <w:rPr>
                <w:rFonts w:ascii="SegoeBook" w:hAnsi="SegoeBook"/>
                <w:szCs w:val="18"/>
              </w:rPr>
            </w:pPr>
            <w:r>
              <w:rPr>
                <w:rFonts w:ascii="SegoeBook" w:hAnsi="SegoeBook"/>
                <w:szCs w:val="18"/>
              </w:rPr>
              <w:t>Einreichung per Web</w:t>
            </w:r>
          </w:p>
        </w:tc>
        <w:tc>
          <w:tcPr>
            <w:tcW w:w="1571" w:type="pct"/>
          </w:tcPr>
          <w:p w:rsidR="008D4EE5" w:rsidRPr="009123CB" w:rsidRDefault="008D4EE5" w:rsidP="00A67771">
            <w:pPr>
              <w:spacing w:after="60" w:line="240" w:lineRule="atLeast"/>
              <w:rPr>
                <w:lang w:val="de-DE"/>
              </w:rPr>
            </w:pPr>
            <w:r w:rsidRPr="009123CB">
              <w:rPr>
                <w:rFonts w:ascii="SegoeBook" w:hAnsi="SegoeBook"/>
                <w:szCs w:val="18"/>
                <w:lang w:val="de-DE"/>
              </w:rPr>
              <w:t>Kritische Auswirkungen auf das Geschäft:</w:t>
            </w:r>
          </w:p>
          <w:p w:rsidR="008D4EE5" w:rsidRPr="009123CB" w:rsidRDefault="008D4EE5" w:rsidP="00A67771">
            <w:pPr>
              <w:spacing w:after="60" w:line="240" w:lineRule="atLeast"/>
              <w:rPr>
                <w:lang w:val="de-DE"/>
              </w:rPr>
            </w:pPr>
            <w:r w:rsidRPr="009123CB">
              <w:rPr>
                <w:rFonts w:ascii="SegoeBook" w:hAnsi="SegoeBook"/>
                <w:szCs w:val="18"/>
                <w:lang w:val="de-DE"/>
              </w:rPr>
              <w:t>Erheblicher Verlust oder erhebliche Beeinträchtigung von Diensten (Anwendungsausfall)</w:t>
            </w:r>
          </w:p>
          <w:p w:rsidR="008D4EE5" w:rsidRPr="009123CB" w:rsidRDefault="008D4EE5" w:rsidP="00A67771">
            <w:pPr>
              <w:spacing w:after="60" w:line="240" w:lineRule="atLeast"/>
              <w:rPr>
                <w:rFonts w:ascii="SegoeBook" w:hAnsi="SegoeBook"/>
                <w:szCs w:val="18"/>
                <w:lang w:val="de-DE"/>
              </w:rPr>
            </w:pPr>
            <w:r w:rsidRPr="009123CB">
              <w:rPr>
                <w:rFonts w:ascii="SegoeBook" w:hAnsi="SegoeBook"/>
                <w:szCs w:val="18"/>
                <w:lang w:val="de-DE"/>
              </w:rPr>
              <w:t>Bearbeitung innerhalb von 2 Stunden erforderlich</w:t>
            </w:r>
          </w:p>
        </w:tc>
        <w:tc>
          <w:tcPr>
            <w:tcW w:w="1628" w:type="pct"/>
          </w:tcPr>
          <w:p w:rsidR="008D4EE5" w:rsidRPr="0062435A" w:rsidRDefault="008D4EE5" w:rsidP="00A67771">
            <w:pPr>
              <w:spacing w:after="60" w:line="240" w:lineRule="atLeast"/>
            </w:pPr>
            <w:r>
              <w:rPr>
                <w:rFonts w:ascii="SegoeBook" w:hAnsi="SegoeBook"/>
                <w:szCs w:val="18"/>
              </w:rPr>
              <w:t>1</w:t>
            </w:r>
            <w:r w:rsidR="006257A7">
              <w:rPr>
                <w:rFonts w:ascii="SegoeBook" w:hAnsi="SegoeBook"/>
                <w:szCs w:val="18"/>
              </w:rPr>
              <w:t xml:space="preserve">. </w:t>
            </w:r>
            <w:r>
              <w:rPr>
                <w:rFonts w:ascii="SegoeBook" w:hAnsi="SegoeBook"/>
                <w:szCs w:val="18"/>
              </w:rPr>
              <w:t>Reaktion in 2 Stunden oder weniger</w:t>
            </w:r>
          </w:p>
          <w:p w:rsidR="008D4EE5" w:rsidRPr="00C72182" w:rsidRDefault="008D4EE5" w:rsidP="00A67771">
            <w:pPr>
              <w:spacing w:after="60" w:line="240" w:lineRule="atLeast"/>
              <w:rPr>
                <w:rFonts w:ascii="SegoeBook" w:hAnsi="SegoeBook"/>
                <w:szCs w:val="18"/>
              </w:rPr>
            </w:pPr>
          </w:p>
        </w:tc>
      </w:tr>
      <w:tr w:rsidR="008D4EE5" w:rsidRPr="009E0647" w:rsidTr="00A67771">
        <w:tc>
          <w:tcPr>
            <w:tcW w:w="779" w:type="pct"/>
          </w:tcPr>
          <w:p w:rsidR="008D4EE5" w:rsidRPr="00C72182" w:rsidRDefault="008D4EE5" w:rsidP="00A67771">
            <w:pPr>
              <w:keepNext/>
              <w:spacing w:after="60" w:line="240" w:lineRule="atLeast"/>
              <w:jc w:val="center"/>
              <w:rPr>
                <w:rFonts w:ascii="SegoeBook" w:hAnsi="SegoeBook"/>
                <w:szCs w:val="18"/>
              </w:rPr>
            </w:pPr>
            <w:r>
              <w:rPr>
                <w:rFonts w:ascii="SegoeBook" w:hAnsi="SegoeBook"/>
                <w:szCs w:val="18"/>
              </w:rPr>
              <w:t>B</w:t>
            </w:r>
          </w:p>
        </w:tc>
        <w:tc>
          <w:tcPr>
            <w:tcW w:w="1022" w:type="pct"/>
          </w:tcPr>
          <w:p w:rsidR="008D4EE5" w:rsidRPr="00C72182" w:rsidRDefault="008D4EE5" w:rsidP="00A67771">
            <w:pPr>
              <w:spacing w:after="60" w:line="240" w:lineRule="atLeast"/>
              <w:jc w:val="center"/>
              <w:rPr>
                <w:rFonts w:ascii="SegoeBook" w:hAnsi="SegoeBook"/>
                <w:szCs w:val="18"/>
              </w:rPr>
            </w:pPr>
            <w:r>
              <w:rPr>
                <w:rFonts w:ascii="SegoeBook" w:hAnsi="SegoeBook"/>
                <w:szCs w:val="18"/>
              </w:rPr>
              <w:t>Einreichung per Web</w:t>
            </w:r>
          </w:p>
        </w:tc>
        <w:tc>
          <w:tcPr>
            <w:tcW w:w="1571" w:type="pct"/>
          </w:tcPr>
          <w:p w:rsidR="008D4EE5" w:rsidRPr="009123CB" w:rsidRDefault="008D4EE5" w:rsidP="00A67771">
            <w:pPr>
              <w:spacing w:after="60" w:line="240" w:lineRule="atLeast"/>
              <w:rPr>
                <w:lang w:val="de-DE"/>
              </w:rPr>
            </w:pPr>
            <w:r w:rsidRPr="009123CB">
              <w:rPr>
                <w:rFonts w:ascii="SegoeBook" w:hAnsi="SegoeBook"/>
                <w:szCs w:val="18"/>
                <w:lang w:val="de-DE"/>
              </w:rPr>
              <w:t xml:space="preserve">Mittelschwere Auswirkungen auf das Geschäft: </w:t>
            </w:r>
          </w:p>
          <w:p w:rsidR="008D4EE5" w:rsidRPr="009123CB" w:rsidRDefault="008D4EE5" w:rsidP="00A67771">
            <w:pPr>
              <w:spacing w:line="240" w:lineRule="atLeast"/>
              <w:rPr>
                <w:lang w:val="de-DE"/>
              </w:rPr>
            </w:pPr>
            <w:r w:rsidRPr="009123CB">
              <w:rPr>
                <w:rFonts w:ascii="SegoeBook" w:hAnsi="SegoeBook"/>
                <w:szCs w:val="18"/>
                <w:lang w:val="de-DE"/>
              </w:rPr>
              <w:t>Mittelmäßiger Verlust oder mittelmäßige Beeinträchtigung von Diensten, die Arbeit kann jedoch vernünftigerweise mit Beeinträchtigungen fortgesetzt werden</w:t>
            </w:r>
            <w:r w:rsidR="006257A7">
              <w:rPr>
                <w:rFonts w:ascii="SegoeBook" w:hAnsi="SegoeBook"/>
                <w:szCs w:val="18"/>
                <w:lang w:val="de-DE"/>
              </w:rPr>
              <w:t xml:space="preserve">. </w:t>
            </w:r>
          </w:p>
          <w:p w:rsidR="008D4EE5" w:rsidRPr="009123CB" w:rsidRDefault="008D4EE5" w:rsidP="00F04B7B">
            <w:pPr>
              <w:spacing w:after="60" w:line="240" w:lineRule="atLeast"/>
              <w:rPr>
                <w:rFonts w:ascii="SegoeBook" w:hAnsi="SegoeBook"/>
                <w:szCs w:val="18"/>
                <w:lang w:val="de-DE"/>
              </w:rPr>
            </w:pPr>
            <w:r w:rsidRPr="009123CB">
              <w:rPr>
                <w:rFonts w:ascii="SegoeBook" w:hAnsi="SegoeBook"/>
                <w:szCs w:val="18"/>
                <w:lang w:val="de-DE"/>
              </w:rPr>
              <w:t>Bearbeitung innerhalb von 4</w:t>
            </w:r>
            <w:r w:rsidR="00F04B7B">
              <w:rPr>
                <w:rFonts w:ascii="SegoeBook" w:hAnsi="SegoeBook"/>
                <w:szCs w:val="18"/>
                <w:lang w:val="de-DE"/>
              </w:rPr>
              <w:t> </w:t>
            </w:r>
            <w:r w:rsidRPr="009123CB">
              <w:rPr>
                <w:rFonts w:ascii="SegoeBook" w:hAnsi="SegoeBook"/>
                <w:szCs w:val="18"/>
                <w:lang w:val="de-DE"/>
              </w:rPr>
              <w:t>Stunden erforderlich</w:t>
            </w:r>
          </w:p>
        </w:tc>
        <w:tc>
          <w:tcPr>
            <w:tcW w:w="1628" w:type="pct"/>
          </w:tcPr>
          <w:p w:rsidR="008D4EE5" w:rsidRPr="0062435A" w:rsidRDefault="008D4EE5" w:rsidP="00A67771">
            <w:pPr>
              <w:spacing w:line="240" w:lineRule="atLeast"/>
            </w:pPr>
            <w:r>
              <w:rPr>
                <w:rFonts w:ascii="SegoeBook" w:hAnsi="SegoeBook"/>
                <w:szCs w:val="18"/>
              </w:rPr>
              <w:t>1</w:t>
            </w:r>
            <w:r w:rsidR="006257A7">
              <w:rPr>
                <w:rFonts w:ascii="SegoeBook" w:hAnsi="SegoeBook"/>
                <w:szCs w:val="18"/>
              </w:rPr>
              <w:t xml:space="preserve">. </w:t>
            </w:r>
            <w:r>
              <w:rPr>
                <w:rFonts w:ascii="SegoeBook" w:hAnsi="SegoeBook"/>
                <w:szCs w:val="18"/>
              </w:rPr>
              <w:t>Reaktion in 4 Stunden oder weniger</w:t>
            </w:r>
          </w:p>
          <w:p w:rsidR="008D4EE5" w:rsidRPr="00C72182" w:rsidRDefault="008D4EE5" w:rsidP="00A67771">
            <w:pPr>
              <w:spacing w:after="60" w:line="240" w:lineRule="atLeast"/>
              <w:rPr>
                <w:rFonts w:ascii="SegoeBook" w:hAnsi="SegoeBook"/>
                <w:szCs w:val="18"/>
              </w:rPr>
            </w:pPr>
          </w:p>
        </w:tc>
      </w:tr>
      <w:tr w:rsidR="008D4EE5" w:rsidRPr="009E0647" w:rsidTr="00A67771">
        <w:tc>
          <w:tcPr>
            <w:tcW w:w="779" w:type="pct"/>
          </w:tcPr>
          <w:p w:rsidR="008D4EE5" w:rsidRPr="00C72182" w:rsidRDefault="008D4EE5" w:rsidP="00A67771">
            <w:pPr>
              <w:spacing w:after="60" w:line="240" w:lineRule="atLeast"/>
              <w:jc w:val="center"/>
              <w:rPr>
                <w:rFonts w:ascii="SegoeBook" w:hAnsi="SegoeBook"/>
                <w:szCs w:val="18"/>
              </w:rPr>
            </w:pPr>
            <w:r>
              <w:rPr>
                <w:rFonts w:ascii="SegoeBook" w:hAnsi="SegoeBook"/>
                <w:szCs w:val="18"/>
              </w:rPr>
              <w:t>C</w:t>
            </w:r>
          </w:p>
        </w:tc>
        <w:tc>
          <w:tcPr>
            <w:tcW w:w="1022" w:type="pct"/>
          </w:tcPr>
          <w:p w:rsidR="008D4EE5" w:rsidRPr="00C72182" w:rsidRDefault="008D4EE5" w:rsidP="00A67771">
            <w:pPr>
              <w:spacing w:after="60" w:line="240" w:lineRule="atLeast"/>
              <w:jc w:val="center"/>
              <w:rPr>
                <w:rFonts w:ascii="SegoeBook" w:hAnsi="SegoeBook"/>
                <w:szCs w:val="18"/>
              </w:rPr>
            </w:pPr>
            <w:r>
              <w:rPr>
                <w:rFonts w:ascii="SegoeBook" w:hAnsi="SegoeBook"/>
                <w:szCs w:val="18"/>
              </w:rPr>
              <w:t>Einreichung per Web</w:t>
            </w:r>
          </w:p>
        </w:tc>
        <w:tc>
          <w:tcPr>
            <w:tcW w:w="1571" w:type="pct"/>
          </w:tcPr>
          <w:p w:rsidR="008D4EE5" w:rsidRPr="009123CB" w:rsidRDefault="008D4EE5" w:rsidP="00A67771">
            <w:pPr>
              <w:rPr>
                <w:lang w:val="de-DE"/>
              </w:rPr>
            </w:pPr>
            <w:r w:rsidRPr="009123CB">
              <w:rPr>
                <w:rFonts w:ascii="SegoeBook" w:hAnsi="SegoeBook"/>
                <w:szCs w:val="18"/>
                <w:lang w:val="de-DE"/>
              </w:rPr>
              <w:t>Minimale Auswirkungen auf das Geschäft:</w:t>
            </w:r>
          </w:p>
          <w:p w:rsidR="008D4EE5" w:rsidRPr="009123CB" w:rsidRDefault="008D4EE5" w:rsidP="00A67771">
            <w:pPr>
              <w:rPr>
                <w:lang w:val="de-DE"/>
              </w:rPr>
            </w:pPr>
            <w:r w:rsidRPr="009123CB">
              <w:rPr>
                <w:rFonts w:ascii="SegoeBook" w:hAnsi="SegoeBook"/>
                <w:szCs w:val="18"/>
                <w:lang w:val="de-DE"/>
              </w:rPr>
              <w:t>Im Wesentlichen funktionsfähig, mit geringen oder keinen Beeinträchtigungen von Diensten</w:t>
            </w:r>
            <w:r w:rsidR="006257A7">
              <w:rPr>
                <w:rFonts w:ascii="SegoeBook" w:hAnsi="SegoeBook"/>
                <w:szCs w:val="18"/>
                <w:lang w:val="de-DE"/>
              </w:rPr>
              <w:t xml:space="preserve">. </w:t>
            </w:r>
          </w:p>
          <w:p w:rsidR="008D4EE5" w:rsidRPr="009123CB" w:rsidRDefault="008D4EE5" w:rsidP="00F04B7B">
            <w:pPr>
              <w:spacing w:after="60" w:line="240" w:lineRule="atLeast"/>
              <w:rPr>
                <w:rFonts w:ascii="SegoeBook" w:hAnsi="SegoeBook"/>
                <w:szCs w:val="18"/>
                <w:lang w:val="de-DE"/>
              </w:rPr>
            </w:pPr>
            <w:r w:rsidRPr="009123CB">
              <w:rPr>
                <w:rFonts w:ascii="SegoeBook" w:hAnsi="SegoeBook"/>
                <w:szCs w:val="18"/>
                <w:lang w:val="de-DE"/>
              </w:rPr>
              <w:t>Bearbeitung innerhalb von 8</w:t>
            </w:r>
            <w:r w:rsidR="00F04B7B">
              <w:rPr>
                <w:rFonts w:ascii="SegoeBook" w:hAnsi="SegoeBook"/>
                <w:szCs w:val="18"/>
                <w:lang w:val="de-DE"/>
              </w:rPr>
              <w:t> </w:t>
            </w:r>
            <w:r w:rsidRPr="009123CB">
              <w:rPr>
                <w:rFonts w:ascii="SegoeBook" w:hAnsi="SegoeBook"/>
                <w:szCs w:val="18"/>
                <w:lang w:val="de-DE"/>
              </w:rPr>
              <w:t>Stunden erforderlich</w:t>
            </w:r>
          </w:p>
        </w:tc>
        <w:tc>
          <w:tcPr>
            <w:tcW w:w="1628" w:type="pct"/>
          </w:tcPr>
          <w:p w:rsidR="008D4EE5" w:rsidRPr="0062435A" w:rsidRDefault="008D4EE5" w:rsidP="00A67771">
            <w:r>
              <w:rPr>
                <w:rFonts w:ascii="SegoeBook" w:hAnsi="SegoeBook"/>
                <w:szCs w:val="18"/>
              </w:rPr>
              <w:t>1</w:t>
            </w:r>
            <w:r w:rsidR="006257A7">
              <w:rPr>
                <w:rFonts w:ascii="SegoeBook" w:hAnsi="SegoeBook"/>
                <w:szCs w:val="18"/>
              </w:rPr>
              <w:t xml:space="preserve">. </w:t>
            </w:r>
            <w:r>
              <w:rPr>
                <w:rFonts w:ascii="SegoeBook" w:hAnsi="SegoeBook"/>
                <w:szCs w:val="18"/>
              </w:rPr>
              <w:t>Reaktion in 8 Stunden oder weniger</w:t>
            </w:r>
          </w:p>
          <w:p w:rsidR="008D4EE5" w:rsidRPr="00C72182" w:rsidRDefault="008D4EE5" w:rsidP="00A67771">
            <w:pPr>
              <w:spacing w:line="240" w:lineRule="atLeast"/>
              <w:rPr>
                <w:rFonts w:ascii="SegoeBook" w:hAnsi="SegoeBook"/>
                <w:szCs w:val="18"/>
              </w:rPr>
            </w:pPr>
          </w:p>
        </w:tc>
      </w:tr>
    </w:tbl>
    <w:p w:rsidR="008D4EE5" w:rsidRPr="0062435A" w:rsidRDefault="008D4EE5" w:rsidP="008D4EE5"/>
    <w:p w:rsidR="008D4EE5" w:rsidRPr="009123CB" w:rsidRDefault="008D4EE5" w:rsidP="008D4EE5">
      <w:pPr>
        <w:tabs>
          <w:tab w:val="left" w:pos="360"/>
        </w:tabs>
        <w:jc w:val="both"/>
        <w:rPr>
          <w:lang w:val="de-DE"/>
        </w:rPr>
      </w:pPr>
      <w:r w:rsidRPr="009123CB">
        <w:rPr>
          <w:rFonts w:cs="Arial"/>
          <w:snapToGrid w:val="0"/>
          <w:color w:val="000000"/>
          <w:szCs w:val="18"/>
          <w:lang w:val="de-DE"/>
        </w:rPr>
        <w:t>Kunden können sich dafür entscheiden, bei bis zu 3 Fällen pro Monat einen Rückruf von Microsoft zu erhalten</w:t>
      </w:r>
      <w:r w:rsidR="006257A7">
        <w:rPr>
          <w:rFonts w:cs="Arial"/>
          <w:snapToGrid w:val="0"/>
          <w:color w:val="000000"/>
          <w:szCs w:val="18"/>
          <w:lang w:val="de-DE"/>
        </w:rPr>
        <w:t xml:space="preserve">. </w:t>
      </w:r>
      <w:r w:rsidRPr="009123CB">
        <w:rPr>
          <w:rFonts w:cs="Arial"/>
          <w:snapToGrid w:val="0"/>
          <w:color w:val="000000"/>
          <w:szCs w:val="18"/>
          <w:lang w:val="de-DE"/>
        </w:rPr>
        <w:t>Andernfalls übernimmt das Windows Azure-Supportteam die Fehlerbehebung und bearbeitet den Fall über Onlinekanäle (z</w:t>
      </w:r>
      <w:r w:rsidR="006257A7">
        <w:rPr>
          <w:rFonts w:cs="Arial"/>
          <w:snapToGrid w:val="0"/>
          <w:color w:val="000000"/>
          <w:szCs w:val="18"/>
          <w:lang w:val="de-DE"/>
        </w:rPr>
        <w:t xml:space="preserve">. </w:t>
      </w:r>
      <w:r w:rsidRPr="009123CB">
        <w:rPr>
          <w:rFonts w:cs="Arial"/>
          <w:snapToGrid w:val="0"/>
          <w:color w:val="000000"/>
          <w:szCs w:val="18"/>
          <w:lang w:val="de-DE"/>
        </w:rPr>
        <w:t>B</w:t>
      </w:r>
      <w:r w:rsidR="006257A7">
        <w:rPr>
          <w:rFonts w:cs="Arial"/>
          <w:snapToGrid w:val="0"/>
          <w:color w:val="000000"/>
          <w:szCs w:val="18"/>
          <w:lang w:val="de-DE"/>
        </w:rPr>
        <w:t xml:space="preserve">. </w:t>
      </w:r>
      <w:r w:rsidRPr="009123CB">
        <w:rPr>
          <w:rFonts w:cs="Arial"/>
          <w:snapToGrid w:val="0"/>
          <w:color w:val="000000"/>
          <w:szCs w:val="18"/>
          <w:lang w:val="de-DE"/>
        </w:rPr>
        <w:t>E-Mail oder Windows Azure-Portal)</w:t>
      </w:r>
      <w:r w:rsidR="006257A7">
        <w:rPr>
          <w:rFonts w:cs="Arial"/>
          <w:snapToGrid w:val="0"/>
          <w:color w:val="000000"/>
          <w:szCs w:val="18"/>
          <w:lang w:val="de-DE"/>
        </w:rPr>
        <w:t xml:space="preserve">. </w:t>
      </w:r>
    </w:p>
    <w:p w:rsidR="008D4EE5" w:rsidRPr="009123CB" w:rsidRDefault="008D4EE5" w:rsidP="008D4EE5">
      <w:pPr>
        <w:rPr>
          <w:lang w:val="de-DE"/>
        </w:rPr>
      </w:pPr>
    </w:p>
    <w:p w:rsidR="008D4EE5" w:rsidRPr="009123CB" w:rsidRDefault="008D4EE5" w:rsidP="008D4EE5">
      <w:pPr>
        <w:rPr>
          <w:lang w:val="de-DE"/>
        </w:rPr>
      </w:pPr>
      <w:r w:rsidRPr="009123CB">
        <w:rPr>
          <w:b/>
          <w:sz w:val="24"/>
          <w:szCs w:val="24"/>
          <w:lang w:val="de-DE"/>
        </w:rPr>
        <w:t>Microsoft Enterprise Strategy-Programmangebote</w:t>
      </w:r>
    </w:p>
    <w:p w:rsidR="008D4EE5" w:rsidRPr="009123CB" w:rsidRDefault="008D4EE5" w:rsidP="008D4EE5">
      <w:pPr>
        <w:rPr>
          <w:lang w:val="de-DE"/>
        </w:rPr>
      </w:pPr>
    </w:p>
    <w:p w:rsidR="008D4EE5" w:rsidRPr="009123CB" w:rsidRDefault="008D4EE5" w:rsidP="008D4EE5">
      <w:pPr>
        <w:widowControl w:val="0"/>
        <w:tabs>
          <w:tab w:val="left" w:pos="720"/>
          <w:tab w:val="left" w:pos="1170"/>
        </w:tabs>
        <w:spacing w:after="60"/>
        <w:rPr>
          <w:lang w:val="de-DE"/>
        </w:rPr>
      </w:pPr>
      <w:r w:rsidRPr="009123CB">
        <w:rPr>
          <w:rFonts w:cs="Arial"/>
          <w:b/>
          <w:bCs/>
          <w:szCs w:val="18"/>
          <w:lang w:val="de-DE"/>
        </w:rPr>
        <w:t>Übersicht über das Microsoft Enterprise Strategy-Programm</w:t>
      </w:r>
    </w:p>
    <w:p w:rsidR="008D4EE5" w:rsidRPr="009123CB" w:rsidRDefault="008D4EE5" w:rsidP="008D4EE5">
      <w:pPr>
        <w:rPr>
          <w:lang w:val="de-DE"/>
        </w:rPr>
      </w:pPr>
      <w:r w:rsidRPr="009123CB">
        <w:rPr>
          <w:rFonts w:cs="Arial"/>
          <w:lang w:val="de-DE"/>
        </w:rPr>
        <w:t>Das Enterprise Strategy-Programm für den Microsoft Konzernvertrag bietet Kunden Beratung durch einen Microsoft Enterprise Architects zur Verkürzung der Technologieeinführungsdauer und zur Planung messbarer Veränderungen, die zu einem größeren Nutzen der Investition in den Microsoft-Technologien führen</w:t>
      </w:r>
      <w:r w:rsidR="006257A7">
        <w:rPr>
          <w:rFonts w:cs="Arial"/>
          <w:lang w:val="de-DE"/>
        </w:rPr>
        <w:t xml:space="preserve">. </w:t>
      </w:r>
      <w:r w:rsidRPr="009123CB">
        <w:rPr>
          <w:rFonts w:cs="Arial"/>
          <w:lang w:val="de-DE"/>
        </w:rPr>
        <w:t>Alle Angaben zu Zeitskalen, Daten und Bereitstellungszeitplänen sind lediglich Schätzungen und können sich ändern</w:t>
      </w:r>
      <w:r w:rsidR="006257A7">
        <w:rPr>
          <w:rFonts w:cs="Arial"/>
          <w:lang w:val="de-DE"/>
        </w:rPr>
        <w:t xml:space="preserve">. </w:t>
      </w:r>
    </w:p>
    <w:p w:rsidR="008D4EE5" w:rsidRPr="009123CB" w:rsidRDefault="008D4EE5" w:rsidP="008D4EE5">
      <w:pPr>
        <w:rPr>
          <w:lang w:val="de-DE"/>
        </w:rPr>
      </w:pPr>
    </w:p>
    <w:p w:rsidR="008D4EE5" w:rsidRPr="009123CB" w:rsidRDefault="008D4EE5" w:rsidP="008D4EE5">
      <w:pPr>
        <w:rPr>
          <w:lang w:val="de-DE"/>
        </w:rPr>
      </w:pPr>
      <w:r w:rsidRPr="009123CB">
        <w:rPr>
          <w:rFonts w:cs="Arial"/>
          <w:lang w:val="de-DE"/>
        </w:rPr>
        <w:t>Die Enterprise Strategy-Programmangebote enthalten die folgenden Komponenten, die für jedes Jahr des Konzernvertrages des Kunden bereitgestellt werden:</w:t>
      </w:r>
    </w:p>
    <w:p w:rsidR="008D4EE5" w:rsidRPr="009123CB" w:rsidRDefault="008D4EE5" w:rsidP="008D4EE5">
      <w:pPr>
        <w:rPr>
          <w:lang w:val="de-DE"/>
        </w:rPr>
      </w:pPr>
      <w:bookmarkStart w:id="923" w:name="OLE_LINK5"/>
      <w:bookmarkStart w:id="924"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8D4EE5" w:rsidRPr="00DD7F8E" w:rsidTr="00A67771">
        <w:tc>
          <w:tcPr>
            <w:tcW w:w="2555" w:type="dxa"/>
            <w:shd w:val="clear" w:color="auto" w:fill="FABF8F"/>
            <w:vAlign w:val="center"/>
          </w:tcPr>
          <w:p w:rsidR="008D4EE5" w:rsidRPr="00DD7F8E" w:rsidRDefault="008D4EE5" w:rsidP="00A67771">
            <w:pPr>
              <w:jc w:val="center"/>
              <w:rPr>
                <w:rFonts w:cs="Tahoma"/>
                <w:color w:val="000000"/>
                <w:szCs w:val="18"/>
              </w:rPr>
            </w:pPr>
            <w:r>
              <w:rPr>
                <w:rFonts w:cs="Tahoma"/>
                <w:b/>
                <w:bCs/>
                <w:color w:val="000000"/>
                <w:sz w:val="20"/>
                <w:szCs w:val="18"/>
              </w:rPr>
              <w:t>Bereich</w:t>
            </w:r>
          </w:p>
        </w:tc>
        <w:tc>
          <w:tcPr>
            <w:tcW w:w="2215" w:type="dxa"/>
            <w:shd w:val="clear" w:color="auto" w:fill="FABF8F"/>
            <w:vAlign w:val="center"/>
          </w:tcPr>
          <w:p w:rsidR="008D4EE5" w:rsidRPr="00DD7F8E" w:rsidRDefault="008D4EE5" w:rsidP="00A67771">
            <w:pPr>
              <w:jc w:val="center"/>
              <w:rPr>
                <w:rFonts w:cs="Tahoma"/>
                <w:b/>
                <w:bCs/>
                <w:color w:val="000000"/>
                <w:sz w:val="20"/>
                <w:szCs w:val="20"/>
              </w:rPr>
            </w:pPr>
            <w:r>
              <w:rPr>
                <w:rFonts w:cs="Tahoma"/>
                <w:b/>
                <w:bCs/>
                <w:color w:val="000000"/>
                <w:sz w:val="20"/>
                <w:szCs w:val="20"/>
              </w:rPr>
              <w:t>Enterprise Strategy Connect</w:t>
            </w:r>
          </w:p>
        </w:tc>
        <w:tc>
          <w:tcPr>
            <w:tcW w:w="2340" w:type="dxa"/>
            <w:shd w:val="clear" w:color="auto" w:fill="FABF8F"/>
            <w:vAlign w:val="center"/>
          </w:tcPr>
          <w:p w:rsidR="008D4EE5" w:rsidRPr="00DD7F8E" w:rsidRDefault="008D4EE5" w:rsidP="00A67771">
            <w:pPr>
              <w:jc w:val="center"/>
              <w:rPr>
                <w:rFonts w:cs="Tahoma"/>
                <w:color w:val="000000"/>
                <w:sz w:val="20"/>
                <w:szCs w:val="20"/>
              </w:rPr>
            </w:pPr>
            <w:r>
              <w:rPr>
                <w:rFonts w:cs="Tahoma"/>
                <w:b/>
                <w:bCs/>
                <w:color w:val="000000"/>
                <w:sz w:val="20"/>
                <w:szCs w:val="20"/>
              </w:rPr>
              <w:t>Enterprise Strategy Foundation</w:t>
            </w:r>
          </w:p>
        </w:tc>
        <w:tc>
          <w:tcPr>
            <w:tcW w:w="2250" w:type="dxa"/>
            <w:shd w:val="clear" w:color="auto" w:fill="FABF8F"/>
            <w:vAlign w:val="center"/>
          </w:tcPr>
          <w:p w:rsidR="008D4EE5" w:rsidRPr="00DD7F8E" w:rsidRDefault="008D4EE5" w:rsidP="00A67771">
            <w:pPr>
              <w:jc w:val="center"/>
              <w:rPr>
                <w:rFonts w:cs="Tahoma"/>
                <w:b/>
                <w:bCs/>
                <w:color w:val="000000"/>
                <w:sz w:val="20"/>
                <w:szCs w:val="18"/>
              </w:rPr>
            </w:pPr>
            <w:r>
              <w:rPr>
                <w:rFonts w:cs="Tahoma"/>
                <w:b/>
                <w:bCs/>
                <w:color w:val="000000"/>
                <w:sz w:val="20"/>
                <w:szCs w:val="18"/>
              </w:rPr>
              <w:t>Enterprise Strategy Portfolio</w:t>
            </w:r>
          </w:p>
        </w:tc>
      </w:tr>
      <w:tr w:rsidR="008D4EE5" w:rsidRPr="00DD7F8E" w:rsidTr="00A67771">
        <w:tc>
          <w:tcPr>
            <w:tcW w:w="2555" w:type="dxa"/>
            <w:vAlign w:val="center"/>
          </w:tcPr>
          <w:p w:rsidR="008D4EE5" w:rsidRPr="00DD7F8E" w:rsidRDefault="008D4EE5" w:rsidP="00A67771">
            <w:pPr>
              <w:rPr>
                <w:rFonts w:cs="Tahoma"/>
                <w:color w:val="000000"/>
                <w:szCs w:val="18"/>
              </w:rPr>
            </w:pPr>
            <w:r>
              <w:rPr>
                <w:rFonts w:cs="Tahoma"/>
                <w:color w:val="000000"/>
                <w:szCs w:val="18"/>
              </w:rPr>
              <w:t>Enterprise Architect</w:t>
            </w:r>
          </w:p>
        </w:tc>
        <w:tc>
          <w:tcPr>
            <w:tcW w:w="2215" w:type="dxa"/>
            <w:vAlign w:val="center"/>
          </w:tcPr>
          <w:p w:rsidR="008D4EE5" w:rsidRPr="00DD7F8E" w:rsidRDefault="008D4EE5" w:rsidP="00A634DA">
            <w:pPr>
              <w:jc w:val="center"/>
              <w:rPr>
                <w:rFonts w:eastAsia="MS UI Gothic" w:cs="Tahoma"/>
                <w:color w:val="000000"/>
                <w:szCs w:val="18"/>
              </w:rPr>
            </w:pPr>
            <w:r>
              <w:rPr>
                <w:rFonts w:eastAsia="MS UI Gothic" w:cs="Tahoma"/>
                <w:color w:val="000000"/>
                <w:szCs w:val="18"/>
              </w:rPr>
              <w:t>1 Microsoft Enterprise Architect (Teilzeit, 1</w:t>
            </w:r>
            <w:r w:rsidR="00A634DA">
              <w:rPr>
                <w:rFonts w:eastAsia="MS UI Gothic" w:cs="Tahoma"/>
                <w:color w:val="000000"/>
                <w:szCs w:val="18"/>
              </w:rPr>
              <w:t> </w:t>
            </w:r>
            <w:r>
              <w:rPr>
                <w:rFonts w:eastAsia="MS UI Gothic" w:cs="Tahoma"/>
                <w:color w:val="000000"/>
                <w:szCs w:val="18"/>
              </w:rPr>
              <w:t xml:space="preserve">Viertel) </w:t>
            </w:r>
            <w:r>
              <w:rPr>
                <w:rFonts w:cs="Tahoma"/>
                <w:b/>
                <w:bCs/>
                <w:color w:val="000000"/>
                <w:sz w:val="20"/>
                <w:szCs w:val="18"/>
                <w:vertAlign w:val="superscript"/>
              </w:rPr>
              <w:t>1</w:t>
            </w:r>
          </w:p>
        </w:tc>
        <w:tc>
          <w:tcPr>
            <w:tcW w:w="2340" w:type="dxa"/>
            <w:vAlign w:val="center"/>
          </w:tcPr>
          <w:p w:rsidR="008D4EE5" w:rsidRPr="00DD7F8E" w:rsidRDefault="008D4EE5" w:rsidP="00A67771">
            <w:pPr>
              <w:jc w:val="center"/>
              <w:rPr>
                <w:rFonts w:cs="Tahoma"/>
                <w:color w:val="000000"/>
                <w:szCs w:val="18"/>
              </w:rPr>
            </w:pPr>
            <w:r>
              <w:rPr>
                <w:rFonts w:eastAsia="MS UI Gothic" w:cs="Tahoma"/>
                <w:color w:val="000000"/>
                <w:szCs w:val="18"/>
              </w:rPr>
              <w:t xml:space="preserve">1 Microsoft Enterprise Architect (Teilzeit) </w:t>
            </w:r>
            <w:r>
              <w:rPr>
                <w:rFonts w:cs="Tahoma"/>
                <w:b/>
                <w:bCs/>
                <w:color w:val="000000"/>
                <w:sz w:val="20"/>
                <w:szCs w:val="18"/>
                <w:vertAlign w:val="superscript"/>
              </w:rPr>
              <w:t>1</w:t>
            </w:r>
          </w:p>
        </w:tc>
        <w:tc>
          <w:tcPr>
            <w:tcW w:w="2250" w:type="dxa"/>
            <w:vAlign w:val="center"/>
          </w:tcPr>
          <w:p w:rsidR="008D4EE5" w:rsidRPr="00DD7F8E" w:rsidRDefault="008D4EE5" w:rsidP="00A67771">
            <w:pPr>
              <w:jc w:val="center"/>
              <w:rPr>
                <w:rFonts w:cs="Tahoma"/>
                <w:color w:val="000000"/>
                <w:szCs w:val="18"/>
              </w:rPr>
            </w:pPr>
            <w:r>
              <w:rPr>
                <w:rFonts w:eastAsia="MS UI Gothic" w:cs="Tahoma"/>
                <w:color w:val="000000"/>
                <w:szCs w:val="18"/>
              </w:rPr>
              <w:t xml:space="preserve">1 Microsoft Enterprise Architect (Vollzeit) </w:t>
            </w:r>
            <w:r>
              <w:rPr>
                <w:rFonts w:cs="Tahoma"/>
                <w:b/>
                <w:bCs/>
                <w:color w:val="000000"/>
                <w:sz w:val="20"/>
                <w:szCs w:val="18"/>
                <w:vertAlign w:val="superscript"/>
              </w:rPr>
              <w:t>1</w:t>
            </w:r>
          </w:p>
        </w:tc>
      </w:tr>
      <w:tr w:rsidR="008D4EE5" w:rsidRPr="00FB51BA" w:rsidTr="00A67771">
        <w:tc>
          <w:tcPr>
            <w:tcW w:w="2555" w:type="dxa"/>
            <w:vAlign w:val="center"/>
          </w:tcPr>
          <w:p w:rsidR="008D4EE5" w:rsidRPr="00DD7F8E" w:rsidRDefault="008D4EE5" w:rsidP="00A67771">
            <w:pPr>
              <w:rPr>
                <w:rFonts w:cs="Tahoma"/>
                <w:color w:val="000000"/>
                <w:szCs w:val="18"/>
              </w:rPr>
            </w:pPr>
            <w:r>
              <w:rPr>
                <w:rFonts w:cs="Tahoma"/>
                <w:color w:val="000000"/>
                <w:szCs w:val="18"/>
              </w:rPr>
              <w:t>Bewertung</w:t>
            </w:r>
            <w:r>
              <w:rPr>
                <w:rFonts w:cs="Tahoma"/>
                <w:b/>
                <w:bCs/>
                <w:color w:val="000000"/>
                <w:sz w:val="20"/>
                <w:szCs w:val="18"/>
              </w:rPr>
              <w:t xml:space="preserve"> </w:t>
            </w:r>
            <w:r>
              <w:rPr>
                <w:rFonts w:cs="Tahoma"/>
                <w:b/>
                <w:bCs/>
                <w:color w:val="000000"/>
                <w:sz w:val="20"/>
                <w:szCs w:val="18"/>
                <w:vertAlign w:val="superscript"/>
              </w:rPr>
              <w:t>2</w:t>
            </w:r>
          </w:p>
        </w:tc>
        <w:tc>
          <w:tcPr>
            <w:tcW w:w="2215" w:type="dxa"/>
            <w:vAlign w:val="center"/>
          </w:tcPr>
          <w:p w:rsidR="008D4EE5" w:rsidRPr="009123CB" w:rsidRDefault="008D4EE5" w:rsidP="00A634DA">
            <w:pPr>
              <w:jc w:val="center"/>
              <w:rPr>
                <w:rFonts w:cs="Tahoma"/>
                <w:color w:val="000000"/>
                <w:szCs w:val="18"/>
                <w:lang w:val="de-DE"/>
              </w:rPr>
            </w:pPr>
            <w:r w:rsidRPr="009123CB">
              <w:rPr>
                <w:rFonts w:cs="Tahoma"/>
                <w:color w:val="000000"/>
                <w:szCs w:val="18"/>
                <w:lang w:val="de-DE"/>
              </w:rPr>
              <w:t>Bis zu 25 % des Architect-Aufwands pro</w:t>
            </w:r>
            <w:r w:rsidR="00A634DA">
              <w:rPr>
                <w:rFonts w:cs="Tahoma"/>
                <w:color w:val="000000"/>
                <w:szCs w:val="18"/>
                <w:lang w:val="de-DE"/>
              </w:rPr>
              <w:t> </w:t>
            </w:r>
            <w:r w:rsidRPr="009123CB">
              <w:rPr>
                <w:rFonts w:cs="Tahoma"/>
                <w:color w:val="000000"/>
                <w:szCs w:val="18"/>
                <w:lang w:val="de-DE"/>
              </w:rPr>
              <w:t>Jahr</w:t>
            </w:r>
          </w:p>
        </w:tc>
        <w:tc>
          <w:tcPr>
            <w:tcW w:w="2340" w:type="dxa"/>
            <w:vAlign w:val="center"/>
          </w:tcPr>
          <w:p w:rsidR="008D4EE5" w:rsidRPr="009123CB" w:rsidRDefault="008D4EE5" w:rsidP="00A67771">
            <w:pPr>
              <w:jc w:val="center"/>
              <w:rPr>
                <w:rFonts w:cs="Tahoma"/>
                <w:color w:val="000000"/>
                <w:szCs w:val="18"/>
                <w:lang w:val="de-DE"/>
              </w:rPr>
            </w:pPr>
            <w:r w:rsidRPr="009123CB">
              <w:rPr>
                <w:rFonts w:cs="Tahoma"/>
                <w:color w:val="000000"/>
                <w:szCs w:val="18"/>
                <w:lang w:val="de-DE"/>
              </w:rPr>
              <w:t>Bis zu 25 % des Architect-Aufwands pro Jahr</w:t>
            </w:r>
          </w:p>
        </w:tc>
        <w:tc>
          <w:tcPr>
            <w:tcW w:w="2250" w:type="dxa"/>
            <w:vAlign w:val="center"/>
          </w:tcPr>
          <w:p w:rsidR="008D4EE5" w:rsidRPr="009123CB" w:rsidRDefault="008D4EE5" w:rsidP="00A634DA">
            <w:pPr>
              <w:jc w:val="center"/>
              <w:rPr>
                <w:rFonts w:cs="Tahoma"/>
                <w:color w:val="000000"/>
                <w:szCs w:val="18"/>
                <w:lang w:val="de-DE"/>
              </w:rPr>
            </w:pPr>
            <w:r w:rsidRPr="009123CB">
              <w:rPr>
                <w:rFonts w:cs="Tahoma"/>
                <w:color w:val="000000"/>
                <w:szCs w:val="18"/>
                <w:lang w:val="de-DE"/>
              </w:rPr>
              <w:t>Bis zu 25 % des Architect-Aufwands pro</w:t>
            </w:r>
            <w:r w:rsidR="00A634DA">
              <w:rPr>
                <w:rFonts w:cs="Tahoma"/>
                <w:color w:val="000000"/>
                <w:szCs w:val="18"/>
                <w:lang w:val="de-DE"/>
              </w:rPr>
              <w:t> </w:t>
            </w:r>
            <w:r w:rsidRPr="009123CB">
              <w:rPr>
                <w:rFonts w:cs="Tahoma"/>
                <w:color w:val="000000"/>
                <w:szCs w:val="18"/>
                <w:lang w:val="de-DE"/>
              </w:rPr>
              <w:t>Jahr</w:t>
            </w:r>
          </w:p>
        </w:tc>
      </w:tr>
      <w:tr w:rsidR="008D4EE5" w:rsidRPr="00FB51BA" w:rsidTr="00A67771">
        <w:tc>
          <w:tcPr>
            <w:tcW w:w="2555" w:type="dxa"/>
            <w:vAlign w:val="center"/>
          </w:tcPr>
          <w:p w:rsidR="008D4EE5" w:rsidRPr="00DD7F8E" w:rsidRDefault="008D4EE5" w:rsidP="00A67771">
            <w:pPr>
              <w:rPr>
                <w:rFonts w:cs="Tahoma"/>
                <w:color w:val="000000"/>
                <w:szCs w:val="18"/>
              </w:rPr>
            </w:pPr>
            <w:r>
              <w:rPr>
                <w:rFonts w:cs="Tahoma"/>
                <w:color w:val="000000"/>
                <w:szCs w:val="18"/>
              </w:rPr>
              <w:t>Enterprise Strategy-Projekt</w:t>
            </w:r>
            <w:r>
              <w:rPr>
                <w:rFonts w:cs="Tahoma"/>
                <w:b/>
                <w:bCs/>
                <w:color w:val="000000"/>
                <w:sz w:val="20"/>
                <w:szCs w:val="18"/>
              </w:rPr>
              <w:t xml:space="preserve"> </w:t>
            </w:r>
            <w:r>
              <w:rPr>
                <w:rFonts w:cs="Tahoma"/>
                <w:b/>
                <w:bCs/>
                <w:color w:val="000000"/>
                <w:sz w:val="20"/>
                <w:szCs w:val="18"/>
                <w:vertAlign w:val="superscript"/>
              </w:rPr>
              <w:t>2</w:t>
            </w:r>
          </w:p>
        </w:tc>
        <w:tc>
          <w:tcPr>
            <w:tcW w:w="2215" w:type="dxa"/>
            <w:vAlign w:val="center"/>
          </w:tcPr>
          <w:p w:rsidR="008D4EE5" w:rsidRPr="009123CB" w:rsidRDefault="008D4EE5" w:rsidP="00A634DA">
            <w:pPr>
              <w:jc w:val="center"/>
              <w:rPr>
                <w:rFonts w:cs="Tahoma"/>
                <w:color w:val="000000"/>
                <w:szCs w:val="18"/>
                <w:lang w:val="de-DE"/>
              </w:rPr>
            </w:pPr>
            <w:r w:rsidRPr="009123CB">
              <w:rPr>
                <w:rFonts w:cs="Tahoma"/>
                <w:color w:val="000000"/>
                <w:szCs w:val="18"/>
                <w:lang w:val="de-DE"/>
              </w:rPr>
              <w:t>Bis zu 75 % des Architect-Aufwands pro</w:t>
            </w:r>
            <w:r w:rsidR="00A634DA">
              <w:rPr>
                <w:rFonts w:cs="Tahoma"/>
                <w:color w:val="000000"/>
                <w:szCs w:val="18"/>
                <w:lang w:val="de-DE"/>
              </w:rPr>
              <w:t> </w:t>
            </w:r>
            <w:r w:rsidRPr="009123CB">
              <w:rPr>
                <w:rFonts w:cs="Tahoma"/>
                <w:color w:val="000000"/>
                <w:szCs w:val="18"/>
                <w:lang w:val="de-DE"/>
              </w:rPr>
              <w:t>Jahr</w:t>
            </w:r>
          </w:p>
        </w:tc>
        <w:tc>
          <w:tcPr>
            <w:tcW w:w="2340" w:type="dxa"/>
            <w:vAlign w:val="center"/>
          </w:tcPr>
          <w:p w:rsidR="008D4EE5" w:rsidRPr="009123CB" w:rsidRDefault="008D4EE5" w:rsidP="00A67771">
            <w:pPr>
              <w:jc w:val="center"/>
              <w:rPr>
                <w:rFonts w:cs="Tahoma"/>
                <w:color w:val="000000"/>
                <w:szCs w:val="18"/>
                <w:lang w:val="de-DE"/>
              </w:rPr>
            </w:pPr>
            <w:r w:rsidRPr="009123CB">
              <w:rPr>
                <w:rFonts w:cs="Tahoma"/>
                <w:color w:val="000000"/>
                <w:szCs w:val="18"/>
                <w:lang w:val="de-DE"/>
              </w:rPr>
              <w:t>Bis zu 75 % des Architect-Aufwands pro Jahr</w:t>
            </w:r>
          </w:p>
        </w:tc>
        <w:tc>
          <w:tcPr>
            <w:tcW w:w="2250" w:type="dxa"/>
            <w:vAlign w:val="center"/>
          </w:tcPr>
          <w:p w:rsidR="008D4EE5" w:rsidRPr="009123CB" w:rsidRDefault="008D4EE5" w:rsidP="00A634DA">
            <w:pPr>
              <w:jc w:val="center"/>
              <w:rPr>
                <w:rFonts w:cs="Tahoma"/>
                <w:color w:val="000000"/>
                <w:szCs w:val="18"/>
                <w:lang w:val="de-DE"/>
              </w:rPr>
            </w:pPr>
            <w:r w:rsidRPr="009123CB">
              <w:rPr>
                <w:rFonts w:cs="Tahoma"/>
                <w:color w:val="000000"/>
                <w:szCs w:val="18"/>
                <w:lang w:val="de-DE"/>
              </w:rPr>
              <w:t>Bis zu 75 % des Architect-Aufwands pro</w:t>
            </w:r>
            <w:r w:rsidR="00A634DA">
              <w:rPr>
                <w:rFonts w:cs="Tahoma"/>
                <w:color w:val="000000"/>
                <w:szCs w:val="18"/>
                <w:lang w:val="de-DE"/>
              </w:rPr>
              <w:t> </w:t>
            </w:r>
            <w:r w:rsidRPr="009123CB">
              <w:rPr>
                <w:rFonts w:cs="Tahoma"/>
                <w:color w:val="000000"/>
                <w:szCs w:val="18"/>
                <w:lang w:val="de-DE"/>
              </w:rPr>
              <w:t>Jahr</w:t>
            </w:r>
          </w:p>
        </w:tc>
      </w:tr>
      <w:tr w:rsidR="008D4EE5" w:rsidRPr="00DD7F8E" w:rsidTr="00A67771">
        <w:tc>
          <w:tcPr>
            <w:tcW w:w="2555" w:type="dxa"/>
            <w:vAlign w:val="center"/>
          </w:tcPr>
          <w:p w:rsidR="008D4EE5" w:rsidRPr="00DD7F8E" w:rsidRDefault="008D4EE5" w:rsidP="00A67771">
            <w:pPr>
              <w:rPr>
                <w:rFonts w:cs="Tahoma"/>
                <w:color w:val="000000"/>
                <w:szCs w:val="18"/>
              </w:rPr>
            </w:pPr>
            <w:r>
              <w:rPr>
                <w:rFonts w:cs="Tahoma"/>
                <w:color w:val="000000"/>
                <w:szCs w:val="18"/>
              </w:rPr>
              <w:t>Einsatz-Workshops</w:t>
            </w:r>
          </w:p>
        </w:tc>
        <w:tc>
          <w:tcPr>
            <w:tcW w:w="2215" w:type="dxa"/>
            <w:vAlign w:val="center"/>
          </w:tcPr>
          <w:p w:rsidR="008D4EE5" w:rsidRPr="00DD7F8E" w:rsidRDefault="008D4EE5" w:rsidP="00A67771">
            <w:pPr>
              <w:jc w:val="center"/>
              <w:rPr>
                <w:rFonts w:cs="Tahoma"/>
                <w:color w:val="000000"/>
                <w:szCs w:val="18"/>
              </w:rPr>
            </w:pPr>
            <w:r>
              <w:rPr>
                <w:rFonts w:cs="Tahoma"/>
                <w:color w:val="000000"/>
                <w:szCs w:val="18"/>
              </w:rPr>
              <w:t>Bis zu 1 pro Jahr</w:t>
            </w:r>
          </w:p>
        </w:tc>
        <w:tc>
          <w:tcPr>
            <w:tcW w:w="2340" w:type="dxa"/>
            <w:vAlign w:val="center"/>
          </w:tcPr>
          <w:p w:rsidR="008D4EE5" w:rsidRPr="00DD7F8E" w:rsidRDefault="008D4EE5" w:rsidP="00A67771">
            <w:pPr>
              <w:jc w:val="center"/>
              <w:rPr>
                <w:rFonts w:cs="Tahoma"/>
                <w:color w:val="000000"/>
                <w:szCs w:val="18"/>
              </w:rPr>
            </w:pPr>
            <w:r>
              <w:rPr>
                <w:rFonts w:cs="Tahoma"/>
                <w:color w:val="000000"/>
                <w:szCs w:val="18"/>
              </w:rPr>
              <w:t>Bis zu 2 pro Jahr</w:t>
            </w:r>
          </w:p>
        </w:tc>
        <w:tc>
          <w:tcPr>
            <w:tcW w:w="2250" w:type="dxa"/>
            <w:vAlign w:val="center"/>
          </w:tcPr>
          <w:p w:rsidR="008D4EE5" w:rsidRPr="00DD7F8E" w:rsidRDefault="008D4EE5" w:rsidP="00A67771">
            <w:pPr>
              <w:spacing w:before="120"/>
              <w:jc w:val="center"/>
              <w:rPr>
                <w:rFonts w:cs="Tahoma"/>
                <w:color w:val="000000"/>
                <w:szCs w:val="18"/>
              </w:rPr>
            </w:pPr>
            <w:r>
              <w:t>Bis zu 4 pro Jahr</w:t>
            </w:r>
          </w:p>
        </w:tc>
      </w:tr>
      <w:tr w:rsidR="008D4EE5" w:rsidRPr="00DD7F8E" w:rsidTr="00A67771">
        <w:tc>
          <w:tcPr>
            <w:tcW w:w="2555" w:type="dxa"/>
            <w:vAlign w:val="center"/>
          </w:tcPr>
          <w:p w:rsidR="008D4EE5" w:rsidRPr="00DD7F8E" w:rsidRDefault="008D4EE5" w:rsidP="00A67771">
            <w:pPr>
              <w:rPr>
                <w:rFonts w:cs="Tahoma"/>
                <w:color w:val="000000"/>
                <w:szCs w:val="18"/>
              </w:rPr>
            </w:pPr>
            <w:r>
              <w:rPr>
                <w:rFonts w:cs="Tahoma"/>
                <w:color w:val="000000"/>
                <w:szCs w:val="18"/>
              </w:rPr>
              <w:t>Enterprise Strategy Network</w:t>
            </w:r>
          </w:p>
        </w:tc>
        <w:tc>
          <w:tcPr>
            <w:tcW w:w="2215" w:type="dxa"/>
            <w:vAlign w:val="center"/>
          </w:tcPr>
          <w:p w:rsidR="008D4EE5" w:rsidRPr="00DD7F8E" w:rsidRDefault="008D4EE5" w:rsidP="00A67771">
            <w:pPr>
              <w:jc w:val="center"/>
              <w:rPr>
                <w:rFonts w:ascii="MS UI Gothic" w:eastAsia="MS UI Gothic" w:hAnsi="MS UI Gothic" w:cs="MS UI Gothic"/>
                <w:color w:val="000000"/>
                <w:szCs w:val="18"/>
              </w:rPr>
            </w:pPr>
            <w:r>
              <w:rPr>
                <w:rFonts w:ascii="MS UI Gothic" w:eastAsia="MS UI Gothic" w:hAnsi="MS UI Gothic" w:cs="MS UI Gothic"/>
                <w:color w:val="000000"/>
                <w:szCs w:val="18"/>
              </w:rPr>
              <w:t>✓</w:t>
            </w:r>
          </w:p>
        </w:tc>
        <w:tc>
          <w:tcPr>
            <w:tcW w:w="2340" w:type="dxa"/>
            <w:vAlign w:val="center"/>
          </w:tcPr>
          <w:p w:rsidR="008D4EE5" w:rsidRPr="00DD7F8E" w:rsidRDefault="008D4EE5" w:rsidP="00A67771">
            <w:pPr>
              <w:jc w:val="center"/>
              <w:rPr>
                <w:rFonts w:ascii="MS UI Gothic" w:eastAsia="MS UI Gothic" w:hAnsi="MS UI Gothic" w:cs="MS UI Gothic"/>
                <w:color w:val="000000"/>
                <w:szCs w:val="18"/>
              </w:rPr>
            </w:pPr>
            <w:r>
              <w:rPr>
                <w:rFonts w:ascii="MS UI Gothic" w:eastAsia="MS UI Gothic" w:hAnsi="MS UI Gothic" w:cs="MS UI Gothic"/>
                <w:color w:val="000000"/>
                <w:szCs w:val="18"/>
              </w:rPr>
              <w:t>✓</w:t>
            </w:r>
          </w:p>
        </w:tc>
        <w:tc>
          <w:tcPr>
            <w:tcW w:w="2250" w:type="dxa"/>
            <w:vAlign w:val="center"/>
          </w:tcPr>
          <w:p w:rsidR="008D4EE5" w:rsidRPr="00DD7F8E" w:rsidRDefault="008D4EE5" w:rsidP="00A67771">
            <w:pPr>
              <w:jc w:val="center"/>
              <w:rPr>
                <w:rFonts w:ascii="MS UI Gothic" w:eastAsia="MS UI Gothic" w:hAnsi="MS UI Gothic" w:cs="MS UI Gothic"/>
              </w:rPr>
            </w:pPr>
            <w:r>
              <w:rPr>
                <w:rFonts w:ascii="MS UI Gothic" w:eastAsia="MS UI Gothic" w:hAnsi="MS UI Gothic" w:cs="MS UI Gothic"/>
                <w:color w:val="000000"/>
                <w:szCs w:val="18"/>
              </w:rPr>
              <w:t>✓</w:t>
            </w:r>
          </w:p>
        </w:tc>
      </w:tr>
      <w:tr w:rsidR="008D4EE5" w:rsidRPr="00DD7F8E" w:rsidTr="00A67771">
        <w:tc>
          <w:tcPr>
            <w:tcW w:w="2555" w:type="dxa"/>
            <w:vAlign w:val="center"/>
          </w:tcPr>
          <w:p w:rsidR="008D4EE5" w:rsidRPr="00DD7F8E" w:rsidRDefault="008D4EE5" w:rsidP="00A67771">
            <w:pPr>
              <w:rPr>
                <w:rFonts w:cs="Tahoma"/>
                <w:color w:val="000000"/>
                <w:szCs w:val="18"/>
              </w:rPr>
            </w:pPr>
            <w:r>
              <w:rPr>
                <w:rFonts w:cs="Tahoma"/>
                <w:color w:val="000000"/>
                <w:szCs w:val="18"/>
              </w:rPr>
              <w:t>Enterprise Strategy Library</w:t>
            </w:r>
          </w:p>
        </w:tc>
        <w:tc>
          <w:tcPr>
            <w:tcW w:w="2215" w:type="dxa"/>
            <w:vAlign w:val="center"/>
          </w:tcPr>
          <w:p w:rsidR="008D4EE5" w:rsidRPr="00DD7F8E" w:rsidRDefault="008D4EE5" w:rsidP="00A67771">
            <w:pPr>
              <w:jc w:val="center"/>
              <w:rPr>
                <w:rFonts w:ascii="MS UI Gothic" w:eastAsia="MS UI Gothic" w:hAnsi="MS UI Gothic" w:cs="MS UI Gothic"/>
                <w:color w:val="000000"/>
                <w:szCs w:val="18"/>
              </w:rPr>
            </w:pPr>
            <w:r>
              <w:rPr>
                <w:rFonts w:ascii="MS UI Gothic" w:eastAsia="MS UI Gothic" w:hAnsi="MS UI Gothic" w:cs="MS UI Gothic"/>
                <w:color w:val="000000"/>
                <w:szCs w:val="18"/>
              </w:rPr>
              <w:t>✓</w:t>
            </w:r>
          </w:p>
        </w:tc>
        <w:tc>
          <w:tcPr>
            <w:tcW w:w="2340" w:type="dxa"/>
            <w:vAlign w:val="center"/>
          </w:tcPr>
          <w:p w:rsidR="008D4EE5" w:rsidRPr="00DD7F8E" w:rsidRDefault="008D4EE5" w:rsidP="00A67771">
            <w:pPr>
              <w:jc w:val="center"/>
              <w:rPr>
                <w:rFonts w:ascii="MS UI Gothic" w:eastAsia="MS UI Gothic" w:hAnsi="MS UI Gothic" w:cs="MS UI Gothic"/>
                <w:color w:val="000000"/>
                <w:szCs w:val="18"/>
              </w:rPr>
            </w:pPr>
            <w:r>
              <w:rPr>
                <w:rFonts w:ascii="MS UI Gothic" w:eastAsia="MS UI Gothic" w:hAnsi="MS UI Gothic" w:cs="MS UI Gothic"/>
                <w:color w:val="000000"/>
                <w:szCs w:val="18"/>
              </w:rPr>
              <w:t>✓</w:t>
            </w:r>
          </w:p>
        </w:tc>
        <w:tc>
          <w:tcPr>
            <w:tcW w:w="2250" w:type="dxa"/>
            <w:vAlign w:val="center"/>
          </w:tcPr>
          <w:p w:rsidR="008D4EE5" w:rsidRPr="00DD7F8E" w:rsidRDefault="008D4EE5" w:rsidP="00A67771">
            <w:pPr>
              <w:jc w:val="center"/>
              <w:rPr>
                <w:rFonts w:ascii="MS UI Gothic" w:eastAsia="MS UI Gothic" w:hAnsi="MS UI Gothic" w:cs="MS UI Gothic"/>
              </w:rPr>
            </w:pPr>
            <w:r>
              <w:rPr>
                <w:rFonts w:ascii="MS UI Gothic" w:eastAsia="MS UI Gothic" w:hAnsi="MS UI Gothic" w:cs="MS UI Gothic"/>
                <w:color w:val="000000"/>
                <w:szCs w:val="18"/>
              </w:rPr>
              <w:t>✓</w:t>
            </w:r>
          </w:p>
        </w:tc>
      </w:tr>
      <w:tr w:rsidR="008D4EE5" w:rsidRPr="00DD7F8E" w:rsidTr="00A67771">
        <w:tc>
          <w:tcPr>
            <w:tcW w:w="2555" w:type="dxa"/>
            <w:vAlign w:val="center"/>
          </w:tcPr>
          <w:p w:rsidR="008D4EE5" w:rsidRPr="00DD7F8E" w:rsidRDefault="008D4EE5" w:rsidP="00A67771">
            <w:pPr>
              <w:rPr>
                <w:rFonts w:cs="Tahoma"/>
                <w:color w:val="000000"/>
                <w:szCs w:val="18"/>
              </w:rPr>
            </w:pPr>
            <w:r>
              <w:rPr>
                <w:rFonts w:cs="Tahoma"/>
                <w:color w:val="000000"/>
                <w:szCs w:val="18"/>
              </w:rPr>
              <w:t>Strategische Briefings</w:t>
            </w:r>
          </w:p>
        </w:tc>
        <w:tc>
          <w:tcPr>
            <w:tcW w:w="2215" w:type="dxa"/>
            <w:vAlign w:val="center"/>
          </w:tcPr>
          <w:p w:rsidR="008D4EE5" w:rsidRPr="00DD7F8E" w:rsidRDefault="008D4EE5" w:rsidP="00A67771">
            <w:pPr>
              <w:jc w:val="center"/>
              <w:rPr>
                <w:rFonts w:ascii="MS UI Gothic" w:eastAsia="MS UI Gothic" w:hAnsi="MS UI Gothic" w:cs="MS UI Gothic"/>
                <w:color w:val="000000"/>
                <w:szCs w:val="18"/>
              </w:rPr>
            </w:pPr>
            <w:r>
              <w:rPr>
                <w:rFonts w:ascii="MS UI Gothic" w:eastAsia="MS UI Gothic" w:hAnsi="MS UI Gothic" w:cs="MS UI Gothic"/>
                <w:color w:val="000000"/>
                <w:szCs w:val="18"/>
              </w:rPr>
              <w:t>✓</w:t>
            </w:r>
          </w:p>
        </w:tc>
        <w:tc>
          <w:tcPr>
            <w:tcW w:w="2340" w:type="dxa"/>
            <w:vAlign w:val="center"/>
          </w:tcPr>
          <w:p w:rsidR="008D4EE5" w:rsidRPr="00DD7F8E" w:rsidRDefault="008D4EE5" w:rsidP="00A67771">
            <w:pPr>
              <w:jc w:val="center"/>
              <w:rPr>
                <w:rFonts w:cs="Tahoma"/>
                <w:color w:val="000000"/>
                <w:szCs w:val="18"/>
              </w:rPr>
            </w:pPr>
            <w:r>
              <w:rPr>
                <w:rFonts w:ascii="MS UI Gothic" w:eastAsia="MS UI Gothic" w:hAnsi="MS UI Gothic" w:cs="MS UI Gothic"/>
                <w:color w:val="000000"/>
                <w:szCs w:val="18"/>
              </w:rPr>
              <w:t>✓</w:t>
            </w:r>
          </w:p>
        </w:tc>
        <w:tc>
          <w:tcPr>
            <w:tcW w:w="2250" w:type="dxa"/>
            <w:vAlign w:val="center"/>
          </w:tcPr>
          <w:p w:rsidR="008D4EE5" w:rsidRPr="00DD7F8E" w:rsidRDefault="008D4EE5" w:rsidP="00A67771">
            <w:pPr>
              <w:jc w:val="center"/>
              <w:rPr>
                <w:rFonts w:cs="Tahoma"/>
                <w:color w:val="000000"/>
                <w:szCs w:val="18"/>
              </w:rPr>
            </w:pPr>
            <w:r>
              <w:rPr>
                <w:rFonts w:ascii="MS UI Gothic" w:eastAsia="MS UI Gothic" w:hAnsi="MS UI Gothic" w:cs="MS UI Gothic"/>
              </w:rPr>
              <w:t>✓</w:t>
            </w:r>
          </w:p>
        </w:tc>
      </w:tr>
      <w:tr w:rsidR="008D4EE5" w:rsidRPr="00DD7F8E" w:rsidTr="00A67771">
        <w:tc>
          <w:tcPr>
            <w:tcW w:w="2555" w:type="dxa"/>
            <w:vAlign w:val="center"/>
          </w:tcPr>
          <w:p w:rsidR="008D4EE5" w:rsidRDefault="008D4EE5" w:rsidP="00A67771">
            <w:pPr>
              <w:rPr>
                <w:rFonts w:cs="Tahoma"/>
                <w:color w:val="000000"/>
                <w:szCs w:val="18"/>
              </w:rPr>
            </w:pPr>
            <w:r>
              <w:rPr>
                <w:rFonts w:cs="Tahoma"/>
                <w:color w:val="000000"/>
                <w:szCs w:val="18"/>
              </w:rPr>
              <w:t>Enterprise Strategy Forum</w:t>
            </w:r>
          </w:p>
        </w:tc>
        <w:tc>
          <w:tcPr>
            <w:tcW w:w="2215" w:type="dxa"/>
            <w:vAlign w:val="center"/>
          </w:tcPr>
          <w:p w:rsidR="008D4EE5" w:rsidRDefault="008D4EE5" w:rsidP="00A67771">
            <w:pPr>
              <w:jc w:val="center"/>
              <w:rPr>
                <w:rFonts w:cs="Tahoma"/>
                <w:color w:val="000000"/>
                <w:szCs w:val="18"/>
              </w:rPr>
            </w:pPr>
          </w:p>
        </w:tc>
        <w:tc>
          <w:tcPr>
            <w:tcW w:w="2340" w:type="dxa"/>
            <w:vAlign w:val="center"/>
          </w:tcPr>
          <w:p w:rsidR="008D4EE5" w:rsidRDefault="008D4EE5" w:rsidP="00A67771">
            <w:pPr>
              <w:jc w:val="center"/>
              <w:rPr>
                <w:rFonts w:cs="Tahoma"/>
                <w:color w:val="000000"/>
                <w:szCs w:val="18"/>
              </w:rPr>
            </w:pPr>
            <w:r>
              <w:rPr>
                <w:rFonts w:ascii="MS UI Gothic" w:eastAsia="MS UI Gothic" w:hAnsi="MS UI Gothic" w:cs="MS UI Gothic"/>
                <w:color w:val="000000"/>
                <w:szCs w:val="18"/>
              </w:rPr>
              <w:t>✓</w:t>
            </w:r>
          </w:p>
        </w:tc>
        <w:tc>
          <w:tcPr>
            <w:tcW w:w="2250" w:type="dxa"/>
            <w:vAlign w:val="center"/>
          </w:tcPr>
          <w:p w:rsidR="008D4EE5" w:rsidRDefault="008D4EE5" w:rsidP="00A67771">
            <w:pPr>
              <w:jc w:val="center"/>
              <w:rPr>
                <w:rFonts w:cs="Tahoma"/>
                <w:color w:val="000000"/>
                <w:szCs w:val="18"/>
              </w:rPr>
            </w:pPr>
            <w:r>
              <w:rPr>
                <w:rFonts w:ascii="MS UI Gothic" w:eastAsia="MS UI Gothic" w:hAnsi="MS UI Gothic" w:cs="MS UI Gothic"/>
                <w:color w:val="000000"/>
                <w:szCs w:val="18"/>
              </w:rPr>
              <w:t>✓</w:t>
            </w:r>
          </w:p>
        </w:tc>
      </w:tr>
      <w:tr w:rsidR="008D4EE5" w:rsidRPr="00DD7F8E" w:rsidTr="00A67771">
        <w:tc>
          <w:tcPr>
            <w:tcW w:w="2555" w:type="dxa"/>
            <w:vAlign w:val="center"/>
          </w:tcPr>
          <w:p w:rsidR="008D4EE5" w:rsidRPr="00DD7F8E" w:rsidRDefault="008D4EE5" w:rsidP="00A67771">
            <w:pPr>
              <w:rPr>
                <w:rFonts w:cs="Tahoma"/>
                <w:color w:val="000000"/>
                <w:szCs w:val="18"/>
              </w:rPr>
            </w:pPr>
            <w:r>
              <w:rPr>
                <w:rFonts w:cs="Tahoma"/>
                <w:color w:val="000000"/>
                <w:szCs w:val="18"/>
              </w:rPr>
              <w:t>Enterprise Strategy Capacity Add-On</w:t>
            </w:r>
          </w:p>
        </w:tc>
        <w:tc>
          <w:tcPr>
            <w:tcW w:w="2215" w:type="dxa"/>
            <w:vAlign w:val="center"/>
          </w:tcPr>
          <w:p w:rsidR="008D4EE5" w:rsidRPr="00DD7F8E" w:rsidRDefault="008D4EE5" w:rsidP="00A67771">
            <w:pPr>
              <w:jc w:val="center"/>
              <w:rPr>
                <w:rFonts w:ascii="MS UI Gothic" w:eastAsia="MS UI Gothic" w:hAnsi="MS UI Gothic" w:cs="MS UI Gothic"/>
                <w:color w:val="000000"/>
                <w:szCs w:val="18"/>
              </w:rPr>
            </w:pPr>
            <w:r>
              <w:rPr>
                <w:rFonts w:cs="Tahoma"/>
                <w:color w:val="000000"/>
                <w:szCs w:val="18"/>
              </w:rPr>
              <w:t>200 Stunden</w:t>
            </w:r>
          </w:p>
        </w:tc>
        <w:tc>
          <w:tcPr>
            <w:tcW w:w="2340" w:type="dxa"/>
            <w:vAlign w:val="center"/>
          </w:tcPr>
          <w:p w:rsidR="008D4EE5" w:rsidRPr="00DD7F8E" w:rsidRDefault="008D4EE5" w:rsidP="00A67771">
            <w:pPr>
              <w:jc w:val="center"/>
              <w:rPr>
                <w:rFonts w:ascii="MS UI Gothic" w:eastAsia="MS UI Gothic" w:hAnsi="MS UI Gothic" w:cs="MS UI Gothic"/>
                <w:color w:val="000000"/>
                <w:szCs w:val="18"/>
              </w:rPr>
            </w:pPr>
            <w:r>
              <w:rPr>
                <w:rFonts w:cs="Tahoma"/>
                <w:color w:val="000000"/>
                <w:szCs w:val="18"/>
              </w:rPr>
              <w:t>200 Stunden</w:t>
            </w:r>
          </w:p>
        </w:tc>
        <w:tc>
          <w:tcPr>
            <w:tcW w:w="2250" w:type="dxa"/>
            <w:vAlign w:val="center"/>
          </w:tcPr>
          <w:p w:rsidR="008D4EE5" w:rsidRPr="00DD7F8E" w:rsidRDefault="008D4EE5" w:rsidP="00A67771">
            <w:pPr>
              <w:jc w:val="center"/>
              <w:rPr>
                <w:rFonts w:ascii="MS UI Gothic" w:eastAsia="MS UI Gothic" w:hAnsi="MS UI Gothic" w:cs="MS UI Gothic"/>
              </w:rPr>
            </w:pPr>
            <w:r>
              <w:rPr>
                <w:rFonts w:cs="Tahoma"/>
                <w:color w:val="000000"/>
                <w:szCs w:val="18"/>
              </w:rPr>
              <w:t>200 Stunden</w:t>
            </w:r>
          </w:p>
        </w:tc>
      </w:tr>
    </w:tbl>
    <w:p w:rsidR="008D4EE5" w:rsidRPr="008849B7" w:rsidRDefault="008D4EE5" w:rsidP="00F04B7B">
      <w:pPr>
        <w:rPr>
          <w:lang w:val="de-DE"/>
        </w:rPr>
      </w:pPr>
      <w:r w:rsidRPr="006450C8">
        <w:rPr>
          <w:rFonts w:cs="Tahoma"/>
          <w:i/>
          <w:iCs/>
          <w:color w:val="000000"/>
          <w:sz w:val="20"/>
          <w:szCs w:val="18"/>
          <w:vertAlign w:val="superscript"/>
          <w:lang w:val="de-DE"/>
        </w:rPr>
        <w:t>1</w:t>
      </w:r>
      <w:r w:rsidRPr="00F04B7B">
        <w:rPr>
          <w:rFonts w:cs="Tahoma"/>
          <w:i/>
          <w:color w:val="000000"/>
          <w:sz w:val="20"/>
          <w:szCs w:val="18"/>
          <w:vertAlign w:val="superscript"/>
          <w:lang w:val="de-DE"/>
        </w:rPr>
        <w:t xml:space="preserve"> </w:t>
      </w:r>
      <w:r w:rsidRPr="008849B7">
        <w:rPr>
          <w:rFonts w:eastAsia="Times New Roman" w:cs="Tahoma"/>
          <w:i/>
          <w:sz w:val="16"/>
          <w:szCs w:val="20"/>
          <w:lang w:val="de-DE"/>
        </w:rPr>
        <w:t>Der Einsatz von Enterprise Strategy Connect umfasst bis zu 400 Arbeitsstunden</w:t>
      </w:r>
      <w:r w:rsidR="006257A7">
        <w:rPr>
          <w:rFonts w:eastAsia="Times New Roman" w:cs="Tahoma"/>
          <w:i/>
          <w:sz w:val="16"/>
          <w:szCs w:val="20"/>
          <w:lang w:val="de-DE"/>
        </w:rPr>
        <w:t xml:space="preserve">. </w:t>
      </w:r>
      <w:r w:rsidRPr="008849B7">
        <w:rPr>
          <w:rFonts w:eastAsia="Times New Roman" w:cs="Tahoma"/>
          <w:i/>
          <w:sz w:val="16"/>
          <w:szCs w:val="20"/>
          <w:lang w:val="de-DE"/>
        </w:rPr>
        <w:t>Der Einsatz von Enterprise Strategy Foundation umfasst bis zu 800 Arbeitsstunden</w:t>
      </w:r>
      <w:r w:rsidR="006257A7">
        <w:rPr>
          <w:rFonts w:eastAsia="Times New Roman" w:cs="Tahoma"/>
          <w:i/>
          <w:sz w:val="16"/>
          <w:szCs w:val="20"/>
          <w:lang w:val="de-DE"/>
        </w:rPr>
        <w:t xml:space="preserve">. </w:t>
      </w:r>
      <w:r w:rsidRPr="008849B7">
        <w:rPr>
          <w:rFonts w:eastAsia="Times New Roman" w:cs="Tahoma"/>
          <w:i/>
          <w:sz w:val="16"/>
          <w:szCs w:val="20"/>
          <w:lang w:val="de-DE"/>
        </w:rPr>
        <w:t>Der Einsatz von Enterprise Strategy Portfolio umfasst bis zu 1600 Arbeitsstunden</w:t>
      </w:r>
      <w:r w:rsidR="006257A7">
        <w:rPr>
          <w:rFonts w:eastAsia="Times New Roman" w:cs="Tahoma"/>
          <w:i/>
          <w:sz w:val="16"/>
          <w:szCs w:val="20"/>
          <w:lang w:val="de-DE"/>
        </w:rPr>
        <w:t xml:space="preserve">. </w:t>
      </w:r>
      <w:r w:rsidRPr="008849B7">
        <w:rPr>
          <w:rFonts w:eastAsia="Times New Roman" w:cs="Tahoma"/>
          <w:i/>
          <w:sz w:val="16"/>
          <w:szCs w:val="20"/>
          <w:lang w:val="de-DE"/>
        </w:rPr>
        <w:t>Die</w:t>
      </w:r>
      <w:r w:rsidR="00F04B7B">
        <w:rPr>
          <w:rFonts w:eastAsia="Times New Roman" w:cs="Tahoma"/>
          <w:i/>
          <w:sz w:val="16"/>
          <w:szCs w:val="20"/>
          <w:lang w:val="de-DE"/>
        </w:rPr>
        <w:t> </w:t>
      </w:r>
      <w:r w:rsidRPr="008849B7">
        <w:rPr>
          <w:rFonts w:eastAsia="Times New Roman" w:cs="Tahoma"/>
          <w:i/>
          <w:sz w:val="16"/>
          <w:szCs w:val="20"/>
          <w:lang w:val="de-DE"/>
        </w:rPr>
        <w:t>Ressourcen von Microsoft, die die Arbeiten ausführen, sind an spezifische Kundenanforderungen angepasst und bestehen aus</w:t>
      </w:r>
      <w:r w:rsidR="00F04B7B">
        <w:rPr>
          <w:rFonts w:eastAsia="Times New Roman" w:cs="Tahoma"/>
          <w:i/>
          <w:sz w:val="16"/>
          <w:szCs w:val="20"/>
          <w:lang w:val="de-DE"/>
        </w:rPr>
        <w:t> </w:t>
      </w:r>
      <w:r w:rsidRPr="008849B7">
        <w:rPr>
          <w:rFonts w:eastAsia="Times New Roman" w:cs="Tahoma"/>
          <w:i/>
          <w:sz w:val="16"/>
          <w:szCs w:val="20"/>
          <w:lang w:val="de-DE"/>
        </w:rPr>
        <w:t>einer Mischung von Enterprise Architects- und Enterprise Strategy Network-Ressourcen</w:t>
      </w:r>
      <w:r w:rsidR="006257A7">
        <w:rPr>
          <w:rFonts w:eastAsia="Times New Roman" w:cs="Tahoma"/>
          <w:i/>
          <w:sz w:val="16"/>
          <w:szCs w:val="20"/>
          <w:lang w:val="de-DE"/>
        </w:rPr>
        <w:t xml:space="preserve">. </w:t>
      </w:r>
    </w:p>
    <w:p w:rsidR="008D4EE5" w:rsidRPr="00A634DA" w:rsidRDefault="008D4EE5" w:rsidP="00A634DA">
      <w:pPr>
        <w:spacing w:line="192" w:lineRule="auto"/>
        <w:rPr>
          <w:szCs w:val="18"/>
          <w:lang w:val="de-DE"/>
        </w:rPr>
      </w:pPr>
    </w:p>
    <w:p w:rsidR="008D4EE5" w:rsidRPr="009123CB" w:rsidRDefault="008D4EE5" w:rsidP="008D4EE5">
      <w:pPr>
        <w:rPr>
          <w:lang w:val="de-DE"/>
        </w:rPr>
      </w:pPr>
      <w:r w:rsidRPr="00F04B7B">
        <w:rPr>
          <w:rFonts w:cs="Tahoma"/>
          <w:i/>
          <w:color w:val="000000"/>
          <w:sz w:val="20"/>
          <w:szCs w:val="18"/>
          <w:vertAlign w:val="superscript"/>
          <w:lang w:val="de-DE"/>
        </w:rPr>
        <w:t>2</w:t>
      </w:r>
      <w:r w:rsidR="00F04B7B">
        <w:rPr>
          <w:rFonts w:cs="Tahoma"/>
          <w:i/>
          <w:color w:val="000000"/>
          <w:sz w:val="20"/>
          <w:szCs w:val="18"/>
          <w:vertAlign w:val="superscript"/>
          <w:lang w:val="de-DE"/>
        </w:rPr>
        <w:t xml:space="preserve"> </w:t>
      </w:r>
      <w:r w:rsidRPr="009123CB">
        <w:rPr>
          <w:rFonts w:eastAsia="Times New Roman" w:cs="Tahoma"/>
          <w:i/>
          <w:sz w:val="16"/>
          <w:szCs w:val="20"/>
          <w:lang w:val="de-DE"/>
        </w:rPr>
        <w:t>Der tatsächliche Aufwand wird von Microsoft und dem Kunden vereinbart</w:t>
      </w:r>
      <w:r w:rsidR="006257A7">
        <w:rPr>
          <w:rFonts w:eastAsia="Times New Roman" w:cs="Tahoma"/>
          <w:i/>
          <w:sz w:val="16"/>
          <w:szCs w:val="20"/>
          <w:lang w:val="de-DE"/>
        </w:rPr>
        <w:t xml:space="preserve">. </w:t>
      </w:r>
    </w:p>
    <w:p w:rsidR="008D4EE5" w:rsidRPr="00A634DA" w:rsidRDefault="008D4EE5" w:rsidP="00A634DA">
      <w:pPr>
        <w:spacing w:line="192" w:lineRule="auto"/>
        <w:rPr>
          <w:szCs w:val="18"/>
          <w:lang w:val="de-DE"/>
        </w:rPr>
      </w:pPr>
    </w:p>
    <w:p w:rsidR="008D4EE5" w:rsidRPr="0062435A" w:rsidRDefault="008D4EE5" w:rsidP="008D4EE5">
      <w:pPr>
        <w:spacing w:after="60"/>
      </w:pPr>
      <w:r>
        <w:rPr>
          <w:rFonts w:cs="Arial"/>
          <w:b/>
        </w:rPr>
        <w:t xml:space="preserve">Der Enterprise Architect: </w:t>
      </w:r>
    </w:p>
    <w:p w:rsidR="008D4EE5" w:rsidRPr="009123CB" w:rsidRDefault="008D4EE5" w:rsidP="008D4EE5">
      <w:pPr>
        <w:numPr>
          <w:ilvl w:val="0"/>
          <w:numId w:val="75"/>
        </w:numPr>
        <w:spacing w:after="60"/>
        <w:ind w:left="1440"/>
        <w:rPr>
          <w:lang w:val="de-DE"/>
        </w:rPr>
      </w:pPr>
      <w:r w:rsidRPr="009123CB">
        <w:rPr>
          <w:rFonts w:eastAsia="Times New Roman" w:cs="Tahoma"/>
          <w:szCs w:val="20"/>
          <w:lang w:val="de-DE"/>
        </w:rPr>
        <w:t>Arbeitet eng mit dem Kunden zusammen, um einen Architectur-Servicebereitstellungsplan für den Kunden zu erstellen, in dem Meilensteine und Ziele festgelegt sind, und bestimmt zur Verfolgung des Fortschritts im Vergleich zum Plan den Prozess, Daten und Regeln</w:t>
      </w:r>
      <w:r w:rsidR="006257A7">
        <w:rPr>
          <w:rFonts w:eastAsia="Times New Roman" w:cs="Tahoma"/>
          <w:szCs w:val="20"/>
          <w:lang w:val="de-DE"/>
        </w:rPr>
        <w:t xml:space="preserve">. </w:t>
      </w:r>
    </w:p>
    <w:p w:rsidR="008D4EE5" w:rsidRPr="009123CB" w:rsidRDefault="008D4EE5" w:rsidP="008D4EE5">
      <w:pPr>
        <w:numPr>
          <w:ilvl w:val="0"/>
          <w:numId w:val="75"/>
        </w:numPr>
        <w:spacing w:after="60"/>
        <w:ind w:left="1440"/>
        <w:rPr>
          <w:lang w:val="de-DE"/>
        </w:rPr>
      </w:pPr>
      <w:r w:rsidRPr="009123CB">
        <w:rPr>
          <w:rFonts w:eastAsia="Times New Roman" w:cs="Tahoma"/>
          <w:szCs w:val="20"/>
          <w:lang w:val="de-DE"/>
        </w:rPr>
        <w:t>Stellt außerdem monatliche Statusupdates des Kundenfortschritts im Vergleich zum Plan vor</w:t>
      </w:r>
      <w:r w:rsidR="006257A7">
        <w:rPr>
          <w:rFonts w:eastAsia="Times New Roman" w:cs="Tahoma"/>
          <w:szCs w:val="20"/>
          <w:lang w:val="de-DE"/>
        </w:rPr>
        <w:t xml:space="preserve">. </w:t>
      </w:r>
    </w:p>
    <w:p w:rsidR="008D4EE5" w:rsidRPr="009123CB" w:rsidRDefault="008D4EE5" w:rsidP="008D4EE5">
      <w:pPr>
        <w:numPr>
          <w:ilvl w:val="0"/>
          <w:numId w:val="75"/>
        </w:numPr>
        <w:spacing w:after="60"/>
        <w:ind w:left="1440"/>
        <w:rPr>
          <w:lang w:val="de-DE"/>
        </w:rPr>
      </w:pPr>
      <w:r w:rsidRPr="009123CB">
        <w:rPr>
          <w:rFonts w:cs="Tahoma"/>
          <w:lang w:val="de-DE"/>
        </w:rPr>
        <w:t>Verwaltet den Zugriff auf das Microsoft Enterprise Strategy Network</w:t>
      </w:r>
      <w:r w:rsidR="006257A7">
        <w:rPr>
          <w:rFonts w:cs="Tahoma"/>
          <w:lang w:val="de-DE"/>
        </w:rPr>
        <w:t xml:space="preserve">. </w:t>
      </w:r>
    </w:p>
    <w:p w:rsidR="008D4EE5" w:rsidRPr="00A634DA" w:rsidRDefault="008D4EE5" w:rsidP="00A634DA">
      <w:pPr>
        <w:spacing w:line="192" w:lineRule="auto"/>
        <w:rPr>
          <w:szCs w:val="18"/>
          <w:lang w:val="de-DE"/>
        </w:rPr>
      </w:pPr>
    </w:p>
    <w:p w:rsidR="008D4EE5" w:rsidRPr="0062435A" w:rsidRDefault="008D4EE5" w:rsidP="008D4EE5">
      <w:pPr>
        <w:spacing w:after="60"/>
      </w:pPr>
      <w:r>
        <w:rPr>
          <w:rFonts w:cs="Arial"/>
          <w:b/>
        </w:rPr>
        <w:t>Die Bewertung:</w:t>
      </w:r>
    </w:p>
    <w:p w:rsidR="008D4EE5" w:rsidRPr="009123CB" w:rsidRDefault="008D4EE5" w:rsidP="008D4EE5">
      <w:pPr>
        <w:numPr>
          <w:ilvl w:val="0"/>
          <w:numId w:val="76"/>
        </w:numPr>
        <w:spacing w:after="60"/>
        <w:ind w:left="1440"/>
        <w:rPr>
          <w:lang w:val="de-DE"/>
        </w:rPr>
      </w:pPr>
      <w:r w:rsidRPr="009123CB">
        <w:rPr>
          <w:rFonts w:eastAsia="Times New Roman" w:cs="Tahoma"/>
          <w:szCs w:val="20"/>
          <w:lang w:val="de-DE"/>
        </w:rPr>
        <w:t>Ermittelt IT-Chancen, die den Geschäftszielen des Kunden entsprechen</w:t>
      </w:r>
      <w:r w:rsidR="006257A7">
        <w:rPr>
          <w:rFonts w:eastAsia="Times New Roman" w:cs="Tahoma"/>
          <w:szCs w:val="20"/>
          <w:lang w:val="de-DE"/>
        </w:rPr>
        <w:t xml:space="preserve">. </w:t>
      </w:r>
    </w:p>
    <w:p w:rsidR="008D4EE5" w:rsidRPr="009123CB" w:rsidRDefault="00FF301E" w:rsidP="008D4EE5">
      <w:pPr>
        <w:numPr>
          <w:ilvl w:val="0"/>
          <w:numId w:val="76"/>
        </w:numPr>
        <w:spacing w:after="60"/>
        <w:ind w:left="1440"/>
        <w:rPr>
          <w:lang w:val="de-DE"/>
        </w:rPr>
      </w:pPr>
      <w:r>
        <w:rPr>
          <w:rFonts w:eastAsia="Times New Roman" w:cs="Tahoma"/>
          <w:szCs w:val="20"/>
          <w:lang w:val="de-DE"/>
        </w:rPr>
        <w:t>B</w:t>
      </w:r>
      <w:r w:rsidR="008D4EE5" w:rsidRPr="009123CB">
        <w:rPr>
          <w:rFonts w:eastAsia="Times New Roman" w:cs="Tahoma"/>
          <w:szCs w:val="20"/>
          <w:lang w:val="de-DE"/>
        </w:rPr>
        <w:t>ildet den Geschäfts- und Architekturkontext vor dem Entwurf in Bezug auf betroffene IT-Services und Unternehmensgruppen, damit Zusammenhänge erkannt sowie Aufwand und Kosten zur Rechtfertigung weiterer Planung definiert werden</w:t>
      </w:r>
      <w:r w:rsidR="006257A7">
        <w:rPr>
          <w:rFonts w:eastAsia="Times New Roman" w:cs="Tahoma"/>
          <w:szCs w:val="20"/>
          <w:lang w:val="de-DE"/>
        </w:rPr>
        <w:t xml:space="preserve">. </w:t>
      </w:r>
    </w:p>
    <w:p w:rsidR="008D4EE5" w:rsidRPr="009123CB" w:rsidRDefault="008D4EE5" w:rsidP="008D4EE5">
      <w:pPr>
        <w:numPr>
          <w:ilvl w:val="0"/>
          <w:numId w:val="76"/>
        </w:numPr>
        <w:spacing w:after="60"/>
        <w:ind w:left="1440"/>
        <w:rPr>
          <w:lang w:val="de-DE"/>
        </w:rPr>
      </w:pPr>
      <w:r w:rsidRPr="009123CB">
        <w:rPr>
          <w:rFonts w:eastAsia="Times New Roman" w:cs="Tahoma"/>
          <w:szCs w:val="20"/>
          <w:lang w:val="de-DE"/>
        </w:rPr>
        <w:t>Wählt und bestätigt Initiativen im Architecture-Servicebereitstellungsplan aus und versieht sie mit einer Priorität</w:t>
      </w:r>
      <w:r w:rsidR="006257A7">
        <w:rPr>
          <w:rFonts w:eastAsia="Times New Roman" w:cs="Tahoma"/>
          <w:szCs w:val="20"/>
          <w:lang w:val="de-DE"/>
        </w:rPr>
        <w:t xml:space="preserve">. </w:t>
      </w:r>
    </w:p>
    <w:p w:rsidR="008D4EE5" w:rsidRPr="009123CB" w:rsidRDefault="008D4EE5" w:rsidP="008D4EE5">
      <w:pPr>
        <w:numPr>
          <w:ilvl w:val="0"/>
          <w:numId w:val="76"/>
        </w:numPr>
        <w:spacing w:after="60"/>
        <w:ind w:left="1440"/>
        <w:rPr>
          <w:lang w:val="de-DE"/>
        </w:rPr>
      </w:pPr>
      <w:r w:rsidRPr="009123CB">
        <w:rPr>
          <w:rFonts w:eastAsia="Times New Roman" w:cs="Tahoma"/>
          <w:szCs w:val="20"/>
          <w:lang w:val="de-DE"/>
        </w:rPr>
        <w:t>Ergebnis ist der Bewertungsabschlussbericht, in dem mindestens eine Initiative als Enterprise Strategy-Projekt empfohlen wird</w:t>
      </w:r>
      <w:r w:rsidR="006257A7">
        <w:rPr>
          <w:rFonts w:eastAsia="Times New Roman" w:cs="Tahoma"/>
          <w:szCs w:val="20"/>
          <w:lang w:val="de-DE"/>
        </w:rPr>
        <w:t xml:space="preserve">. </w:t>
      </w:r>
    </w:p>
    <w:p w:rsidR="008D4EE5" w:rsidRPr="00A634DA" w:rsidRDefault="008D4EE5" w:rsidP="00A634DA">
      <w:pPr>
        <w:spacing w:line="192" w:lineRule="auto"/>
        <w:rPr>
          <w:szCs w:val="18"/>
          <w:lang w:val="de-DE"/>
        </w:rPr>
      </w:pPr>
    </w:p>
    <w:p w:rsidR="008D4EE5" w:rsidRPr="009123CB" w:rsidRDefault="008D4EE5" w:rsidP="008D4EE5">
      <w:pPr>
        <w:spacing w:after="60"/>
        <w:rPr>
          <w:lang w:val="de-DE"/>
        </w:rPr>
      </w:pPr>
      <w:r w:rsidRPr="009123CB">
        <w:rPr>
          <w:rFonts w:cs="Arial"/>
          <w:b/>
          <w:lang w:val="de-DE"/>
        </w:rPr>
        <w:t>Enterprise Strategy-Projekte</w:t>
      </w:r>
    </w:p>
    <w:p w:rsidR="008D4EE5" w:rsidRPr="009123CB" w:rsidRDefault="008D4EE5" w:rsidP="008D4EE5">
      <w:pPr>
        <w:rPr>
          <w:lang w:val="de-DE"/>
        </w:rPr>
      </w:pPr>
      <w:r w:rsidRPr="009123CB">
        <w:rPr>
          <w:rFonts w:eastAsia="Arial" w:cs="Tahoma"/>
          <w:bCs/>
          <w:color w:val="000000"/>
          <w:szCs w:val="18"/>
          <w:lang w:val="de-DE"/>
        </w:rPr>
        <w:t xml:space="preserve">Der Enterprise </w:t>
      </w:r>
      <w:r w:rsidRPr="009123CB">
        <w:rPr>
          <w:rFonts w:cs="Tahoma"/>
          <w:bCs/>
          <w:szCs w:val="18"/>
          <w:lang w:val="de-DE"/>
        </w:rPr>
        <w:t xml:space="preserve">Architect arbeitet eng mit dem Kunden zusammen, </w:t>
      </w:r>
      <w:r w:rsidRPr="009123CB">
        <w:rPr>
          <w:rFonts w:cs="Tahoma"/>
          <w:bCs/>
          <w:color w:val="000000"/>
          <w:szCs w:val="18"/>
          <w:lang w:val="de-DE"/>
        </w:rPr>
        <w:t xml:space="preserve">um einen Plan </w:t>
      </w:r>
      <w:r w:rsidRPr="009123CB">
        <w:rPr>
          <w:rFonts w:cs="Tahoma"/>
          <w:color w:val="000000"/>
          <w:szCs w:val="18"/>
          <w:lang w:val="de-DE"/>
        </w:rPr>
        <w:t>zur Verwirklichung der für die ausgewählte(n) Initiative(n) ermittelten Geschäftsziele zu erarbeiten und den definierten künftigen IT-Zustand zu erreichen</w:t>
      </w:r>
      <w:r w:rsidR="006257A7">
        <w:rPr>
          <w:rFonts w:cs="Tahoma"/>
          <w:color w:val="000000"/>
          <w:szCs w:val="18"/>
          <w:lang w:val="de-DE"/>
        </w:rPr>
        <w:t xml:space="preserve">. </w:t>
      </w:r>
      <w:r w:rsidRPr="009123CB">
        <w:rPr>
          <w:rFonts w:cs="Tahoma"/>
          <w:color w:val="000000"/>
          <w:szCs w:val="18"/>
          <w:lang w:val="de-DE"/>
        </w:rPr>
        <w:t>Gleichzeitig werden Bereitstellungs- und Betriebsunterbrechungen verringert, und die Investitionsrendite wird beschleunigt</w:t>
      </w:r>
      <w:r w:rsidR="006257A7">
        <w:rPr>
          <w:rFonts w:cs="Tahoma"/>
          <w:color w:val="000000"/>
          <w:szCs w:val="18"/>
          <w:lang w:val="de-DE"/>
        </w:rPr>
        <w:t xml:space="preserve">. </w:t>
      </w:r>
    </w:p>
    <w:p w:rsidR="008D4EE5" w:rsidRPr="00A634DA" w:rsidRDefault="008D4EE5" w:rsidP="00A634DA">
      <w:pPr>
        <w:spacing w:line="192" w:lineRule="auto"/>
        <w:rPr>
          <w:szCs w:val="18"/>
          <w:lang w:val="de-DE"/>
        </w:rPr>
      </w:pPr>
    </w:p>
    <w:p w:rsidR="008D4EE5" w:rsidRPr="009123CB" w:rsidRDefault="008D4EE5" w:rsidP="008D4EE5">
      <w:pPr>
        <w:spacing w:after="60"/>
        <w:rPr>
          <w:lang w:val="de-DE"/>
        </w:rPr>
      </w:pPr>
      <w:r w:rsidRPr="009123CB">
        <w:rPr>
          <w:rFonts w:cs="Tahoma"/>
          <w:b/>
          <w:color w:val="000000"/>
          <w:szCs w:val="18"/>
          <w:lang w:val="de-DE"/>
        </w:rPr>
        <w:t>Enterprise Strategy-Projekte sind beispielsweise:</w:t>
      </w:r>
    </w:p>
    <w:p w:rsidR="008D4EE5" w:rsidRPr="009123CB" w:rsidRDefault="008D4EE5" w:rsidP="008D4EE5">
      <w:pPr>
        <w:numPr>
          <w:ilvl w:val="0"/>
          <w:numId w:val="77"/>
        </w:numPr>
        <w:spacing w:after="60"/>
        <w:ind w:left="1440"/>
        <w:rPr>
          <w:lang w:val="de-DE"/>
        </w:rPr>
      </w:pPr>
      <w:r w:rsidRPr="009123CB">
        <w:rPr>
          <w:rFonts w:eastAsia="Times New Roman" w:cs="Tahoma"/>
          <w:szCs w:val="20"/>
          <w:lang w:val="de-DE"/>
        </w:rPr>
        <w:t>Dokumentation und Abstimmung von Microsoft-Technologien auf wichtige Geschäftsziele</w:t>
      </w:r>
      <w:r w:rsidR="006257A7">
        <w:rPr>
          <w:rFonts w:eastAsia="Times New Roman" w:cs="Tahoma"/>
          <w:szCs w:val="20"/>
          <w:lang w:val="de-DE"/>
        </w:rPr>
        <w:t xml:space="preserve">. </w:t>
      </w:r>
    </w:p>
    <w:p w:rsidR="008D4EE5" w:rsidRPr="009123CB" w:rsidRDefault="008D4EE5" w:rsidP="008D4EE5">
      <w:pPr>
        <w:numPr>
          <w:ilvl w:val="0"/>
          <w:numId w:val="77"/>
        </w:numPr>
        <w:tabs>
          <w:tab w:val="left" w:pos="1080"/>
        </w:tabs>
        <w:spacing w:after="60"/>
        <w:ind w:left="1440"/>
        <w:rPr>
          <w:lang w:val="de-DE"/>
        </w:rPr>
      </w:pPr>
      <w:r w:rsidRPr="009123CB">
        <w:rPr>
          <w:rFonts w:eastAsia="Times New Roman" w:cs="Tahoma"/>
          <w:szCs w:val="20"/>
          <w:lang w:val="de-DE"/>
        </w:rPr>
        <w:t>Erstellung eines Business Case zum Ermitteln der potenziellen Vorteile und Kosten für jeden Geschäfts- oder Funktionsbereich, der vom Projekt betroffen wäre</w:t>
      </w:r>
      <w:r w:rsidR="006257A7">
        <w:rPr>
          <w:rFonts w:eastAsia="Times New Roman" w:cs="Tahoma"/>
          <w:szCs w:val="20"/>
          <w:lang w:val="de-DE"/>
        </w:rPr>
        <w:t xml:space="preserve">. </w:t>
      </w:r>
    </w:p>
    <w:p w:rsidR="008D4EE5" w:rsidRPr="009123CB" w:rsidRDefault="008D4EE5" w:rsidP="008D4EE5">
      <w:pPr>
        <w:numPr>
          <w:ilvl w:val="0"/>
          <w:numId w:val="77"/>
        </w:numPr>
        <w:tabs>
          <w:tab w:val="left" w:pos="1080"/>
        </w:tabs>
        <w:spacing w:after="60"/>
        <w:ind w:left="1440"/>
        <w:rPr>
          <w:lang w:val="de-DE"/>
        </w:rPr>
      </w:pPr>
      <w:r w:rsidRPr="009123CB">
        <w:rPr>
          <w:rFonts w:eastAsia="Times New Roman" w:cs="Tahoma"/>
          <w:szCs w:val="20"/>
          <w:lang w:val="de-DE"/>
        </w:rPr>
        <w:t>Erstellung eines Architekturdefinitionsdokuments, in dem die Funktionsarchitektur von Anwendung und Technologie sowie die Spezifikationsanforderungen zur Unterstützung der Empfehlungen beschrieben werden</w:t>
      </w:r>
      <w:r w:rsidR="006257A7">
        <w:rPr>
          <w:rFonts w:eastAsia="Times New Roman" w:cs="Tahoma"/>
          <w:szCs w:val="20"/>
          <w:lang w:val="de-DE"/>
        </w:rPr>
        <w:t xml:space="preserve">. </w:t>
      </w:r>
    </w:p>
    <w:p w:rsidR="008D4EE5" w:rsidRPr="009123CB" w:rsidRDefault="008D4EE5" w:rsidP="008D4EE5">
      <w:pPr>
        <w:numPr>
          <w:ilvl w:val="0"/>
          <w:numId w:val="77"/>
        </w:numPr>
        <w:tabs>
          <w:tab w:val="left" w:pos="1080"/>
        </w:tabs>
        <w:spacing w:after="60"/>
        <w:ind w:left="1440"/>
        <w:rPr>
          <w:lang w:val="de-DE"/>
        </w:rPr>
      </w:pPr>
      <w:r w:rsidRPr="009123CB">
        <w:rPr>
          <w:rFonts w:eastAsia="Times New Roman" w:cs="Tahoma"/>
          <w:szCs w:val="20"/>
          <w:lang w:val="de-DE"/>
        </w:rPr>
        <w:t>Erstellung eines Messplans, in dem Kennzahlen zur Messung des Fortschritts im Vergleich zu den angestrebten Geschäftszielen sowie Verantwortlichkeiten und Fristen beschrieben werden</w:t>
      </w:r>
      <w:r w:rsidR="006257A7">
        <w:rPr>
          <w:rFonts w:eastAsia="Times New Roman" w:cs="Tahoma"/>
          <w:szCs w:val="20"/>
          <w:lang w:val="de-DE"/>
        </w:rPr>
        <w:t xml:space="preserve">. </w:t>
      </w:r>
    </w:p>
    <w:p w:rsidR="008D4EE5" w:rsidRPr="009123CB" w:rsidRDefault="008D4EE5" w:rsidP="008D4EE5">
      <w:pPr>
        <w:numPr>
          <w:ilvl w:val="0"/>
          <w:numId w:val="77"/>
        </w:numPr>
        <w:spacing w:after="60"/>
        <w:ind w:left="1440"/>
        <w:rPr>
          <w:lang w:val="de-DE"/>
        </w:rPr>
      </w:pPr>
      <w:r w:rsidRPr="009123CB">
        <w:rPr>
          <w:rFonts w:eastAsia="Times New Roman" w:cs="Tahoma"/>
          <w:szCs w:val="20"/>
          <w:lang w:val="de-DE"/>
        </w:rPr>
        <w:t>Abstimmen von Microsoft Best Practices in Bezug auf Beaufsichtigung/Governance, Einführung und Messung auf die Umgebung des Kunden</w:t>
      </w:r>
      <w:r w:rsidR="006257A7">
        <w:rPr>
          <w:rFonts w:eastAsia="Times New Roman" w:cs="Tahoma"/>
          <w:szCs w:val="20"/>
          <w:lang w:val="de-DE"/>
        </w:rPr>
        <w:t xml:space="preserve">. </w:t>
      </w:r>
    </w:p>
    <w:p w:rsidR="008D4EE5" w:rsidRPr="009123CB" w:rsidRDefault="008D4EE5" w:rsidP="008D4EE5">
      <w:pPr>
        <w:numPr>
          <w:ilvl w:val="0"/>
          <w:numId w:val="77"/>
        </w:numPr>
        <w:spacing w:after="60"/>
        <w:ind w:left="1440"/>
        <w:rPr>
          <w:lang w:val="de-DE"/>
        </w:rPr>
      </w:pPr>
      <w:r w:rsidRPr="009123CB">
        <w:rPr>
          <w:rFonts w:eastAsia="Times New Roman" w:cs="Tahoma"/>
          <w:szCs w:val="20"/>
          <w:lang w:val="de-DE"/>
        </w:rPr>
        <w:t>Zusammenarbeit mit dem Managementteam des Kunden zur Festlegung der Programmaufsicht</w:t>
      </w:r>
      <w:r w:rsidR="006257A7">
        <w:rPr>
          <w:rFonts w:eastAsia="Arial" w:cs="Tahoma"/>
          <w:szCs w:val="18"/>
          <w:lang w:val="de-DE"/>
        </w:rPr>
        <w:t xml:space="preserve">. </w:t>
      </w:r>
    </w:p>
    <w:p w:rsidR="008D4EE5" w:rsidRPr="009123CB" w:rsidDel="00954C6A" w:rsidRDefault="008D4EE5" w:rsidP="008D4EE5">
      <w:pPr>
        <w:numPr>
          <w:ilvl w:val="0"/>
          <w:numId w:val="77"/>
        </w:numPr>
        <w:ind w:left="1440"/>
        <w:rPr>
          <w:lang w:val="de-DE"/>
        </w:rPr>
      </w:pPr>
      <w:r w:rsidRPr="009123CB">
        <w:rPr>
          <w:rFonts w:eastAsia="Times New Roman" w:cs="Tahoma"/>
          <w:szCs w:val="20"/>
          <w:lang w:val="de-DE"/>
        </w:rPr>
        <w:t>Regelmäßige Prüfungen des Kundenfortschritts im Vergleich zur Geschäftsziele-Scorecard</w:t>
      </w:r>
      <w:r w:rsidR="006257A7">
        <w:rPr>
          <w:rFonts w:eastAsia="Times New Roman" w:cs="Tahoma"/>
          <w:szCs w:val="20"/>
          <w:lang w:val="de-DE"/>
        </w:rPr>
        <w:t xml:space="preserve">. </w:t>
      </w:r>
    </w:p>
    <w:p w:rsidR="008D4EE5" w:rsidRPr="00A634DA" w:rsidRDefault="008D4EE5" w:rsidP="00A634DA">
      <w:pPr>
        <w:spacing w:line="192" w:lineRule="auto"/>
        <w:rPr>
          <w:szCs w:val="18"/>
          <w:lang w:val="de-DE"/>
        </w:rPr>
      </w:pPr>
    </w:p>
    <w:p w:rsidR="008D4EE5" w:rsidRPr="009123CB" w:rsidRDefault="008D4EE5" w:rsidP="008D4EE5">
      <w:pPr>
        <w:rPr>
          <w:lang w:val="de-DE"/>
        </w:rPr>
      </w:pPr>
      <w:r w:rsidRPr="009123CB">
        <w:rPr>
          <w:rFonts w:eastAsia="Arial" w:cs="Arial"/>
          <w:b/>
          <w:sz w:val="24"/>
          <w:szCs w:val="18"/>
          <w:lang w:val="de-DE"/>
        </w:rPr>
        <w:t>Programmvorteile</w:t>
      </w:r>
    </w:p>
    <w:p w:rsidR="008D4EE5" w:rsidRPr="00A634DA" w:rsidRDefault="008D4EE5" w:rsidP="00A634DA">
      <w:pPr>
        <w:spacing w:line="192" w:lineRule="auto"/>
        <w:rPr>
          <w:szCs w:val="18"/>
          <w:lang w:val="de-DE"/>
        </w:rPr>
      </w:pPr>
    </w:p>
    <w:p w:rsidR="008D4EE5" w:rsidRPr="009123CB" w:rsidRDefault="008D4EE5" w:rsidP="008D4EE5">
      <w:pPr>
        <w:rPr>
          <w:lang w:val="de-DE"/>
        </w:rPr>
      </w:pPr>
      <w:r w:rsidRPr="009123CB">
        <w:rPr>
          <w:rFonts w:eastAsia="Arial" w:cs="Arial"/>
          <w:szCs w:val="18"/>
          <w:lang w:val="de-DE"/>
        </w:rPr>
        <w:t xml:space="preserve">Während des Einsatzes sind die folgenden Programmvorteile verfügbar: </w:t>
      </w:r>
    </w:p>
    <w:p w:rsidR="008D4EE5" w:rsidRPr="00A634DA" w:rsidRDefault="008D4EE5" w:rsidP="00A634DA">
      <w:pPr>
        <w:spacing w:line="192" w:lineRule="auto"/>
        <w:rPr>
          <w:szCs w:val="18"/>
          <w:lang w:val="de-DE"/>
        </w:rPr>
      </w:pPr>
    </w:p>
    <w:p w:rsidR="008D4EE5" w:rsidRPr="009123CB" w:rsidRDefault="008D4EE5" w:rsidP="008D4EE5">
      <w:pPr>
        <w:spacing w:after="60"/>
        <w:rPr>
          <w:lang w:val="de-DE"/>
        </w:rPr>
      </w:pPr>
      <w:r w:rsidRPr="009123CB">
        <w:rPr>
          <w:b/>
          <w:szCs w:val="18"/>
          <w:lang w:val="de-DE"/>
        </w:rPr>
        <w:t>Enterprise Strategy Network</w:t>
      </w:r>
    </w:p>
    <w:p w:rsidR="008D4EE5" w:rsidRPr="009123CB" w:rsidRDefault="008D4EE5" w:rsidP="00A634DA">
      <w:pPr>
        <w:rPr>
          <w:lang w:val="de-DE"/>
        </w:rPr>
      </w:pPr>
      <w:r w:rsidRPr="009123CB">
        <w:rPr>
          <w:szCs w:val="18"/>
          <w:lang w:val="de-DE"/>
        </w:rPr>
        <w:t>Das Enterprise Strategy-Programm beinhaltet eine enge Verbindung mit den Forschungs- und Entwicklungsteams von</w:t>
      </w:r>
      <w:r w:rsidR="00A634DA">
        <w:rPr>
          <w:szCs w:val="18"/>
          <w:lang w:val="de-DE"/>
        </w:rPr>
        <w:t> </w:t>
      </w:r>
      <w:r w:rsidRPr="009123CB">
        <w:rPr>
          <w:szCs w:val="18"/>
          <w:lang w:val="de-DE"/>
        </w:rPr>
        <w:t>Microsoft sowie mit Experten aus den Service-Abteilungen von Microsoft</w:t>
      </w:r>
      <w:r w:rsidR="006257A7">
        <w:rPr>
          <w:szCs w:val="18"/>
          <w:lang w:val="de-DE"/>
        </w:rPr>
        <w:t xml:space="preserve">. </w:t>
      </w:r>
      <w:r w:rsidRPr="009123CB">
        <w:rPr>
          <w:szCs w:val="18"/>
          <w:lang w:val="de-DE"/>
        </w:rPr>
        <w:t>Enterprise Architects nutzen diese Fachkompetenz, um Kunden Best Practice-Ratschläge, konkrete Empfehlungen zu bestimmten Microsoft-Technologien und Referenzarchitekturen zur Verfügung zu stellen</w:t>
      </w:r>
      <w:r w:rsidR="006257A7">
        <w:rPr>
          <w:szCs w:val="18"/>
          <w:lang w:val="de-DE"/>
        </w:rPr>
        <w:t xml:space="preserve">. </w:t>
      </w:r>
      <w:r w:rsidRPr="009123CB">
        <w:rPr>
          <w:szCs w:val="18"/>
          <w:lang w:val="de-DE"/>
        </w:rPr>
        <w:t>Best Practice-Empfehlungen sowie zugehörige Materialien und Tools sind in der Microsoft Enterprise Strategy Library enthalten, um die Durchführung von ESP-Einsätzen für Kunden zu beschleunigen</w:t>
      </w:r>
      <w:r w:rsidR="006257A7">
        <w:rPr>
          <w:szCs w:val="18"/>
          <w:lang w:val="de-DE"/>
        </w:rPr>
        <w:t xml:space="preserve">. </w:t>
      </w:r>
    </w:p>
    <w:p w:rsidR="008D4EE5" w:rsidRPr="009123CB" w:rsidRDefault="008D4EE5" w:rsidP="008D4EE5">
      <w:pPr>
        <w:spacing w:after="60"/>
        <w:rPr>
          <w:lang w:val="de-DE"/>
        </w:rPr>
      </w:pPr>
      <w:r w:rsidRPr="009123CB">
        <w:rPr>
          <w:b/>
          <w:szCs w:val="18"/>
          <w:lang w:val="de-DE"/>
        </w:rPr>
        <w:t>Enterprise Strategy Library</w:t>
      </w:r>
    </w:p>
    <w:p w:rsidR="008D4EE5" w:rsidRPr="009123CB" w:rsidRDefault="008D4EE5" w:rsidP="00A634DA">
      <w:pPr>
        <w:rPr>
          <w:lang w:val="de-DE"/>
        </w:rPr>
      </w:pPr>
      <w:r w:rsidRPr="009123CB">
        <w:rPr>
          <w:szCs w:val="18"/>
          <w:lang w:val="de-DE"/>
        </w:rPr>
        <w:t xml:space="preserve">Das Enterprise Strategy-Programm umfasst </w:t>
      </w:r>
      <w:r w:rsidRPr="009123CB">
        <w:rPr>
          <w:rFonts w:eastAsia="Arial" w:cs="Arial"/>
          <w:szCs w:val="18"/>
          <w:lang w:val="de-DE"/>
        </w:rPr>
        <w:t>eine vielseitige Sammlung von Materialien, darunter Industry Insights und Benchmarks-Tools, Enterprise Architecture- und Technology Architecture-Referenzmodelle und -Methoden</w:t>
      </w:r>
      <w:r w:rsidR="006257A7">
        <w:rPr>
          <w:rFonts w:eastAsia="Arial" w:cs="Arial"/>
          <w:szCs w:val="18"/>
          <w:lang w:val="de-DE"/>
        </w:rPr>
        <w:t xml:space="preserve">. </w:t>
      </w:r>
      <w:r w:rsidRPr="009123CB">
        <w:rPr>
          <w:rFonts w:eastAsia="Arial" w:cs="Arial"/>
          <w:szCs w:val="18"/>
          <w:lang w:val="de-DE"/>
        </w:rPr>
        <w:t>Je</w:t>
      </w:r>
      <w:r w:rsidR="00A634DA">
        <w:rPr>
          <w:rFonts w:eastAsia="Arial" w:cs="Arial"/>
          <w:szCs w:val="18"/>
          <w:lang w:val="de-DE"/>
        </w:rPr>
        <w:t> </w:t>
      </w:r>
      <w:r w:rsidRPr="009123CB">
        <w:rPr>
          <w:rFonts w:eastAsia="Arial" w:cs="Arial"/>
          <w:szCs w:val="18"/>
          <w:lang w:val="de-DE"/>
        </w:rPr>
        <w:t>nach Anforderungen des Kunden setzt der Enterprise Architect die entsprechenden Materialien und Tools ein</w:t>
      </w:r>
      <w:r w:rsidR="006257A7">
        <w:rPr>
          <w:rFonts w:eastAsia="Arial" w:cs="Arial"/>
          <w:szCs w:val="18"/>
          <w:lang w:val="de-DE"/>
        </w:rPr>
        <w:t xml:space="preserve">. </w:t>
      </w:r>
    </w:p>
    <w:p w:rsidR="008D4EE5" w:rsidRPr="009123CB" w:rsidRDefault="008D4EE5" w:rsidP="00A634DA">
      <w:pPr>
        <w:spacing w:line="216" w:lineRule="auto"/>
        <w:rPr>
          <w:lang w:val="de-DE"/>
        </w:rPr>
      </w:pPr>
    </w:p>
    <w:p w:rsidR="008D4EE5" w:rsidRPr="009123CB" w:rsidRDefault="008D4EE5" w:rsidP="008D4EE5">
      <w:pPr>
        <w:keepNext/>
        <w:spacing w:after="60"/>
        <w:rPr>
          <w:lang w:val="de-DE"/>
        </w:rPr>
      </w:pPr>
      <w:r w:rsidRPr="009123CB">
        <w:rPr>
          <w:b/>
          <w:szCs w:val="18"/>
          <w:lang w:val="de-DE"/>
        </w:rPr>
        <w:t>Einsatz-Workshops</w:t>
      </w:r>
    </w:p>
    <w:p w:rsidR="008D4EE5" w:rsidRPr="009123CB" w:rsidRDefault="008D4EE5" w:rsidP="008D4EE5">
      <w:pPr>
        <w:rPr>
          <w:lang w:val="de-DE"/>
        </w:rPr>
      </w:pPr>
      <w:r w:rsidRPr="009123CB">
        <w:rPr>
          <w:rFonts w:eastAsia="Arial" w:cs="Arial"/>
          <w:lang w:val="de-DE"/>
        </w:rPr>
        <w:t>Diese Workshops, die sich an Führungsmitarbeiter richten, dauern einen Tag und werden in der Regel in regionalen Einrichtungen der jeweiligen Microsoft-Niederlassung durchgeführt</w:t>
      </w:r>
      <w:r w:rsidR="006257A7">
        <w:rPr>
          <w:rFonts w:eastAsia="Arial" w:cs="Arial"/>
          <w:lang w:val="de-DE"/>
        </w:rPr>
        <w:t xml:space="preserve">. </w:t>
      </w:r>
      <w:r w:rsidRPr="009123CB">
        <w:rPr>
          <w:rFonts w:eastAsia="Arial" w:cs="Arial"/>
          <w:lang w:val="de-DE"/>
        </w:rPr>
        <w:t>Die Workshops sind für Führungskräfte des Kunden aus Management und IT entwickelt und angepasst, um ihnen die Relevanz neuer Technologien und Branchen-Know-how für ihren Geschäftsbereich zu vermitteln</w:t>
      </w:r>
      <w:r w:rsidR="006257A7">
        <w:rPr>
          <w:rFonts w:eastAsia="Arial" w:cs="Arial"/>
          <w:lang w:val="de-DE"/>
        </w:rPr>
        <w:t xml:space="preserve">. </w:t>
      </w:r>
      <w:r w:rsidRPr="009123CB">
        <w:rPr>
          <w:rFonts w:eastAsia="Arial" w:cs="Arial"/>
          <w:lang w:val="de-DE"/>
        </w:rPr>
        <w:t>Die Kosten für die Teilnahme des Kunden an diesen Workshops trägt der Kunde</w:t>
      </w:r>
      <w:r w:rsidR="006257A7">
        <w:rPr>
          <w:rFonts w:eastAsia="Arial" w:cs="Arial"/>
          <w:lang w:val="de-DE"/>
        </w:rPr>
        <w:t xml:space="preserve">. </w:t>
      </w:r>
    </w:p>
    <w:p w:rsidR="008D4EE5" w:rsidRPr="009123CB" w:rsidRDefault="008D4EE5" w:rsidP="00A634DA">
      <w:pPr>
        <w:spacing w:line="216" w:lineRule="auto"/>
        <w:rPr>
          <w:lang w:val="de-DE"/>
        </w:rPr>
      </w:pPr>
    </w:p>
    <w:p w:rsidR="008D4EE5" w:rsidRPr="009123CB" w:rsidRDefault="008D4EE5" w:rsidP="008D4EE5">
      <w:pPr>
        <w:spacing w:after="60"/>
        <w:rPr>
          <w:lang w:val="de-DE"/>
        </w:rPr>
      </w:pPr>
      <w:r w:rsidRPr="009123CB">
        <w:rPr>
          <w:b/>
          <w:szCs w:val="18"/>
          <w:lang w:val="de-DE"/>
        </w:rPr>
        <w:t>Strategische Briefings</w:t>
      </w:r>
    </w:p>
    <w:p w:rsidR="008D4EE5" w:rsidRPr="009123CB" w:rsidRDefault="008D4EE5" w:rsidP="00A634DA">
      <w:pPr>
        <w:spacing w:after="60"/>
        <w:rPr>
          <w:lang w:val="de-DE"/>
        </w:rPr>
      </w:pPr>
      <w:r w:rsidRPr="009123CB">
        <w:rPr>
          <w:rFonts w:eastAsia="Arial" w:cs="Arial"/>
          <w:lang w:val="de-DE"/>
        </w:rPr>
        <w:t>Hierbei handelt es sich um einstündige Webkonferenzen für Führungskräfte aus Management und IT</w:t>
      </w:r>
      <w:r w:rsidR="006257A7">
        <w:rPr>
          <w:rFonts w:eastAsia="Arial" w:cs="Arial"/>
          <w:lang w:val="de-DE"/>
        </w:rPr>
        <w:t xml:space="preserve">. </w:t>
      </w:r>
      <w:r w:rsidRPr="009123CB">
        <w:rPr>
          <w:rFonts w:eastAsia="Arial" w:cs="Arial"/>
          <w:lang w:val="de-DE"/>
        </w:rPr>
        <w:t>Dabei werden</w:t>
      </w:r>
      <w:r w:rsidR="00A634DA">
        <w:rPr>
          <w:rFonts w:eastAsia="Arial" w:cs="Arial"/>
          <w:lang w:val="de-DE"/>
        </w:rPr>
        <w:t> </w:t>
      </w:r>
      <w:r w:rsidRPr="009123CB">
        <w:rPr>
          <w:rFonts w:eastAsia="Arial" w:cs="Arial"/>
          <w:lang w:val="de-DE"/>
        </w:rPr>
        <w:t>Geschäfts- und Branchenchancen, Technologietrends sowie die Einschätzung von Microsoft zu strategischen Aspekten wichtiger Themen behandelt</w:t>
      </w:r>
      <w:r w:rsidR="006257A7">
        <w:rPr>
          <w:rFonts w:eastAsia="Arial" w:cs="Arial"/>
          <w:lang w:val="de-DE"/>
        </w:rPr>
        <w:t xml:space="preserve">. </w:t>
      </w:r>
      <w:r w:rsidRPr="009123CB">
        <w:rPr>
          <w:rFonts w:eastAsia="Arial" w:cs="Arial"/>
          <w:lang w:val="de-DE"/>
        </w:rPr>
        <w:t>Der Kunde kann sich außerdem zuvor aufgezeichnete strategische Briefings ansehen</w:t>
      </w:r>
      <w:r w:rsidR="006257A7">
        <w:rPr>
          <w:rFonts w:eastAsia="Arial" w:cs="Arial"/>
          <w:lang w:val="de-DE"/>
        </w:rPr>
        <w:t xml:space="preserve">. </w:t>
      </w:r>
    </w:p>
    <w:p w:rsidR="008D4EE5" w:rsidRPr="009123CB" w:rsidRDefault="008D4EE5" w:rsidP="00A634DA">
      <w:pPr>
        <w:spacing w:line="216" w:lineRule="auto"/>
        <w:rPr>
          <w:lang w:val="de-DE"/>
        </w:rPr>
      </w:pPr>
    </w:p>
    <w:p w:rsidR="008D4EE5" w:rsidRPr="009123CB" w:rsidRDefault="008D4EE5" w:rsidP="008D4EE5">
      <w:pPr>
        <w:spacing w:after="60"/>
        <w:rPr>
          <w:lang w:val="de-DE"/>
        </w:rPr>
      </w:pPr>
      <w:r w:rsidRPr="009123CB">
        <w:rPr>
          <w:rFonts w:eastAsia="Arial" w:cs="Arial"/>
          <w:b/>
          <w:lang w:val="de-DE"/>
        </w:rPr>
        <w:t>Enterprise Strategy Forum</w:t>
      </w:r>
    </w:p>
    <w:p w:rsidR="008D4EE5" w:rsidRPr="009123CB" w:rsidRDefault="008D4EE5" w:rsidP="008D4EE5">
      <w:pPr>
        <w:spacing w:after="60"/>
        <w:rPr>
          <w:lang w:val="de-DE"/>
        </w:rPr>
      </w:pPr>
      <w:r w:rsidRPr="009123CB">
        <w:rPr>
          <w:rFonts w:eastAsia="Arial" w:cs="Arial"/>
          <w:lang w:val="de-DE"/>
        </w:rPr>
        <w:t>An dieser Konferenz für geladene Gäste, die internationalen Kunden unseres Enterprise Strategy-Programms vorbehalten ist, nehmen Chief Architects und ihr Management teil</w:t>
      </w:r>
      <w:r w:rsidR="006257A7">
        <w:rPr>
          <w:rFonts w:eastAsia="Arial" w:cs="Arial"/>
          <w:lang w:val="de-DE"/>
        </w:rPr>
        <w:t xml:space="preserve">. </w:t>
      </w:r>
      <w:r w:rsidRPr="009123CB">
        <w:rPr>
          <w:rFonts w:eastAsia="Arial" w:cs="Arial"/>
          <w:lang w:val="de-DE"/>
        </w:rPr>
        <w:t>Chief Architects erhalten dabei Gelegenheit, sich mit Kollegen und Microsoft-Führungskräften über einige Probleme auszutauschen, mit denen unsere größten Kunden konfrontiert sind, und über mögliche Lösungen zu diskutieren</w:t>
      </w:r>
      <w:r w:rsidR="006257A7">
        <w:rPr>
          <w:rFonts w:eastAsia="Arial" w:cs="Arial"/>
          <w:lang w:val="de-DE"/>
        </w:rPr>
        <w:t xml:space="preserve">. </w:t>
      </w:r>
      <w:r w:rsidRPr="009123CB">
        <w:rPr>
          <w:rFonts w:eastAsia="Arial" w:cs="Arial"/>
          <w:lang w:val="de-DE"/>
        </w:rPr>
        <w:t>Die Kosten für die Teilnahme des Kunden an diesen Foren trägt der Kunde</w:t>
      </w:r>
      <w:r w:rsidR="006257A7">
        <w:rPr>
          <w:rFonts w:eastAsia="Arial" w:cs="Arial"/>
          <w:lang w:val="de-DE"/>
        </w:rPr>
        <w:t xml:space="preserve">. </w:t>
      </w:r>
    </w:p>
    <w:p w:rsidR="008D4EE5" w:rsidRPr="009123CB" w:rsidRDefault="008D4EE5" w:rsidP="00A634DA">
      <w:pPr>
        <w:spacing w:line="216" w:lineRule="auto"/>
        <w:rPr>
          <w:lang w:val="de-DE"/>
        </w:rPr>
      </w:pPr>
    </w:p>
    <w:p w:rsidR="008D4EE5" w:rsidRPr="009123CB" w:rsidRDefault="008D4EE5" w:rsidP="008D4EE5">
      <w:pPr>
        <w:spacing w:after="60"/>
        <w:rPr>
          <w:lang w:val="de-DE"/>
        </w:rPr>
      </w:pPr>
      <w:r w:rsidRPr="009123CB">
        <w:rPr>
          <w:rFonts w:cs="Tahoma"/>
          <w:b/>
          <w:bCs/>
          <w:color w:val="000000"/>
          <w:szCs w:val="18"/>
          <w:lang w:val="de-DE"/>
        </w:rPr>
        <w:t>Enterprise Strategy Capacity Add-On</w:t>
      </w:r>
    </w:p>
    <w:p w:rsidR="008D4EE5" w:rsidRPr="009123CB" w:rsidRDefault="008D4EE5" w:rsidP="00A634DA">
      <w:pPr>
        <w:rPr>
          <w:lang w:val="de-DE"/>
        </w:rPr>
      </w:pPr>
      <w:r w:rsidRPr="009123CB">
        <w:rPr>
          <w:rFonts w:cs="Tahoma"/>
          <w:color w:val="000000"/>
          <w:szCs w:val="18"/>
          <w:lang w:val="de-DE"/>
        </w:rPr>
        <w:t>Der Kunde kann Consulting-Ressourcen des Microsoft Enterprise Service in Blöcken zu je 200 Stunden erwerben, um</w:t>
      </w:r>
      <w:r w:rsidR="00A634DA">
        <w:rPr>
          <w:rFonts w:cs="Tahoma"/>
          <w:color w:val="000000"/>
          <w:szCs w:val="18"/>
          <w:lang w:val="de-DE"/>
        </w:rPr>
        <w:t> </w:t>
      </w:r>
      <w:r w:rsidRPr="009123CB">
        <w:rPr>
          <w:rFonts w:cs="Tahoma"/>
          <w:color w:val="000000"/>
          <w:szCs w:val="18"/>
          <w:lang w:val="de-DE"/>
        </w:rPr>
        <w:t>die Lieferkapazität für Enterprise Strategy-Projekte zu erhöhen oder um Lücken zwischen den Leistungen zu überbrücken</w:t>
      </w:r>
      <w:r w:rsidR="006257A7">
        <w:rPr>
          <w:rFonts w:cs="Tahoma"/>
          <w:color w:val="000000"/>
          <w:szCs w:val="18"/>
          <w:lang w:val="de-DE"/>
        </w:rPr>
        <w:t xml:space="preserve">. </w:t>
      </w:r>
      <w:r w:rsidRPr="009123CB">
        <w:rPr>
          <w:rFonts w:cs="Tahoma"/>
          <w:color w:val="000000"/>
          <w:szCs w:val="18"/>
          <w:lang w:val="de-DE"/>
        </w:rPr>
        <w:t>Das Enterprise Strategy Capacity Add-On steht Kunden zur Verfügung, die das Angebot Enterprise Strategy Connect, Enterprise Strategy Foundation oder Enterprise Strategy Portfolio über Microsoft-Volumenlizenz- oder -Standardserviceverträge erworben haben</w:t>
      </w:r>
      <w:r w:rsidR="006257A7">
        <w:rPr>
          <w:rFonts w:cs="Tahoma"/>
          <w:color w:val="000000"/>
          <w:szCs w:val="18"/>
          <w:lang w:val="de-DE"/>
        </w:rPr>
        <w:t xml:space="preserve">. </w:t>
      </w:r>
    </w:p>
    <w:p w:rsidR="008D4EE5" w:rsidRPr="009123CB" w:rsidRDefault="008D4EE5" w:rsidP="00A634DA">
      <w:pPr>
        <w:spacing w:line="216" w:lineRule="auto"/>
        <w:rPr>
          <w:lang w:val="de-DE"/>
        </w:rPr>
      </w:pPr>
    </w:p>
    <w:bookmarkEnd w:id="923"/>
    <w:bookmarkEnd w:id="924"/>
    <w:p w:rsidR="008D4EE5" w:rsidRPr="009123CB" w:rsidRDefault="008D4EE5" w:rsidP="008D4EE5">
      <w:pPr>
        <w:rPr>
          <w:lang w:val="de-DE"/>
        </w:rPr>
      </w:pPr>
      <w:r w:rsidRPr="009123CB">
        <w:rPr>
          <w:b/>
          <w:sz w:val="24"/>
          <w:szCs w:val="18"/>
          <w:lang w:val="de-DE"/>
        </w:rPr>
        <w:t>Vertraglich nicht abgedeckte Services</w:t>
      </w:r>
    </w:p>
    <w:p w:rsidR="008D4EE5" w:rsidRPr="009123CB" w:rsidRDefault="008D4EE5" w:rsidP="00A634DA">
      <w:pPr>
        <w:spacing w:line="216" w:lineRule="auto"/>
        <w:rPr>
          <w:lang w:val="de-DE"/>
        </w:rPr>
      </w:pPr>
    </w:p>
    <w:p w:rsidR="008D4EE5" w:rsidRPr="00A634DA" w:rsidRDefault="008D4EE5" w:rsidP="008D4EE5">
      <w:pPr>
        <w:rPr>
          <w:szCs w:val="18"/>
          <w:lang w:val="de-DE"/>
        </w:rPr>
      </w:pPr>
      <w:r w:rsidRPr="00A634DA">
        <w:rPr>
          <w:szCs w:val="18"/>
          <w:lang w:val="de-DE"/>
        </w:rPr>
        <w:t>Das Enterprise Strategy-Programm umfasst ausschließlich Beratung und Empfehlungen für die Einführung von Microsoft-Technologien durch den Kunden</w:t>
      </w:r>
      <w:r w:rsidR="006257A7">
        <w:rPr>
          <w:szCs w:val="18"/>
          <w:lang w:val="de-DE"/>
        </w:rPr>
        <w:t xml:space="preserve">. </w:t>
      </w:r>
      <w:r w:rsidRPr="00A634DA">
        <w:rPr>
          <w:rFonts w:eastAsia="Arial" w:cs="Arial"/>
          <w:bCs/>
          <w:szCs w:val="18"/>
          <w:lang w:val="de-DE"/>
        </w:rPr>
        <w:t>Die Entscheidung, die Ratschläge, Hinweise und Empfehlungen von Microsoft zu befolgen oder zu ignorieren, liegt ausschließlich beim Kunden</w:t>
      </w:r>
      <w:r w:rsidR="006257A7">
        <w:rPr>
          <w:rFonts w:eastAsia="Arial" w:cs="Arial"/>
          <w:bCs/>
          <w:szCs w:val="18"/>
          <w:lang w:val="de-DE"/>
        </w:rPr>
        <w:t xml:space="preserve">. </w:t>
      </w:r>
      <w:r w:rsidRPr="00A634DA">
        <w:rPr>
          <w:rFonts w:eastAsia="Arial" w:cs="Arial"/>
          <w:bCs/>
          <w:szCs w:val="18"/>
          <w:lang w:val="de-DE"/>
        </w:rPr>
        <w:t>Microsoft gibt keinerlei Zusicherungen, Gewährleistungen oder Garantien hinsichtlich der Ergebnisse ab, die der Kunde möglicherweise durch Befolgen der Ratschläge, Hinweise und Empfehlungen von Microsoft erzielt</w:t>
      </w:r>
      <w:r w:rsidR="006257A7">
        <w:rPr>
          <w:rFonts w:eastAsia="Arial" w:cs="Arial"/>
          <w:bCs/>
          <w:szCs w:val="18"/>
          <w:lang w:val="de-DE"/>
        </w:rPr>
        <w:t xml:space="preserve">. </w:t>
      </w:r>
      <w:r w:rsidRPr="00A634DA">
        <w:rPr>
          <w:szCs w:val="18"/>
          <w:lang w:val="de-DE"/>
        </w:rPr>
        <w:t>Produktlizenzen sind nicht enthalten</w:t>
      </w:r>
      <w:r w:rsidR="006257A7">
        <w:rPr>
          <w:szCs w:val="18"/>
          <w:lang w:val="de-DE"/>
        </w:rPr>
        <w:t xml:space="preserve">. </w:t>
      </w:r>
      <w:r w:rsidRPr="00A634DA">
        <w:rPr>
          <w:szCs w:val="18"/>
          <w:lang w:val="de-DE"/>
        </w:rPr>
        <w:t>In den Services des Enterprise Architect sind außerdem Produktbereitstellung, Problembehebungs- oder Break-Fix-Support, Prüfung von nicht von Microsoft stammendem Quellcode oder eine technische oder Architekturberatung, die über die oben beschriebene Ergebnisse hinausgeht, nicht enthalten</w:t>
      </w:r>
      <w:r w:rsidR="006257A7">
        <w:rPr>
          <w:szCs w:val="18"/>
          <w:lang w:val="de-DE"/>
        </w:rPr>
        <w:t xml:space="preserve">. </w:t>
      </w:r>
      <w:r w:rsidRPr="00A634DA">
        <w:rPr>
          <w:szCs w:val="18"/>
          <w:lang w:val="de-DE"/>
        </w:rPr>
        <w:t>Bei nicht von Microsoft stammendem Quellcode sind unsere Services auf die Analyse von Binärdaten, z</w:t>
      </w:r>
      <w:r w:rsidR="006257A7">
        <w:rPr>
          <w:szCs w:val="18"/>
          <w:lang w:val="de-DE"/>
        </w:rPr>
        <w:t xml:space="preserve">. </w:t>
      </w:r>
      <w:r w:rsidRPr="00A634DA">
        <w:rPr>
          <w:szCs w:val="18"/>
          <w:lang w:val="de-DE"/>
        </w:rPr>
        <w:t>B</w:t>
      </w:r>
      <w:r w:rsidR="006257A7">
        <w:rPr>
          <w:szCs w:val="18"/>
          <w:lang w:val="de-DE"/>
        </w:rPr>
        <w:t xml:space="preserve">. </w:t>
      </w:r>
      <w:r w:rsidRPr="00A634DA">
        <w:rPr>
          <w:szCs w:val="18"/>
          <w:lang w:val="de-DE"/>
        </w:rPr>
        <w:t>eine Prozesssicherung oder Netzwerkmonitor-Ablaufverfolgung, beschränkt</w:t>
      </w:r>
      <w:r w:rsidR="006257A7">
        <w:rPr>
          <w:szCs w:val="18"/>
          <w:lang w:val="de-DE"/>
        </w:rPr>
        <w:t xml:space="preserve">. </w:t>
      </w:r>
    </w:p>
    <w:p w:rsidR="008D4EE5" w:rsidRPr="009123CB" w:rsidRDefault="008D4EE5" w:rsidP="00A634DA">
      <w:pPr>
        <w:spacing w:line="216" w:lineRule="auto"/>
        <w:rPr>
          <w:lang w:val="de-DE"/>
        </w:rPr>
      </w:pPr>
    </w:p>
    <w:p w:rsidR="008D4EE5" w:rsidRPr="009123CB" w:rsidRDefault="008D4EE5" w:rsidP="008D4EE5">
      <w:pPr>
        <w:rPr>
          <w:lang w:val="de-DE"/>
        </w:rPr>
      </w:pPr>
      <w:r w:rsidRPr="009123CB">
        <w:rPr>
          <w:b/>
          <w:sz w:val="24"/>
          <w:szCs w:val="18"/>
          <w:lang w:val="de-DE"/>
        </w:rPr>
        <w:t>Verantwortlichkeiten des Kunden</w:t>
      </w:r>
    </w:p>
    <w:p w:rsidR="008D4EE5" w:rsidRPr="009123CB" w:rsidRDefault="008D4EE5" w:rsidP="00A634DA">
      <w:pPr>
        <w:spacing w:line="216" w:lineRule="auto"/>
        <w:rPr>
          <w:lang w:val="de-DE"/>
        </w:rPr>
      </w:pPr>
    </w:p>
    <w:p w:rsidR="008D4EE5" w:rsidRPr="009123CB" w:rsidRDefault="008D4EE5" w:rsidP="008D4EE5">
      <w:pPr>
        <w:rPr>
          <w:lang w:val="de-DE"/>
        </w:rPr>
      </w:pPr>
      <w:r w:rsidRPr="009123CB">
        <w:rPr>
          <w:szCs w:val="18"/>
          <w:lang w:val="de-DE"/>
        </w:rPr>
        <w:t>Der Erfolg des Enterprise Strategy-Programms und die Erfüllung unserer Pflichten sind von der Beteiligung des Kunden während des Programms abhängig, einschließlich, jedoch ohne Beschränkung auf Folgendes:</w:t>
      </w:r>
    </w:p>
    <w:p w:rsidR="008D4EE5" w:rsidRPr="009123CB" w:rsidRDefault="008D4EE5" w:rsidP="008D4EE5">
      <w:pPr>
        <w:rPr>
          <w:lang w:val="de-DE"/>
        </w:rPr>
      </w:pPr>
    </w:p>
    <w:p w:rsidR="008D4EE5" w:rsidRPr="009123CB" w:rsidRDefault="008D4EE5" w:rsidP="008D4EE5">
      <w:pPr>
        <w:numPr>
          <w:ilvl w:val="0"/>
          <w:numId w:val="78"/>
        </w:numPr>
        <w:tabs>
          <w:tab w:val="left" w:pos="1440"/>
        </w:tabs>
        <w:spacing w:after="60"/>
        <w:ind w:left="1440"/>
        <w:rPr>
          <w:lang w:val="de-DE"/>
        </w:rPr>
      </w:pPr>
      <w:r w:rsidRPr="009123CB">
        <w:rPr>
          <w:color w:val="000000"/>
          <w:szCs w:val="18"/>
          <w:lang w:val="de-DE"/>
        </w:rPr>
        <w:t xml:space="preserve">Verfügbarkeit von Vertretern, IT-Mitarbeitern und Ressourcen des Kunden, einschließlich, jedoch nicht beschränkt auf Hardware, Software, Internetanschluss und Büroräume </w:t>
      </w:r>
    </w:p>
    <w:p w:rsidR="008D4EE5" w:rsidRPr="009123CB" w:rsidRDefault="008D4EE5" w:rsidP="008D4EE5">
      <w:pPr>
        <w:numPr>
          <w:ilvl w:val="0"/>
          <w:numId w:val="78"/>
        </w:numPr>
        <w:tabs>
          <w:tab w:val="left" w:pos="1440"/>
        </w:tabs>
        <w:spacing w:after="60"/>
        <w:ind w:left="1440"/>
        <w:rPr>
          <w:lang w:val="de-DE"/>
        </w:rPr>
      </w:pPr>
      <w:r w:rsidRPr="009123CB">
        <w:rPr>
          <w:color w:val="000000"/>
          <w:szCs w:val="18"/>
          <w:lang w:val="de-DE"/>
        </w:rPr>
        <w:t xml:space="preserve">Zeitnahe Bereitstellung korrekter und vollständiger Informationen durch den Kunden </w:t>
      </w:r>
    </w:p>
    <w:p w:rsidR="008D4EE5" w:rsidRPr="009123CB" w:rsidRDefault="008D4EE5" w:rsidP="008D4EE5">
      <w:pPr>
        <w:numPr>
          <w:ilvl w:val="0"/>
          <w:numId w:val="78"/>
        </w:numPr>
        <w:tabs>
          <w:tab w:val="left" w:pos="1440"/>
        </w:tabs>
        <w:spacing w:after="60"/>
        <w:ind w:left="1440"/>
        <w:rPr>
          <w:lang w:val="de-DE"/>
        </w:rPr>
      </w:pPr>
      <w:r w:rsidRPr="009123CB">
        <w:rPr>
          <w:color w:val="000000"/>
          <w:szCs w:val="18"/>
          <w:lang w:val="de-DE"/>
        </w:rPr>
        <w:t>Zugang zu Informationen über das Unternehmen des Kunden</w:t>
      </w:r>
    </w:p>
    <w:p w:rsidR="008D4EE5" w:rsidRPr="009123CB" w:rsidRDefault="008D4EE5" w:rsidP="008D4EE5">
      <w:pPr>
        <w:numPr>
          <w:ilvl w:val="0"/>
          <w:numId w:val="78"/>
        </w:numPr>
        <w:tabs>
          <w:tab w:val="left" w:pos="1440"/>
        </w:tabs>
        <w:spacing w:after="60"/>
        <w:ind w:left="1440"/>
        <w:rPr>
          <w:lang w:val="de-DE"/>
        </w:rPr>
      </w:pPr>
      <w:r w:rsidRPr="009123CB">
        <w:rPr>
          <w:color w:val="000000"/>
          <w:szCs w:val="18"/>
          <w:lang w:val="de-DE"/>
        </w:rPr>
        <w:t>Zeitnahe und effektiven Erfüllung der dem Kunden zugewiesenen Verantwortlichkeiten und</w:t>
      </w:r>
    </w:p>
    <w:p w:rsidR="008D4EE5" w:rsidRPr="009123CB" w:rsidRDefault="008D4EE5" w:rsidP="008D4EE5">
      <w:pPr>
        <w:numPr>
          <w:ilvl w:val="0"/>
          <w:numId w:val="78"/>
        </w:numPr>
        <w:tabs>
          <w:tab w:val="left" w:pos="1440"/>
        </w:tabs>
        <w:spacing w:after="60"/>
        <w:ind w:left="1440"/>
        <w:rPr>
          <w:lang w:val="de-DE"/>
        </w:rPr>
      </w:pPr>
      <w:r w:rsidRPr="009123CB">
        <w:rPr>
          <w:color w:val="000000"/>
          <w:szCs w:val="18"/>
          <w:lang w:val="de-DE"/>
        </w:rPr>
        <w:t>Zeitnahe Entscheidungen und Genehmigungen durch das Management des Kunden</w:t>
      </w:r>
      <w:r w:rsidR="006257A7">
        <w:rPr>
          <w:color w:val="000000"/>
          <w:szCs w:val="18"/>
          <w:lang w:val="de-DE"/>
        </w:rPr>
        <w:t xml:space="preserve">. </w:t>
      </w:r>
    </w:p>
    <w:p w:rsidR="008D4EE5" w:rsidRPr="009123CB" w:rsidRDefault="008D4EE5" w:rsidP="008D4EE5">
      <w:pPr>
        <w:rPr>
          <w:lang w:val="de-DE"/>
        </w:rPr>
      </w:pPr>
      <w:bookmarkStart w:id="925" w:name="_Toc288760404"/>
      <w:r w:rsidRPr="009123CB">
        <w:rPr>
          <w:b/>
          <w:sz w:val="24"/>
          <w:szCs w:val="18"/>
          <w:lang w:val="de-DE"/>
        </w:rPr>
        <w:t>Zusätzliche Servicebestimmungen</w:t>
      </w:r>
    </w:p>
    <w:p w:rsidR="008D4EE5" w:rsidRPr="009123CB" w:rsidRDefault="008D4EE5" w:rsidP="008D4EE5">
      <w:pPr>
        <w:rPr>
          <w:lang w:val="de-DE"/>
        </w:rPr>
      </w:pPr>
    </w:p>
    <w:p w:rsidR="008D4EE5" w:rsidRPr="009123CB" w:rsidRDefault="008D4EE5" w:rsidP="008D4EE5">
      <w:pPr>
        <w:spacing w:after="60"/>
        <w:rPr>
          <w:lang w:val="de-DE"/>
        </w:rPr>
      </w:pPr>
      <w:bookmarkStart w:id="926" w:name="_Toc317591257"/>
      <w:bookmarkStart w:id="927" w:name="_Toc336338248"/>
      <w:bookmarkStart w:id="928" w:name="_Toc363998986"/>
      <w:r w:rsidRPr="009123CB">
        <w:rPr>
          <w:rStyle w:val="Heading2Char"/>
          <w:rFonts w:ascii="Tahoma" w:hAnsi="Tahoma"/>
          <w:sz w:val="20"/>
          <w:szCs w:val="20"/>
          <w:lang w:val="de-DE"/>
        </w:rPr>
        <w:t>Nutzungsrechte, Eigentum und Lizenzrechte</w:t>
      </w:r>
      <w:bookmarkEnd w:id="925"/>
      <w:bookmarkEnd w:id="926"/>
      <w:bookmarkEnd w:id="927"/>
      <w:bookmarkEnd w:id="928"/>
    </w:p>
    <w:p w:rsidR="008D4EE5" w:rsidRPr="009123CB" w:rsidRDefault="008D4EE5" w:rsidP="00A634DA">
      <w:pPr>
        <w:pStyle w:val="normal1"/>
        <w:rPr>
          <w:lang w:val="de-DE"/>
        </w:rPr>
      </w:pPr>
      <w:r w:rsidRPr="009123CB">
        <w:rPr>
          <w:rFonts w:ascii="Tahoma" w:hAnsi="Tahoma" w:cs="Tahoma"/>
          <w:b/>
          <w:bCs/>
          <w:color w:val="000000"/>
          <w:sz w:val="18"/>
          <w:szCs w:val="18"/>
          <w:lang w:val="de-DE"/>
        </w:rPr>
        <w:t>Fixes</w:t>
      </w:r>
      <w:r w:rsidR="006257A7">
        <w:rPr>
          <w:rFonts w:ascii="Tahoma" w:hAnsi="Tahoma" w:cs="Tahoma"/>
          <w:b/>
          <w:bCs/>
          <w:color w:val="000000"/>
          <w:sz w:val="18"/>
          <w:szCs w:val="18"/>
          <w:lang w:val="de-DE"/>
        </w:rPr>
        <w:t xml:space="preserve">. </w:t>
      </w:r>
      <w:r w:rsidRPr="009123CB">
        <w:rPr>
          <w:rFonts w:ascii="Tahoma" w:hAnsi="Tahoma" w:cs="Tahoma"/>
          <w:bCs/>
          <w:color w:val="000000"/>
          <w:sz w:val="18"/>
          <w:szCs w:val="18"/>
          <w:lang w:val="de-DE"/>
        </w:rPr>
        <w:t>Wenn Microsoft dem Kunden im Rahmen der Erbringung der Services Fixes zur Verfügung stellt, werden diese</w:t>
      </w:r>
      <w:r w:rsidR="00A634DA">
        <w:rPr>
          <w:rFonts w:ascii="Tahoma" w:hAnsi="Tahoma" w:cs="Tahoma"/>
          <w:b/>
          <w:bCs/>
          <w:color w:val="000000"/>
          <w:sz w:val="18"/>
          <w:szCs w:val="18"/>
          <w:lang w:val="de-DE"/>
        </w:rPr>
        <w:t> </w:t>
      </w:r>
      <w:r w:rsidRPr="009123CB">
        <w:rPr>
          <w:rFonts w:ascii="Tahoma" w:hAnsi="Tahoma" w:cs="Tahoma"/>
          <w:color w:val="000000"/>
          <w:sz w:val="18"/>
          <w:szCs w:val="18"/>
          <w:lang w:val="de-DE"/>
        </w:rPr>
        <w:t>Fixes in Übereinstimmung mit den Lizenzbestimmungen für das Product, auf das sich diese Fixes beziehen, lizenziert</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Falls die Fixes nicht für ein bestimmtes Produkt zur Verfügung gestellt werden, gelten die von Microsoft mit</w:t>
      </w:r>
      <w:r w:rsidR="00A634DA">
        <w:rPr>
          <w:rFonts w:ascii="Tahoma" w:hAnsi="Tahoma" w:cs="Tahoma"/>
          <w:color w:val="000000"/>
          <w:sz w:val="18"/>
          <w:szCs w:val="18"/>
          <w:lang w:val="de-DE"/>
        </w:rPr>
        <w:t> </w:t>
      </w:r>
      <w:r w:rsidRPr="009123CB">
        <w:rPr>
          <w:rFonts w:ascii="Tahoma" w:hAnsi="Tahoma" w:cs="Tahoma"/>
          <w:color w:val="000000"/>
          <w:sz w:val="18"/>
          <w:szCs w:val="18"/>
          <w:lang w:val="de-DE"/>
        </w:rPr>
        <w:t>den Fixes bereitgestellten Nutzungsbestimmungen, und falls keine Nutzungsbestimmungen bereitgestellt werden,</w:t>
      </w:r>
      <w:r w:rsidR="00A634DA">
        <w:rPr>
          <w:rFonts w:ascii="Tahoma" w:hAnsi="Tahoma" w:cs="Tahoma"/>
          <w:color w:val="000000"/>
          <w:sz w:val="18"/>
          <w:szCs w:val="18"/>
          <w:lang w:val="de-DE"/>
        </w:rPr>
        <w:t> </w:t>
      </w:r>
      <w:r w:rsidRPr="009123CB">
        <w:rPr>
          <w:rFonts w:ascii="Tahoma" w:hAnsi="Tahoma" w:cs="Tahoma"/>
          <w:color w:val="000000"/>
          <w:sz w:val="18"/>
          <w:szCs w:val="18"/>
          <w:lang w:val="de-DE"/>
        </w:rPr>
        <w:t>wird dem Kunden eine nicht ausschließliche, zeitlich unbeschränkte, kostenlose Lizenz zur Nutzung und Vervielfältigung der Fixes ausschließlich zu seiner internen Verwendung gewährt</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Der Kunde ist nicht berechtigt, Fixes</w:t>
      </w:r>
      <w:r w:rsidR="00A634DA">
        <w:rPr>
          <w:rFonts w:ascii="Tahoma" w:hAnsi="Tahoma" w:cs="Tahoma"/>
          <w:color w:val="000000"/>
          <w:sz w:val="18"/>
          <w:szCs w:val="18"/>
          <w:lang w:val="de-DE"/>
        </w:rPr>
        <w:t> </w:t>
      </w:r>
      <w:r w:rsidRPr="009123CB">
        <w:rPr>
          <w:rFonts w:ascii="Tahoma" w:hAnsi="Tahoma" w:cs="Tahoma"/>
          <w:color w:val="000000"/>
          <w:sz w:val="18"/>
          <w:szCs w:val="18"/>
          <w:lang w:val="de-DE"/>
        </w:rPr>
        <w:t>zu ändern, ihre Dateinamen zu ändern oder sie mit Computercodes zu kombinieren, die nicht von Microsoft stammen</w:t>
      </w:r>
      <w:r w:rsidR="006257A7">
        <w:rPr>
          <w:rFonts w:ascii="Tahoma" w:hAnsi="Tahoma" w:cs="Tahoma"/>
          <w:color w:val="000000"/>
          <w:sz w:val="18"/>
          <w:szCs w:val="18"/>
          <w:lang w:val="de-DE"/>
        </w:rPr>
        <w:t xml:space="preserve">. </w:t>
      </w:r>
    </w:p>
    <w:p w:rsidR="008D4EE5" w:rsidRPr="009123CB" w:rsidRDefault="008D4EE5" w:rsidP="008D4EE5">
      <w:pPr>
        <w:pStyle w:val="normal1"/>
        <w:rPr>
          <w:lang w:val="de-DE"/>
        </w:rPr>
      </w:pPr>
    </w:p>
    <w:p w:rsidR="008D4EE5" w:rsidRPr="009123CB" w:rsidRDefault="008D4EE5" w:rsidP="00A634DA">
      <w:pPr>
        <w:pStyle w:val="normal1"/>
        <w:rPr>
          <w:lang w:val="de-DE"/>
        </w:rPr>
      </w:pPr>
      <w:r w:rsidRPr="009123CB">
        <w:rPr>
          <w:rFonts w:ascii="Tahoma" w:hAnsi="Tahoma" w:cs="Tahoma"/>
          <w:b/>
          <w:bCs/>
          <w:color w:val="000000"/>
          <w:sz w:val="18"/>
          <w:szCs w:val="18"/>
          <w:lang w:val="de-DE"/>
        </w:rPr>
        <w:t>Vorbestehende Werke</w:t>
      </w:r>
      <w:r w:rsidR="006257A7">
        <w:rPr>
          <w:rFonts w:ascii="Tahoma" w:hAnsi="Tahoma" w:cs="Tahoma"/>
          <w:b/>
          <w:bCs/>
          <w:color w:val="000000"/>
          <w:sz w:val="18"/>
          <w:szCs w:val="18"/>
          <w:lang w:val="de-DE"/>
        </w:rPr>
        <w:t xml:space="preserve">. </w:t>
      </w:r>
      <w:r w:rsidRPr="009123CB">
        <w:rPr>
          <w:rFonts w:ascii="Tahoma" w:hAnsi="Tahoma" w:cs="Tahoma"/>
          <w:color w:val="000000"/>
          <w:sz w:val="18"/>
          <w:szCs w:val="18"/>
          <w:lang w:val="de-DE"/>
        </w:rP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A634DA">
        <w:rPr>
          <w:rFonts w:ascii="Tahoma" w:hAnsi="Tahoma" w:cs="Tahoma"/>
          <w:color w:val="000000"/>
          <w:sz w:val="18"/>
          <w:szCs w:val="18"/>
          <w:lang w:val="de-DE"/>
        </w:rPr>
        <w:t> </w:t>
      </w:r>
      <w:r w:rsidRPr="009123CB">
        <w:rPr>
          <w:rFonts w:ascii="Tahoma" w:hAnsi="Tahoma" w:cs="Tahoma"/>
          <w:color w:val="000000"/>
          <w:sz w:val="18"/>
          <w:szCs w:val="18"/>
          <w:lang w:val="de-DE"/>
        </w:rPr>
        <w:t>den Services zu erfüllen</w:t>
      </w:r>
      <w:r w:rsidR="006257A7">
        <w:rPr>
          <w:rFonts w:ascii="Tahoma" w:hAnsi="Tahoma" w:cs="Tahoma"/>
          <w:color w:val="000000"/>
          <w:sz w:val="18"/>
          <w:szCs w:val="18"/>
          <w:lang w:val="de-DE"/>
        </w:rPr>
        <w:t xml:space="preserve">. </w:t>
      </w:r>
    </w:p>
    <w:p w:rsidR="008D4EE5" w:rsidRPr="009123CB" w:rsidRDefault="008D4EE5" w:rsidP="008D4EE5">
      <w:pPr>
        <w:pStyle w:val="normal1"/>
        <w:rPr>
          <w:lang w:val="de-DE"/>
        </w:rPr>
      </w:pPr>
      <w:r w:rsidRPr="009123CB">
        <w:rPr>
          <w:rFonts w:ascii="Tahoma" w:hAnsi="Tahoma" w:cs="Tahoma"/>
          <w:color w:val="000000"/>
          <w:sz w:val="18"/>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Die Lizenz an den Vorbestehenden Werken von Microsoft ist bedingt durch die Einhaltung der Bestimmungen dieses Vertrages durch den Kunden</w:t>
      </w:r>
      <w:r w:rsidR="006257A7">
        <w:rPr>
          <w:rFonts w:ascii="Tahoma" w:hAnsi="Tahoma" w:cs="Tahoma"/>
          <w:color w:val="000000"/>
          <w:sz w:val="18"/>
          <w:szCs w:val="18"/>
          <w:lang w:val="de-DE"/>
        </w:rPr>
        <w:t xml:space="preserve">. </w:t>
      </w:r>
    </w:p>
    <w:p w:rsidR="008D4EE5" w:rsidRPr="009123CB" w:rsidRDefault="008D4EE5" w:rsidP="008D4EE5">
      <w:pPr>
        <w:pStyle w:val="normal1"/>
        <w:rPr>
          <w:lang w:val="de-DE"/>
        </w:rPr>
      </w:pPr>
    </w:p>
    <w:p w:rsidR="008D4EE5" w:rsidRPr="009123CB" w:rsidRDefault="008D4EE5" w:rsidP="008D4EE5">
      <w:pPr>
        <w:pStyle w:val="normal1"/>
        <w:rPr>
          <w:lang w:val="de-DE"/>
        </w:rPr>
      </w:pPr>
      <w:r w:rsidRPr="009123CB">
        <w:rPr>
          <w:rFonts w:ascii="Tahoma" w:hAnsi="Tahoma" w:cs="Tahoma"/>
          <w:b/>
          <w:bCs/>
          <w:color w:val="000000"/>
          <w:sz w:val="18"/>
          <w:szCs w:val="18"/>
          <w:lang w:val="de-DE"/>
        </w:rPr>
        <w:t>Entwicklungen</w:t>
      </w:r>
      <w:r w:rsidR="006257A7">
        <w:rPr>
          <w:rFonts w:ascii="Tahoma" w:hAnsi="Tahoma" w:cs="Tahoma"/>
          <w:b/>
          <w:bCs/>
          <w:color w:val="000000"/>
          <w:sz w:val="18"/>
          <w:szCs w:val="18"/>
          <w:lang w:val="de-DE"/>
        </w:rPr>
        <w:t xml:space="preserve">. </w:t>
      </w:r>
      <w:r w:rsidRPr="009123CB">
        <w:rPr>
          <w:rFonts w:ascii="Tahoma" w:hAnsi="Tahoma" w:cs="Tahoma"/>
          <w:color w:val="000000"/>
          <w:sz w:val="18"/>
          <w:szCs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Jede Partei ist die alleinige Eigentümerin der Bearbeitungen, die sie auf Basis der Entwicklungen vornimmt</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Der Kunde verpflichtet sich, seine Rechte an Entwicklungen ausschließlich für seine internen Geschäftszwecke auszuüben und die Entwicklungen nicht an Dritte weiterzuverkaufen oder zu vertreiben</w:t>
      </w:r>
      <w:r w:rsidR="006257A7">
        <w:rPr>
          <w:rFonts w:ascii="Tahoma" w:hAnsi="Tahoma" w:cs="Tahoma"/>
          <w:color w:val="000000"/>
          <w:sz w:val="18"/>
          <w:szCs w:val="18"/>
          <w:lang w:val="de-DE"/>
        </w:rPr>
        <w:t xml:space="preserve">. </w:t>
      </w:r>
    </w:p>
    <w:p w:rsidR="008D4EE5" w:rsidRPr="009123CB" w:rsidRDefault="008D4EE5" w:rsidP="008D4EE5">
      <w:pPr>
        <w:pStyle w:val="normal1"/>
        <w:rPr>
          <w:lang w:val="de-DE"/>
        </w:rPr>
      </w:pPr>
    </w:p>
    <w:p w:rsidR="008D4EE5" w:rsidRPr="009123CB" w:rsidRDefault="008D4EE5" w:rsidP="008D4EE5">
      <w:pPr>
        <w:rPr>
          <w:lang w:val="de-DE"/>
        </w:rPr>
      </w:pPr>
      <w:r w:rsidRPr="009123CB">
        <w:rPr>
          <w:rFonts w:eastAsia="Calibri" w:cs="Tahoma"/>
          <w:b/>
          <w:bCs/>
          <w:color w:val="000000"/>
          <w:szCs w:val="18"/>
          <w:lang w:val="de-DE"/>
        </w:rPr>
        <w:t>Materialien</w:t>
      </w:r>
      <w:r w:rsidR="006257A7">
        <w:rPr>
          <w:rFonts w:eastAsia="Calibri" w:cs="Tahoma"/>
          <w:b/>
          <w:bCs/>
          <w:color w:val="000000"/>
          <w:szCs w:val="18"/>
          <w:lang w:val="de-DE"/>
        </w:rPr>
        <w:t xml:space="preserve">. </w:t>
      </w:r>
      <w:r w:rsidRPr="009123CB">
        <w:rPr>
          <w:rFonts w:eastAsia="Calibri" w:cs="Tahoma"/>
          <w:bCs/>
          <w:color w:val="000000"/>
          <w:szCs w:val="18"/>
          <w:lang w:val="de-DE"/>
        </w:rPr>
        <w:t>Alle Rechte an Materialien, die von uns entwickelt (ausgenommen Softwarecode) und dem Kunden in Verbindung mit dem Windows Azure-Support und Professional Support bereitgestellt werden („Materialien“), stehen in unserem Eigentum, außer insoweit solche Materialien Vorbestehenden Werke des Kunden darstellen</w:t>
      </w:r>
      <w:r w:rsidR="006257A7">
        <w:rPr>
          <w:rFonts w:eastAsia="Calibri" w:cs="Tahoma"/>
          <w:bCs/>
          <w:color w:val="000000"/>
          <w:szCs w:val="18"/>
          <w:lang w:val="de-DE"/>
        </w:rPr>
        <w:t xml:space="preserve">. </w:t>
      </w:r>
      <w:r w:rsidRPr="009123CB">
        <w:rPr>
          <w:rFonts w:eastAsia="Calibri" w:cs="Tahoma"/>
          <w:bCs/>
          <w:color w:val="000000"/>
          <w:szCs w:val="18"/>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6257A7">
        <w:rPr>
          <w:rFonts w:eastAsia="Calibri" w:cs="Tahoma"/>
          <w:bCs/>
          <w:color w:val="000000"/>
          <w:szCs w:val="18"/>
          <w:lang w:val="de-DE"/>
        </w:rPr>
        <w:t xml:space="preserve">. </w:t>
      </w:r>
      <w:r w:rsidRPr="009123CB">
        <w:rPr>
          <w:rFonts w:eastAsia="Calibri" w:cs="Tahoma"/>
          <w:bCs/>
          <w:color w:val="000000"/>
          <w:szCs w:val="18"/>
          <w:lang w:val="de-DE"/>
        </w:rPr>
        <w:t>Kunden sind berechtigt, die unter diesem Vertrag gewährten Rechte an ihre Verbundenen Unternehmen zu unterlizenzieren</w:t>
      </w:r>
      <w:r w:rsidR="006257A7">
        <w:rPr>
          <w:rFonts w:eastAsia="Calibri" w:cs="Tahoma"/>
          <w:bCs/>
          <w:color w:val="000000"/>
          <w:szCs w:val="18"/>
          <w:lang w:val="de-DE"/>
        </w:rPr>
        <w:t xml:space="preserve">. </w:t>
      </w:r>
      <w:r w:rsidRPr="009123CB">
        <w:rPr>
          <w:rFonts w:eastAsia="Calibri" w:cs="Tahoma"/>
          <w:bCs/>
          <w:color w:val="000000"/>
          <w:szCs w:val="18"/>
          <w:lang w:val="de-DE"/>
        </w:rPr>
        <w:t>Alle nicht ausdrücklich gewährten Rechte bleiben vorbehalten</w:t>
      </w:r>
      <w:r w:rsidR="006257A7">
        <w:rPr>
          <w:rFonts w:eastAsia="Calibri" w:cs="Tahoma"/>
          <w:bCs/>
          <w:color w:val="000000"/>
          <w:szCs w:val="18"/>
          <w:lang w:val="de-DE"/>
        </w:rPr>
        <w:t xml:space="preserve">. </w:t>
      </w:r>
    </w:p>
    <w:p w:rsidR="008D4EE5" w:rsidRPr="009123CB" w:rsidRDefault="008D4EE5" w:rsidP="008D4EE5">
      <w:pPr>
        <w:rPr>
          <w:lang w:val="de-DE"/>
        </w:rPr>
      </w:pPr>
    </w:p>
    <w:p w:rsidR="008D4EE5" w:rsidRPr="009123CB" w:rsidRDefault="008D4EE5" w:rsidP="008D4EE5">
      <w:pPr>
        <w:rPr>
          <w:lang w:val="de-DE"/>
        </w:rPr>
      </w:pPr>
      <w:r w:rsidRPr="009123CB">
        <w:rPr>
          <w:rFonts w:eastAsia="Calibri" w:cs="Tahoma"/>
          <w:b/>
          <w:bCs/>
          <w:color w:val="000000"/>
          <w:szCs w:val="18"/>
          <w:lang w:val="de-DE"/>
        </w:rPr>
        <w:t>Mustercode</w:t>
      </w:r>
      <w:r w:rsidR="006257A7">
        <w:rPr>
          <w:rFonts w:eastAsia="Calibri" w:cs="Tahoma"/>
          <w:b/>
          <w:bCs/>
          <w:color w:val="000000"/>
          <w:szCs w:val="18"/>
          <w:lang w:val="de-DE"/>
        </w:rPr>
        <w:t xml:space="preserve">. </w:t>
      </w:r>
      <w:r w:rsidRPr="009123CB">
        <w:rPr>
          <w:rFonts w:eastAsia="Calibri" w:cs="Tahoma"/>
          <w:bCs/>
          <w:color w:val="000000"/>
          <w:szCs w:val="18"/>
          <w:lang w:val="de-DE"/>
        </w:rPr>
        <w:t>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w:t>
      </w:r>
      <w:r w:rsidR="006257A7">
        <w:rPr>
          <w:rFonts w:eastAsia="Calibri" w:cs="Tahoma"/>
          <w:bCs/>
          <w:color w:val="000000"/>
          <w:szCs w:val="18"/>
          <w:lang w:val="de-DE"/>
        </w:rPr>
        <w:t xml:space="preserve">. </w:t>
      </w:r>
    </w:p>
    <w:p w:rsidR="008D4EE5" w:rsidRDefault="008D4EE5" w:rsidP="008D4EE5">
      <w:pPr>
        <w:rPr>
          <w:lang w:val="de-DE"/>
        </w:rPr>
      </w:pPr>
    </w:p>
    <w:p w:rsidR="00A634DA" w:rsidRDefault="00A634DA" w:rsidP="008D4EE5">
      <w:pPr>
        <w:rPr>
          <w:lang w:val="de-DE"/>
        </w:rPr>
      </w:pPr>
    </w:p>
    <w:p w:rsidR="00A634DA" w:rsidRDefault="00A634DA" w:rsidP="008D4EE5">
      <w:pPr>
        <w:rPr>
          <w:lang w:val="de-DE"/>
        </w:rPr>
      </w:pPr>
    </w:p>
    <w:p w:rsidR="00A634DA" w:rsidRDefault="00A634DA" w:rsidP="008D4EE5">
      <w:pPr>
        <w:rPr>
          <w:lang w:val="de-DE"/>
        </w:rPr>
      </w:pPr>
    </w:p>
    <w:p w:rsidR="00A634DA" w:rsidRPr="009123CB" w:rsidRDefault="00A634DA" w:rsidP="008D4EE5">
      <w:pPr>
        <w:rPr>
          <w:lang w:val="de-DE"/>
        </w:rPr>
      </w:pPr>
    </w:p>
    <w:p w:rsidR="008D4EE5" w:rsidRPr="009123CB" w:rsidRDefault="008D4EE5" w:rsidP="00A634DA">
      <w:pPr>
        <w:pStyle w:val="normal1"/>
        <w:rPr>
          <w:lang w:val="de-DE"/>
        </w:rPr>
      </w:pPr>
      <w:r w:rsidRPr="009123CB">
        <w:rPr>
          <w:rFonts w:ascii="Tahoma" w:hAnsi="Tahoma" w:cs="Tahoma"/>
          <w:b/>
          <w:bCs/>
          <w:color w:val="000000"/>
          <w:sz w:val="18"/>
          <w:szCs w:val="18"/>
          <w:lang w:val="de-DE"/>
        </w:rPr>
        <w:t>Open Source-Lizenzbeschränkungen</w:t>
      </w:r>
      <w:r w:rsidR="006257A7">
        <w:rPr>
          <w:rFonts w:ascii="Tahoma" w:hAnsi="Tahoma" w:cs="Tahoma"/>
          <w:b/>
          <w:bCs/>
          <w:color w:val="000000"/>
          <w:sz w:val="18"/>
          <w:szCs w:val="18"/>
          <w:lang w:val="de-DE"/>
        </w:rPr>
        <w:t xml:space="preserve">. </w:t>
      </w:r>
      <w:r w:rsidRPr="009123CB">
        <w:rPr>
          <w:rFonts w:ascii="Tahoma" w:hAnsi="Tahoma" w:cs="Tahoma"/>
          <w:color w:val="000000"/>
          <w:sz w:val="18"/>
          <w:szCs w:val="18"/>
          <w:lang w:val="de-DE"/>
        </w:rPr>
        <w:t>Da manche Lizenzbestimmungen Dritter erfordern, dass Computercode</w:t>
      </w:r>
      <w:r w:rsidR="00A634DA">
        <w:rPr>
          <w:rFonts w:ascii="Tahoma" w:hAnsi="Tahoma" w:cs="Tahoma"/>
          <w:color w:val="000000"/>
          <w:sz w:val="18"/>
          <w:szCs w:val="18"/>
          <w:lang w:val="de-DE"/>
        </w:rPr>
        <w:t> </w:t>
      </w:r>
      <w:r w:rsidRPr="009123CB">
        <w:rPr>
          <w:rFonts w:ascii="Tahoma" w:hAnsi="Tahoma" w:cs="Tahoma"/>
          <w:color w:val="000000"/>
          <w:sz w:val="18"/>
          <w:szCs w:val="18"/>
          <w:lang w:val="de-DE"/>
        </w:rPr>
        <w:t>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 Partei Open Source-Lizenzbestimmungen unterfällt</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Außerdem sichert jede Partei zu, dass sie der anderen Partei keinen Computercode bereitstellt oder überlässt, der Open Source-Lizenzbestimmungen unterliegt</w:t>
      </w:r>
      <w:r w:rsidR="006257A7">
        <w:rPr>
          <w:rFonts w:ascii="Tahoma" w:hAnsi="Tahoma" w:cs="Tahoma"/>
          <w:color w:val="000000"/>
          <w:sz w:val="18"/>
          <w:szCs w:val="18"/>
          <w:lang w:val="de-DE"/>
        </w:rPr>
        <w:t xml:space="preserve">. </w:t>
      </w:r>
    </w:p>
    <w:p w:rsidR="008D4EE5" w:rsidRPr="009123CB" w:rsidRDefault="008D4EE5" w:rsidP="008D4EE5">
      <w:pPr>
        <w:pStyle w:val="normal1"/>
        <w:rPr>
          <w:lang w:val="de-DE"/>
        </w:rPr>
      </w:pPr>
    </w:p>
    <w:p w:rsidR="008D4EE5" w:rsidRPr="009123CB" w:rsidRDefault="008D4EE5" w:rsidP="008D4EE5">
      <w:pPr>
        <w:pStyle w:val="normal1"/>
        <w:rPr>
          <w:lang w:val="de-DE"/>
        </w:rPr>
      </w:pPr>
      <w:r w:rsidRPr="009123CB">
        <w:rPr>
          <w:rFonts w:ascii="Tahoma" w:hAnsi="Tahoma" w:cs="Tahoma"/>
          <w:b/>
          <w:bCs/>
          <w:color w:val="000000"/>
          <w:sz w:val="18"/>
          <w:szCs w:val="18"/>
          <w:lang w:val="de-DE"/>
        </w:rPr>
        <w:t>Rechte von Verbundenen Unternehmen</w:t>
      </w:r>
      <w:r w:rsidR="006257A7">
        <w:rPr>
          <w:rFonts w:ascii="Tahoma" w:hAnsi="Tahoma" w:cs="Tahoma"/>
          <w:b/>
          <w:bCs/>
          <w:color w:val="000000"/>
          <w:sz w:val="18"/>
          <w:szCs w:val="18"/>
          <w:lang w:val="de-DE"/>
        </w:rPr>
        <w:t xml:space="preserve">. </w:t>
      </w:r>
      <w:r w:rsidRPr="009123CB">
        <w:rPr>
          <w:rFonts w:ascii="Tahoma" w:hAnsi="Tahoma" w:cs="Tahoma"/>
          <w:color w:val="000000"/>
          <w:sz w:val="18"/>
          <w:szCs w:val="18"/>
          <w:lang w:val="de-DE"/>
        </w:rPr>
        <w:t>Der Kunde kann seinen Verbundenen Unternehmen Unterlizenzen an den in diesem Absatz enthaltenen Rechten in Bezug auf die Arbeitsergebnisse erteilen; jede Unterlizenzierung dieser Rechte durch die Verbundenen Unternehmen des Kunden ist hingegen unzulässig, und die Nutzung durch die Verbundenen Unternehmen des Kunden muss mit den in diesem Vertrag enthaltenen Lizenzbestimmungen übereinstimmen</w:t>
      </w:r>
      <w:r w:rsidR="006257A7">
        <w:rPr>
          <w:rFonts w:ascii="Tahoma" w:hAnsi="Tahoma" w:cs="Tahoma"/>
          <w:color w:val="000000"/>
          <w:sz w:val="18"/>
          <w:szCs w:val="18"/>
          <w:lang w:val="de-DE"/>
        </w:rPr>
        <w:t xml:space="preserve">. </w:t>
      </w:r>
    </w:p>
    <w:p w:rsidR="008D4EE5" w:rsidRPr="009123CB" w:rsidRDefault="008D4EE5" w:rsidP="008D4EE5">
      <w:pPr>
        <w:rPr>
          <w:lang w:val="de-DE"/>
        </w:rPr>
      </w:pPr>
    </w:p>
    <w:p w:rsidR="008D4EE5" w:rsidRPr="009123CB" w:rsidRDefault="008D4EE5" w:rsidP="008D4EE5">
      <w:pPr>
        <w:rPr>
          <w:lang w:val="de-DE"/>
        </w:rPr>
      </w:pPr>
      <w:r w:rsidRPr="009123CB">
        <w:rPr>
          <w:rFonts w:cs="Tahoma"/>
          <w:b/>
          <w:bCs/>
          <w:color w:val="000000"/>
          <w:szCs w:val="18"/>
          <w:lang w:val="de-DE"/>
        </w:rPr>
        <w:t>Vorbehalt von Rechten</w:t>
      </w:r>
      <w:r w:rsidR="006257A7">
        <w:rPr>
          <w:rFonts w:cs="Tahoma"/>
          <w:b/>
          <w:bCs/>
          <w:color w:val="000000"/>
          <w:szCs w:val="18"/>
          <w:lang w:val="de-DE"/>
        </w:rPr>
        <w:t xml:space="preserve">. </w:t>
      </w:r>
      <w:r w:rsidRPr="009123CB">
        <w:rPr>
          <w:rFonts w:cs="Tahoma"/>
          <w:color w:val="000000"/>
          <w:szCs w:val="18"/>
          <w:lang w:val="de-DE"/>
        </w:rPr>
        <w:t>Alle nicht ausdrücklich gewährten Rechte bleiben vorbehalten</w:t>
      </w:r>
      <w:r w:rsidR="006257A7">
        <w:rPr>
          <w:rFonts w:cs="Tahoma"/>
          <w:color w:val="000000"/>
          <w:szCs w:val="18"/>
          <w:lang w:val="de-DE"/>
        </w:rPr>
        <w:t xml:space="preserve">. </w:t>
      </w:r>
    </w:p>
    <w:p w:rsidR="008D4EE5" w:rsidRPr="009123CB" w:rsidRDefault="008D4EE5" w:rsidP="008D4EE5">
      <w:pPr>
        <w:rPr>
          <w:lang w:val="de-DE"/>
        </w:rPr>
      </w:pPr>
    </w:p>
    <w:p w:rsidR="008D4EE5" w:rsidRPr="009123CB" w:rsidRDefault="008D4EE5" w:rsidP="008D4EE5">
      <w:pPr>
        <w:spacing w:after="60"/>
        <w:rPr>
          <w:lang w:val="de-DE"/>
        </w:rPr>
      </w:pPr>
      <w:r w:rsidRPr="009123CB">
        <w:rPr>
          <w:b/>
          <w:szCs w:val="18"/>
          <w:lang w:val="de-DE"/>
        </w:rPr>
        <w:t>Gewährleistungen, Ausschlüsse und Haftungsbeschränkung</w:t>
      </w:r>
    </w:p>
    <w:p w:rsidR="008D4EE5" w:rsidRPr="009123CB" w:rsidRDefault="008D4EE5" w:rsidP="008D4EE5">
      <w:pPr>
        <w:ind w:left="360"/>
        <w:rPr>
          <w:lang w:val="de-DE"/>
        </w:rPr>
      </w:pPr>
      <w:r w:rsidRPr="009123CB">
        <w:rPr>
          <w:rFonts w:cs="Tahoma"/>
          <w:b/>
          <w:color w:val="000000"/>
          <w:szCs w:val="18"/>
          <w:lang w:val="de-DE"/>
        </w:rPr>
        <w:t>Gewährleistung für Services</w:t>
      </w:r>
      <w:r w:rsidR="006257A7">
        <w:rPr>
          <w:rFonts w:cs="Tahoma"/>
          <w:b/>
          <w:bCs/>
          <w:color w:val="000000"/>
          <w:szCs w:val="18"/>
          <w:lang w:val="de-DE"/>
        </w:rPr>
        <w:t xml:space="preserve">. </w:t>
      </w:r>
      <w:r w:rsidRPr="009123CB">
        <w:rPr>
          <w:rFonts w:cs="Tahoma"/>
          <w:color w:val="000000"/>
          <w:szCs w:val="18"/>
          <w:lang w:val="de-DE"/>
        </w:rPr>
        <w:t>Microsoft gewährleistet, dass alle Services mit professioneller Sorgfalt und Kenntnis erbracht werden</w:t>
      </w:r>
      <w:r w:rsidR="006257A7">
        <w:rPr>
          <w:rFonts w:cs="Tahoma"/>
          <w:color w:val="000000"/>
          <w:szCs w:val="18"/>
          <w:lang w:val="de-DE"/>
        </w:rPr>
        <w:t xml:space="preserve">. </w:t>
      </w:r>
    </w:p>
    <w:p w:rsidR="008D4EE5" w:rsidRPr="009123CB" w:rsidRDefault="008D4EE5" w:rsidP="008D4EE5">
      <w:pPr>
        <w:ind w:left="360"/>
        <w:rPr>
          <w:lang w:val="de-DE"/>
        </w:rPr>
      </w:pPr>
    </w:p>
    <w:p w:rsidR="008D4EE5" w:rsidRPr="009123CB" w:rsidRDefault="008D4EE5" w:rsidP="008D4EE5">
      <w:pPr>
        <w:ind w:left="360"/>
        <w:rPr>
          <w:lang w:val="de-DE"/>
        </w:rPr>
      </w:pPr>
      <w:r w:rsidRPr="009123CB">
        <w:rPr>
          <w:b/>
          <w:szCs w:val="18"/>
          <w:lang w:val="de-DE"/>
        </w:rPr>
        <w:t>KEINE ANDEREN GARANTIEN</w:t>
      </w:r>
      <w:r w:rsidR="006257A7">
        <w:rPr>
          <w:b/>
          <w:iCs/>
          <w:szCs w:val="18"/>
          <w:lang w:val="de-DE"/>
        </w:rPr>
        <w:t xml:space="preserve">. </w:t>
      </w:r>
      <w:r w:rsidRPr="009123CB">
        <w:rPr>
          <w:szCs w:val="18"/>
          <w:lang w:val="de-DE"/>
        </w:rPr>
        <w:t>IM DURCH DAS ANWENDBARE GESETZ ZUGELASSENEN UMFANG SCHLIESS MICROSOFT ALLE ZUSICHERUNGEN, GARANTIEN UND GEWÄHRLEISTUNGEN, OB AUSDRÜCKLICHE, KONKLUDENTE ODER GESETZLICHE, MIT AUSNAHME DER IN DIESEM VERTRAG AUSDRÜCKLICH GENANNTEN AUS</w:t>
      </w:r>
      <w:r w:rsidR="006257A7">
        <w:rPr>
          <w:szCs w:val="18"/>
          <w:lang w:val="de-DE"/>
        </w:rPr>
        <w:t xml:space="preserve">. </w:t>
      </w:r>
      <w:r w:rsidRPr="009123CB">
        <w:rPr>
          <w:szCs w:val="18"/>
          <w:lang w:val="de-DE"/>
        </w:rP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w:t>
      </w:r>
      <w:r w:rsidR="006257A7">
        <w:rPr>
          <w:szCs w:val="18"/>
          <w:lang w:val="de-DE"/>
        </w:rPr>
        <w:t xml:space="preserve">. </w:t>
      </w:r>
    </w:p>
    <w:p w:rsidR="008D4EE5" w:rsidRPr="009123CB" w:rsidRDefault="008D4EE5" w:rsidP="008D4EE5">
      <w:pPr>
        <w:ind w:left="360"/>
        <w:rPr>
          <w:lang w:val="de-DE"/>
        </w:rPr>
      </w:pPr>
    </w:p>
    <w:p w:rsidR="008D4EE5" w:rsidRPr="009123CB" w:rsidRDefault="008D4EE5" w:rsidP="008D4EE5">
      <w:pPr>
        <w:ind w:left="360"/>
        <w:rPr>
          <w:lang w:val="de-DE"/>
        </w:rPr>
      </w:pPr>
      <w:r w:rsidRPr="009123CB">
        <w:rPr>
          <w:b/>
          <w:szCs w:val="18"/>
          <w:lang w:val="de-DE"/>
        </w:rPr>
        <w:t>Haftungsbeschränkung</w:t>
      </w:r>
      <w:r w:rsidR="006257A7">
        <w:rPr>
          <w:b/>
          <w:bCs/>
          <w:szCs w:val="18"/>
          <w:lang w:val="de-DE"/>
        </w:rPr>
        <w:t xml:space="preserve">. </w:t>
      </w:r>
      <w:r w:rsidRPr="009123CB">
        <w:rPr>
          <w:szCs w:val="18"/>
          <w:lang w:val="de-DE"/>
        </w:rPr>
        <w:t>Die Haftung von Microsoft für direkte Schäden ist im größtmöglichen durch das anwendbare Recht zugelassenen Umfang auf die Beträge begrenzt, die der Kunde in den 12 Monaten vor dem Anspruch für die Services, die Grund für den Anspruch sind, gezahlt hat</w:t>
      </w:r>
      <w:r w:rsidR="006257A7">
        <w:rPr>
          <w:szCs w:val="18"/>
          <w:lang w:val="de-DE"/>
        </w:rPr>
        <w:t xml:space="preserve">. </w:t>
      </w:r>
    </w:p>
    <w:p w:rsidR="008D4EE5" w:rsidRPr="009123CB" w:rsidRDefault="008D4EE5" w:rsidP="008D4EE5">
      <w:pPr>
        <w:ind w:left="360"/>
        <w:rPr>
          <w:lang w:val="de-DE"/>
        </w:rPr>
      </w:pPr>
    </w:p>
    <w:p w:rsidR="008D4EE5" w:rsidRPr="009123CB" w:rsidRDefault="008D4EE5" w:rsidP="00A634DA">
      <w:pPr>
        <w:ind w:left="360"/>
        <w:rPr>
          <w:lang w:val="de-DE"/>
        </w:rPr>
      </w:pPr>
      <w:r w:rsidRPr="009123CB">
        <w:rPr>
          <w:b/>
          <w:szCs w:val="18"/>
          <w:lang w:val="de-DE"/>
        </w:rPr>
        <w:t>KEINE HAFTUNG FÜR BESTIMMTE SCHADENERSATZANSPRÜCHE</w:t>
      </w:r>
      <w:r w:rsidR="006257A7">
        <w:rPr>
          <w:b/>
          <w:bCs/>
          <w:szCs w:val="18"/>
          <w:lang w:val="de-DE"/>
        </w:rPr>
        <w:t xml:space="preserve">. </w:t>
      </w:r>
      <w:r w:rsidRPr="009123CB">
        <w:rPr>
          <w:szCs w:val="18"/>
          <w:lang w:val="de-DE"/>
        </w:rPr>
        <w:t>IM GRÖSSTMÖGLICHEN DURCH DAS</w:t>
      </w:r>
      <w:r w:rsidR="00A634DA">
        <w:rPr>
          <w:szCs w:val="18"/>
          <w:lang w:val="de-DE"/>
        </w:rPr>
        <w:t> </w:t>
      </w:r>
      <w:r w:rsidRPr="009123CB">
        <w:rPr>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6257A7">
        <w:rPr>
          <w:szCs w:val="18"/>
          <w:lang w:val="de-DE"/>
        </w:rPr>
        <w:t xml:space="preserve">. </w:t>
      </w:r>
      <w:r w:rsidRPr="009123CB">
        <w:rPr>
          <w:szCs w:val="18"/>
          <w:lang w:val="de-DE"/>
        </w:rPr>
        <w:t>DIESER HAFTUNGSAUSSCHLUSS GILT NICHT FÜR DIE GEGENSEITIGE HAFTUNG BEIDER PARTEIEN FÜR VERLETZUNGEN VON VERTRAULICHKEITSVERPFLICHTUNGEN ODER VON URHEBERRECHTEN/GEWERBLICHEN SCHUTZRECHTEN DER JEWEILS ANDEREN PARTEI</w:t>
      </w:r>
      <w:r w:rsidR="006257A7">
        <w:rPr>
          <w:szCs w:val="18"/>
          <w:lang w:val="de-DE"/>
        </w:rPr>
        <w:t xml:space="preserve">. </w:t>
      </w:r>
    </w:p>
    <w:p w:rsidR="008D4EE5" w:rsidRPr="009123CB" w:rsidRDefault="008D4EE5" w:rsidP="008D4EE5">
      <w:pPr>
        <w:ind w:left="360" w:hanging="360"/>
        <w:jc w:val="both"/>
        <w:rPr>
          <w:lang w:val="de-DE"/>
        </w:rPr>
      </w:pPr>
    </w:p>
    <w:p w:rsidR="008D4EE5" w:rsidRPr="009123CB" w:rsidRDefault="008D4EE5" w:rsidP="00A634DA">
      <w:pPr>
        <w:ind w:left="360"/>
        <w:rPr>
          <w:lang w:val="de-DE"/>
        </w:rPr>
      </w:pPr>
      <w:r w:rsidRPr="009123CB">
        <w:rPr>
          <w:b/>
          <w:szCs w:val="18"/>
          <w:lang w:val="de-DE"/>
        </w:rPr>
        <w:t>Anwendung</w:t>
      </w:r>
      <w:r w:rsidR="006257A7">
        <w:rPr>
          <w:szCs w:val="18"/>
          <w:lang w:val="de-DE"/>
        </w:rPr>
        <w:t xml:space="preserve">. </w:t>
      </w:r>
      <w:r w:rsidRPr="009123CB">
        <w:rPr>
          <w:szCs w:val="18"/>
          <w:lang w:val="de-DE"/>
        </w:rPr>
        <w:t>Außer wie ausdrücklich in diesem Dokument dargelegt, gelten die in diesem Vertrag genannten</w:t>
      </w:r>
      <w:r w:rsidR="00A634DA">
        <w:rPr>
          <w:szCs w:val="18"/>
          <w:lang w:val="de-DE"/>
        </w:rPr>
        <w:t> </w:t>
      </w:r>
      <w:r w:rsidRPr="009123CB">
        <w:rPr>
          <w:szCs w:val="18"/>
          <w:lang w:val="de-DE"/>
        </w:rPr>
        <w:t>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r w:rsidR="006257A7">
        <w:rPr>
          <w:szCs w:val="18"/>
          <w:lang w:val="de-DE"/>
        </w:rPr>
        <w:t xml:space="preserve">. </w:t>
      </w:r>
    </w:p>
    <w:p w:rsidR="008D4EE5" w:rsidRPr="009123CB" w:rsidRDefault="008D4EE5" w:rsidP="008D4EE5">
      <w:pPr>
        <w:tabs>
          <w:tab w:val="left" w:pos="2936"/>
        </w:tabs>
        <w:rPr>
          <w:lang w:val="de-DE"/>
        </w:rPr>
      </w:pPr>
    </w:p>
    <w:p w:rsidR="00C7319A" w:rsidRPr="009123CB" w:rsidRDefault="008D4EE5" w:rsidP="00A634DA">
      <w:pPr>
        <w:pStyle w:val="Heading1"/>
        <w:spacing w:before="0"/>
        <w:rPr>
          <w:lang w:val="de-DE"/>
        </w:rPr>
      </w:pPr>
      <w:r w:rsidRPr="009123CB">
        <w:rPr>
          <w:lang w:val="de-DE"/>
        </w:rPr>
        <w:br w:type="page"/>
      </w:r>
      <w:bookmarkStart w:id="929" w:name="_Toc363998987"/>
      <w:r w:rsidR="00C7319A" w:rsidRPr="009123CB">
        <w:rPr>
          <w:lang w:val="de-DE"/>
        </w:rPr>
        <w:t>ABSCHNITT 9 – Zusätzliche Bestimmungen</w:t>
      </w:r>
      <w:bookmarkEnd w:id="929"/>
    </w:p>
    <w:p w:rsidR="00C7319A" w:rsidRPr="009123CB" w:rsidRDefault="00C7319A" w:rsidP="00C7319A">
      <w:pPr>
        <w:pStyle w:val="Heading1"/>
        <w:rPr>
          <w:lang w:val="de-DE"/>
        </w:rPr>
      </w:pPr>
    </w:p>
    <w:p w:rsidR="00C7319A" w:rsidRPr="009123CB" w:rsidRDefault="00C7319A" w:rsidP="00A634DA">
      <w:pPr>
        <w:pStyle w:val="Heading3"/>
        <w:ind w:right="720"/>
        <w:rPr>
          <w:lang w:val="de-DE"/>
        </w:rPr>
      </w:pPr>
      <w:bookmarkStart w:id="930" w:name="_Toc323159781"/>
      <w:bookmarkStart w:id="931" w:name="_Toc336338250"/>
      <w:bookmarkStart w:id="932" w:name="_Toc363998988"/>
      <w:r w:rsidRPr="009123CB">
        <w:rPr>
          <w:rFonts w:ascii="Tahoma" w:eastAsia="Times New Roman" w:hAnsi="Tahoma" w:cs="Tahoma"/>
          <w:color w:val="000000"/>
          <w:sz w:val="24"/>
          <w:szCs w:val="22"/>
          <w:lang w:val="de-DE"/>
        </w:rPr>
        <w:t>Client-Zugriffslizenzen (Client Access Licenses, CALs) und Client-Management-Lizenzen (MLs)</w:t>
      </w:r>
      <w:bookmarkEnd w:id="930"/>
      <w:bookmarkEnd w:id="931"/>
      <w:bookmarkEnd w:id="932"/>
    </w:p>
    <w:p w:rsidR="00C7319A" w:rsidRPr="009123CB" w:rsidRDefault="00C7319A" w:rsidP="00C7319A">
      <w:pPr>
        <w:pStyle w:val="AppendixFlushBulletedList"/>
        <w:tabs>
          <w:tab w:val="clear" w:pos="360"/>
        </w:tabs>
        <w:ind w:left="720" w:right="720" w:firstLine="0"/>
        <w:rPr>
          <w:lang w:val="de-DE"/>
        </w:rPr>
      </w:pPr>
    </w:p>
    <w:p w:rsidR="00C7319A" w:rsidRPr="009123CB" w:rsidRDefault="00C7319A" w:rsidP="00C7319A">
      <w:pPr>
        <w:pStyle w:val="AppendixFlushBulletedList"/>
        <w:numPr>
          <w:ilvl w:val="0"/>
          <w:numId w:val="79"/>
        </w:numPr>
        <w:ind w:left="1440" w:right="720"/>
        <w:rPr>
          <w:lang w:val="de-DE"/>
        </w:rPr>
      </w:pPr>
      <w:r w:rsidRPr="009123CB">
        <w:rPr>
          <w:rFonts w:ascii="Tahoma" w:hAnsi="Tahoma" w:cs="Tahoma"/>
          <w:b/>
          <w:bCs/>
          <w:color w:val="000000"/>
          <w:sz w:val="18"/>
          <w:szCs w:val="18"/>
          <w:lang w:val="de-DE"/>
        </w:rPr>
        <w:t>Wechsel zwischen Nutzer- und Geräte-CALs</w:t>
      </w:r>
    </w:p>
    <w:p w:rsidR="00C7319A" w:rsidRPr="009123CB" w:rsidRDefault="00C7319A" w:rsidP="00C7319A">
      <w:pPr>
        <w:pStyle w:val="AppendixBodyText"/>
        <w:numPr>
          <w:ilvl w:val="0"/>
          <w:numId w:val="80"/>
        </w:numPr>
        <w:spacing w:afterLines="60" w:after="144"/>
        <w:ind w:left="1800" w:right="720"/>
        <w:rPr>
          <w:lang w:val="de-DE"/>
        </w:rPr>
      </w:pPr>
      <w:r w:rsidRPr="009123CB">
        <w:rPr>
          <w:rFonts w:ascii="Tahoma" w:hAnsi="Tahoma" w:cs="Tahoma"/>
          <w:color w:val="000000"/>
          <w:sz w:val="18"/>
          <w:szCs w:val="18"/>
          <w:lang w:val="de-DE"/>
        </w:rPr>
        <w:t>Kunden mit aktueller Software Assurance für CALs können bei Verlängerung von Software Assurance zwischen Nutzer und Gerät wechseln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Durch diesen Wechsel ändert sich die CAL-Edition (also Standard zu Enterprise) nicht</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 xml:space="preserve">Weitere Informationen finden Sie in den Produkthinweisen für die jeweiligen Produkte </w:t>
      </w:r>
    </w:p>
    <w:p w:rsidR="00C7319A" w:rsidRPr="009123CB" w:rsidRDefault="00C7319A" w:rsidP="00C7319A">
      <w:pPr>
        <w:pStyle w:val="AppendixFlushBulletedList"/>
        <w:numPr>
          <w:ilvl w:val="0"/>
          <w:numId w:val="79"/>
        </w:numPr>
        <w:ind w:left="1440" w:right="720"/>
        <w:rPr>
          <w:lang w:val="de-DE"/>
        </w:rPr>
      </w:pPr>
      <w:r w:rsidRPr="009123CB">
        <w:rPr>
          <w:rFonts w:ascii="Tahoma" w:hAnsi="Tahoma" w:cs="Tahoma"/>
          <w:b/>
          <w:bCs/>
          <w:color w:val="000000"/>
          <w:sz w:val="18"/>
          <w:szCs w:val="18"/>
          <w:lang w:val="de-DE"/>
        </w:rPr>
        <w:t>Wechsel zwischen Nutzer- und OSE-Client-MLs</w:t>
      </w:r>
    </w:p>
    <w:p w:rsidR="00C7319A" w:rsidRPr="009123CB" w:rsidRDefault="00C7319A" w:rsidP="00C7319A">
      <w:pPr>
        <w:pStyle w:val="AppendixBodyText"/>
        <w:numPr>
          <w:ilvl w:val="0"/>
          <w:numId w:val="80"/>
        </w:numPr>
        <w:spacing w:afterLines="60" w:after="144"/>
        <w:ind w:left="1800" w:right="720"/>
        <w:rPr>
          <w:lang w:val="de-DE"/>
        </w:rPr>
      </w:pPr>
      <w:r w:rsidRPr="009123CB">
        <w:rPr>
          <w:rFonts w:ascii="Tahoma" w:hAnsi="Tahoma" w:cs="Tahoma"/>
          <w:color w:val="000000"/>
          <w:sz w:val="18"/>
          <w:szCs w:val="18"/>
          <w:lang w:val="de-DE"/>
        </w:rPr>
        <w:t>Kunden mit aktueller Software Assurance für Client-MLs können bei Verlängerung von Software Assurance zwischen Nutzer und OSE wechseln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Weitere Einzelheiten finden Sie in den Produkthinweisen für die jeweiligen Produkte</w:t>
      </w:r>
      <w:r w:rsidR="006257A7">
        <w:rPr>
          <w:rFonts w:ascii="Tahoma" w:hAnsi="Tahoma" w:cs="Tahoma"/>
          <w:color w:val="000000"/>
          <w:sz w:val="18"/>
          <w:szCs w:val="18"/>
          <w:lang w:val="de-DE"/>
        </w:rPr>
        <w:t xml:space="preserve">. </w:t>
      </w:r>
    </w:p>
    <w:p w:rsidR="00C7319A" w:rsidRPr="0062435A" w:rsidRDefault="00C7319A" w:rsidP="00C7319A">
      <w:pPr>
        <w:pStyle w:val="AppendixFlushBulletedList"/>
        <w:numPr>
          <w:ilvl w:val="0"/>
          <w:numId w:val="79"/>
        </w:numPr>
        <w:ind w:left="1440" w:right="720"/>
      </w:pPr>
      <w:r>
        <w:rPr>
          <w:rFonts w:ascii="Tahoma" w:hAnsi="Tahoma" w:cs="Tahoma"/>
          <w:b/>
          <w:bCs/>
          <w:color w:val="000000"/>
          <w:sz w:val="18"/>
          <w:szCs w:val="18"/>
        </w:rPr>
        <w:t>Bei Verlängerung</w:t>
      </w:r>
    </w:p>
    <w:p w:rsidR="00C7319A" w:rsidRPr="009123CB" w:rsidRDefault="00C7319A" w:rsidP="00C7319A">
      <w:pPr>
        <w:pStyle w:val="AppendixBodyText"/>
        <w:numPr>
          <w:ilvl w:val="0"/>
          <w:numId w:val="80"/>
        </w:numPr>
        <w:spacing w:afterLines="60" w:after="144"/>
        <w:ind w:left="1800" w:right="720"/>
        <w:rPr>
          <w:lang w:val="de-DE"/>
        </w:rPr>
      </w:pPr>
      <w:r w:rsidRPr="009123CB">
        <w:rPr>
          <w:rFonts w:ascii="Tahoma" w:hAnsi="Tahoma" w:cs="Tahoma"/>
          <w:color w:val="000000"/>
          <w:sz w:val="18"/>
          <w:szCs w:val="18"/>
          <w:lang w:val="de-DE"/>
        </w:rPr>
        <w:t>Wenn sowohl Nutzer- als auch Geräte-CALs verfügbar sind, können Kunden Software Assurance für einen der CAL-Typen verlängern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Die Produktbenutzungsrechte für den CAL-Typ, für den Software Assurance bestellt wird, bestimmen, wie die CALs zugewiesen und genutzt werden können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Konzernbeitrittskunden, die sich für die Bestellung von Software Assurance für Nutzer-CALs entscheiden, sind berechtigt, CALs basierend auf ihrer Anzahl der Nutzer zu erwerben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Weitere Informationen finden Sie in den Hinweisen für die jeweiligen Produkte</w:t>
      </w:r>
      <w:r w:rsidR="006257A7">
        <w:rPr>
          <w:rFonts w:ascii="Tahoma" w:hAnsi="Tahoma" w:cs="Tahoma"/>
          <w:color w:val="000000"/>
          <w:sz w:val="18"/>
          <w:szCs w:val="18"/>
          <w:lang w:val="de-DE"/>
        </w:rPr>
        <w:t xml:space="preserve">. </w:t>
      </w:r>
    </w:p>
    <w:p w:rsidR="00C7319A" w:rsidRPr="0062435A" w:rsidRDefault="00C7319A" w:rsidP="00C7319A">
      <w:pPr>
        <w:pStyle w:val="AppendixFlushBulletedList"/>
        <w:numPr>
          <w:ilvl w:val="0"/>
          <w:numId w:val="79"/>
        </w:numPr>
        <w:ind w:left="1440" w:right="720"/>
      </w:pPr>
      <w:r>
        <w:rPr>
          <w:rFonts w:ascii="Tahoma" w:hAnsi="Tahoma" w:cs="Tahoma"/>
          <w:b/>
          <w:bCs/>
          <w:color w:val="000000"/>
          <w:sz w:val="18"/>
          <w:szCs w:val="18"/>
        </w:rPr>
        <w:t>Überschüssige CALs</w:t>
      </w:r>
    </w:p>
    <w:p w:rsidR="00C7319A" w:rsidRPr="009123CB" w:rsidRDefault="00C7319A" w:rsidP="00A634DA">
      <w:pPr>
        <w:pStyle w:val="AppendixBodyText"/>
        <w:numPr>
          <w:ilvl w:val="0"/>
          <w:numId w:val="80"/>
        </w:numPr>
        <w:spacing w:afterLines="60" w:after="144"/>
        <w:ind w:left="1800" w:right="720"/>
        <w:rPr>
          <w:lang w:val="de-DE"/>
        </w:rPr>
      </w:pPr>
      <w:r w:rsidRPr="009123CB">
        <w:rPr>
          <w:rFonts w:ascii="Tahoma" w:hAnsi="Tahoma" w:cs="Tahoma"/>
          <w:color w:val="000000"/>
          <w:sz w:val="18"/>
          <w:szCs w:val="18"/>
          <w:lang w:val="de-DE"/>
        </w:rPr>
        <w:t>Der wie oben beschrieben zulässige Wechsel zwischen Nutzer- und Geräte-CALs kann</w:t>
      </w:r>
      <w:r w:rsidR="00A634DA">
        <w:rPr>
          <w:rFonts w:ascii="Tahoma" w:hAnsi="Tahoma" w:cs="Tahoma"/>
          <w:color w:val="000000"/>
          <w:sz w:val="18"/>
          <w:szCs w:val="18"/>
          <w:lang w:val="de-DE"/>
        </w:rPr>
        <w:t> </w:t>
      </w:r>
      <w:r w:rsidRPr="009123CB">
        <w:rPr>
          <w:rFonts w:ascii="Tahoma" w:hAnsi="Tahoma" w:cs="Tahoma"/>
          <w:color w:val="000000"/>
          <w:sz w:val="18"/>
          <w:szCs w:val="18"/>
          <w:lang w:val="de-DE"/>
        </w:rPr>
        <w:t>zu überschüssigen CALs führen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Kunden können überschüssige CALs mit zunehmender Anzahl von Nutzern oder Geräten neu zuweisen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Zum Verlängerungszeitpunkt können Kunden sich dafür entscheiden, Software Assurance für überschüssige CALs beizubehalten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Kunden können Software Assurance für überschüssige CALs, deren Software Assurance abgelaufen ist, nicht zu einem späteren Zeitpunkt verlängern</w:t>
      </w:r>
      <w:r w:rsidR="006257A7">
        <w:rPr>
          <w:rFonts w:ascii="Tahoma" w:hAnsi="Tahoma" w:cs="Tahoma"/>
          <w:color w:val="000000"/>
          <w:sz w:val="18"/>
          <w:szCs w:val="18"/>
          <w:lang w:val="de-DE"/>
        </w:rPr>
        <w:t xml:space="preserve">. </w:t>
      </w:r>
    </w:p>
    <w:p w:rsidR="00C7319A" w:rsidRPr="0062435A" w:rsidRDefault="00C7319A" w:rsidP="00C7319A">
      <w:pPr>
        <w:pStyle w:val="AppendixFlushBulletedList"/>
        <w:numPr>
          <w:ilvl w:val="0"/>
          <w:numId w:val="79"/>
        </w:numPr>
        <w:ind w:left="1440" w:right="720"/>
      </w:pPr>
      <w:r>
        <w:rPr>
          <w:rFonts w:ascii="Tahoma" w:hAnsi="Tahoma" w:cs="Tahoma"/>
          <w:b/>
          <w:bCs/>
          <w:color w:val="000000"/>
          <w:sz w:val="18"/>
          <w:szCs w:val="18"/>
        </w:rPr>
        <w:t>Überschüssige MLs</w:t>
      </w:r>
    </w:p>
    <w:p w:rsidR="00C7319A" w:rsidRPr="009123CB" w:rsidRDefault="00C7319A" w:rsidP="00A634DA">
      <w:pPr>
        <w:pStyle w:val="AppendixBodyText"/>
        <w:numPr>
          <w:ilvl w:val="0"/>
          <w:numId w:val="80"/>
        </w:numPr>
        <w:spacing w:afterLines="60" w:after="144"/>
        <w:ind w:left="1800" w:right="720"/>
        <w:rPr>
          <w:lang w:val="de-DE"/>
        </w:rPr>
      </w:pPr>
      <w:r w:rsidRPr="009123CB">
        <w:rPr>
          <w:rFonts w:ascii="Tahoma" w:hAnsi="Tahoma" w:cs="Tahoma"/>
          <w:color w:val="000000"/>
          <w:sz w:val="18"/>
          <w:szCs w:val="18"/>
          <w:lang w:val="de-DE"/>
        </w:rPr>
        <w:t>Der wie oben beschrieben zulässige Wechsel zwischen Nutzer- und OSE-Client-MLs</w:t>
      </w:r>
      <w:r w:rsidR="00A634DA">
        <w:rPr>
          <w:rFonts w:ascii="Tahoma" w:hAnsi="Tahoma" w:cs="Tahoma"/>
          <w:color w:val="000000"/>
          <w:sz w:val="18"/>
          <w:szCs w:val="18"/>
          <w:lang w:val="de-DE"/>
        </w:rPr>
        <w:t> </w:t>
      </w:r>
      <w:r w:rsidRPr="009123CB">
        <w:rPr>
          <w:rFonts w:ascii="Tahoma" w:hAnsi="Tahoma" w:cs="Tahoma"/>
          <w:color w:val="000000"/>
          <w:sz w:val="18"/>
          <w:szCs w:val="18"/>
          <w:lang w:val="de-DE"/>
        </w:rPr>
        <w:t>kann zu überschüssigen MLs führen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Kunden können überschüssige MLs mit zunehmender Anzahl von Nutzern oder verwalteten OSEs neu zuweisen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Zum Verlängerungszeitpunkt können Kunden sich dafür entscheiden, Software Assurance für überschüssige MLs beizubehalten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Kunden können Software Assurance für überschüssige MLs, deren Software Assurance abgelaufen ist, nicht zu einem späteren Zeitpunkt verlängern</w:t>
      </w:r>
      <w:r w:rsidR="006257A7">
        <w:rPr>
          <w:rFonts w:ascii="Tahoma" w:hAnsi="Tahoma" w:cs="Tahoma"/>
          <w:color w:val="000000"/>
          <w:sz w:val="18"/>
          <w:szCs w:val="18"/>
          <w:lang w:val="de-DE"/>
        </w:rPr>
        <w:t xml:space="preserve">. </w:t>
      </w:r>
    </w:p>
    <w:p w:rsidR="00C7319A" w:rsidRPr="0062435A" w:rsidRDefault="00C7319A" w:rsidP="00C7319A">
      <w:pPr>
        <w:pStyle w:val="AppendixFlushBulletedList"/>
        <w:numPr>
          <w:ilvl w:val="0"/>
          <w:numId w:val="79"/>
        </w:numPr>
        <w:ind w:left="1440" w:right="720"/>
      </w:pPr>
      <w:r>
        <w:rPr>
          <w:rFonts w:ascii="Tahoma" w:hAnsi="Tahoma" w:cs="Tahoma"/>
          <w:b/>
          <w:bCs/>
          <w:color w:val="000000"/>
          <w:sz w:val="18"/>
          <w:szCs w:val="18"/>
        </w:rPr>
        <w:t>Nachweis für Lizenzen</w:t>
      </w:r>
    </w:p>
    <w:p w:rsidR="00C7319A" w:rsidRPr="009123CB" w:rsidRDefault="00C7319A" w:rsidP="00A634DA">
      <w:pPr>
        <w:pStyle w:val="AppendixBodyText"/>
        <w:numPr>
          <w:ilvl w:val="0"/>
          <w:numId w:val="80"/>
        </w:numPr>
        <w:spacing w:after="0"/>
        <w:ind w:left="1800" w:right="720"/>
        <w:rPr>
          <w:lang w:val="de-DE"/>
        </w:rPr>
      </w:pPr>
      <w:r w:rsidRPr="009123CB">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Das Recht, zu Nutzer-MLs zu migrieren und diese zu nutzen, wird durch diese Produktliste, die Software Assurance-Unterlagen des Kunden und die</w:t>
      </w:r>
      <w:r w:rsidR="00A634DA">
        <w:rPr>
          <w:rFonts w:ascii="Tahoma" w:hAnsi="Tahoma" w:cs="Tahoma"/>
          <w:color w:val="000000"/>
          <w:sz w:val="18"/>
          <w:szCs w:val="18"/>
          <w:lang w:val="de-DE"/>
        </w:rPr>
        <w:t> </w:t>
      </w:r>
      <w:r w:rsidRPr="009123CB">
        <w:rPr>
          <w:rFonts w:ascii="Tahoma" w:hAnsi="Tahoma" w:cs="Tahoma"/>
          <w:color w:val="000000"/>
          <w:sz w:val="18"/>
          <w:szCs w:val="18"/>
          <w:lang w:val="de-DE"/>
        </w:rPr>
        <w:t>zugrunde liegenden MLs belegt</w:t>
      </w:r>
      <w:r w:rsidR="006257A7">
        <w:rPr>
          <w:rFonts w:ascii="Tahoma" w:hAnsi="Tahoma" w:cs="Tahoma"/>
          <w:color w:val="000000"/>
          <w:sz w:val="18"/>
          <w:szCs w:val="18"/>
          <w:lang w:val="de-DE"/>
        </w:rPr>
        <w:t xml:space="preserve">. </w:t>
      </w:r>
    </w:p>
    <w:p w:rsidR="00C7319A" w:rsidRPr="009123CB" w:rsidRDefault="00C7319A" w:rsidP="00C7319A">
      <w:pPr>
        <w:pStyle w:val="AppendixBodyText"/>
        <w:spacing w:after="0"/>
        <w:ind w:right="720"/>
        <w:rPr>
          <w:lang w:val="de-DE"/>
        </w:rPr>
      </w:pPr>
    </w:p>
    <w:p w:rsidR="00C7319A" w:rsidRPr="009123CB" w:rsidRDefault="00C7319A" w:rsidP="00C7319A">
      <w:pPr>
        <w:pStyle w:val="Heading3"/>
        <w:ind w:right="720"/>
        <w:rPr>
          <w:lang w:val="de-DE"/>
        </w:rPr>
      </w:pPr>
      <w:bookmarkStart w:id="933" w:name="_Toc323159782"/>
      <w:bookmarkStart w:id="934" w:name="_Toc336338251"/>
      <w:bookmarkStart w:id="935" w:name="_Toc363998989"/>
      <w:r w:rsidRPr="009123CB">
        <w:rPr>
          <w:rFonts w:ascii="Tahoma" w:hAnsi="Tahoma" w:cs="Tahoma"/>
          <w:sz w:val="24"/>
          <w:szCs w:val="22"/>
          <w:lang w:val="de-DE"/>
        </w:rPr>
        <w:t>Beschränkungen durch „EI Controls“</w:t>
      </w:r>
      <w:bookmarkEnd w:id="933"/>
      <w:bookmarkEnd w:id="934"/>
      <w:bookmarkEnd w:id="935"/>
    </w:p>
    <w:p w:rsidR="00C7319A" w:rsidRPr="009123CB" w:rsidRDefault="00C7319A" w:rsidP="00C7319A">
      <w:pPr>
        <w:ind w:right="720"/>
        <w:rPr>
          <w:lang w:val="de-DE"/>
        </w:rPr>
      </w:pPr>
    </w:p>
    <w:p w:rsidR="00C7319A" w:rsidRPr="009123CB" w:rsidRDefault="00C7319A" w:rsidP="006450C8">
      <w:pPr>
        <w:pStyle w:val="AppendixBodyText"/>
        <w:ind w:right="720"/>
        <w:rPr>
          <w:lang w:val="de-DE"/>
        </w:rPr>
      </w:pPr>
      <w:r w:rsidRPr="009123CB">
        <w:rPr>
          <w:rFonts w:ascii="Tahoma" w:hAnsi="Tahoma" w:cs="Tahoma"/>
          <w:sz w:val="18"/>
          <w:lang w:val="de-DE"/>
        </w:rPr>
        <w:t>Die Ausfuhr bestimmter Microsoft-Produkte aus den Vereinigten Staaten wird durch den Abschnitt „EI</w:t>
      </w:r>
      <w:r w:rsidR="00A634DA">
        <w:rPr>
          <w:rFonts w:ascii="Tahoma" w:hAnsi="Tahoma" w:cs="Tahoma"/>
          <w:sz w:val="18"/>
          <w:lang w:val="de-DE"/>
        </w:rPr>
        <w:t> </w:t>
      </w:r>
      <w:r w:rsidRPr="009123CB">
        <w:rPr>
          <w:rFonts w:ascii="Tahoma" w:hAnsi="Tahoma" w:cs="Tahoma"/>
          <w:sz w:val="18"/>
          <w:lang w:val="de-DE"/>
        </w:rPr>
        <w:t>Controls“ der Export Administration Regulations (EAR, 15 CFR 730-744) des US-Handelsministeriums, Bureau of Export Administration (BXA), geregelt</w:t>
      </w:r>
      <w:r w:rsidR="006257A7">
        <w:rPr>
          <w:rFonts w:ascii="Tahoma" w:hAnsi="Tahoma" w:cs="Tahoma"/>
          <w:sz w:val="18"/>
          <w:lang w:val="de-DE"/>
        </w:rPr>
        <w:t xml:space="preserve">. </w:t>
      </w:r>
      <w:r w:rsidRPr="009123CB">
        <w:rPr>
          <w:rFonts w:ascii="Tahoma" w:hAnsi="Tahoma" w:cs="Tahoma"/>
          <w:sz w:val="18"/>
          <w:lang w:val="de-DE"/>
        </w:rPr>
        <w:t xml:space="preserve">Weitere Informationen erhalten Sie unter: </w:t>
      </w:r>
      <w:hyperlink r:id="rId32" w:history="1">
        <w:r w:rsidR="006450C8" w:rsidRPr="006C7619">
          <w:rPr>
            <w:rStyle w:val="Hyperlink"/>
            <w:rFonts w:ascii="Tahoma" w:hAnsi="Tahoma" w:cs="Tahoma"/>
            <w:sz w:val="18"/>
            <w:lang w:val="de-DE"/>
          </w:rPr>
          <w:t>www.microsoft.com/products/exporting/basics.htm</w:t>
        </w:r>
      </w:hyperlink>
    </w:p>
    <w:p w:rsidR="00C7319A" w:rsidRPr="009123CB" w:rsidRDefault="00C7319A" w:rsidP="00C7319A">
      <w:pPr>
        <w:pStyle w:val="Heading3"/>
        <w:spacing w:after="60"/>
        <w:ind w:right="720"/>
        <w:rPr>
          <w:lang w:val="de-DE"/>
        </w:rPr>
      </w:pPr>
      <w:bookmarkStart w:id="936" w:name="_Toc323159783"/>
      <w:bookmarkStart w:id="937" w:name="_Toc336338252"/>
      <w:bookmarkStart w:id="938" w:name="_Toc363998990"/>
      <w:r w:rsidRPr="009123CB">
        <w:rPr>
          <w:rFonts w:ascii="Tahoma" w:hAnsi="Tahoma" w:cs="Tahoma"/>
          <w:bCs/>
          <w:lang w:val="de-DE"/>
        </w:rPr>
        <w:t>Multi Language Packs (MLPs), mehrsprachige Benutzeroberflächen (Multilanguage User Interface, MUIs) und neue Sprachrechte</w:t>
      </w:r>
      <w:bookmarkEnd w:id="936"/>
      <w:bookmarkEnd w:id="937"/>
      <w:bookmarkEnd w:id="938"/>
    </w:p>
    <w:p w:rsidR="00C7319A" w:rsidRPr="009123CB" w:rsidRDefault="00C7319A" w:rsidP="00A634DA">
      <w:pPr>
        <w:rPr>
          <w:lang w:val="de-DE"/>
        </w:rPr>
      </w:pPr>
      <w:r w:rsidRPr="009123CB">
        <w:rPr>
          <w:lang w:val="de-DE"/>
        </w:rPr>
        <w:t>Durch MLPs und MUIs können Kunden verschiedene Sprachversionen von lizenzierten Produkten ausführen und</w:t>
      </w:r>
      <w:r w:rsidR="00A634DA">
        <w:rPr>
          <w:lang w:val="de-DE"/>
        </w:rPr>
        <w:t> </w:t>
      </w:r>
      <w:r w:rsidRPr="009123CB">
        <w:rPr>
          <w:lang w:val="de-DE"/>
        </w:rPr>
        <w:t>zwischen diesen wechseln</w:t>
      </w:r>
      <w:r w:rsidR="006257A7">
        <w:rPr>
          <w:lang w:val="de-DE"/>
        </w:rPr>
        <w:t xml:space="preserve">. </w:t>
      </w:r>
      <w:r w:rsidRPr="009123CB">
        <w:rPr>
          <w:lang w:val="de-DE"/>
        </w:rPr>
        <w:t>Das Recht zur Nutzung von MLPs und MUIs hängt von Produkt, Programm und</w:t>
      </w:r>
      <w:r w:rsidR="00A634DA">
        <w:rPr>
          <w:lang w:val="de-DE"/>
        </w:rPr>
        <w:t> </w:t>
      </w:r>
      <w:r w:rsidRPr="009123CB">
        <w:rPr>
          <w:lang w:val="de-DE"/>
        </w:rPr>
        <w:t>Lizenztyp ab</w:t>
      </w:r>
      <w:r w:rsidR="006257A7">
        <w:rPr>
          <w:lang w:val="de-DE"/>
        </w:rPr>
        <w:t xml:space="preserve">. </w:t>
      </w:r>
    </w:p>
    <w:p w:rsidR="00C7319A" w:rsidRPr="009123CB" w:rsidRDefault="00C7319A" w:rsidP="00C7319A">
      <w:pPr>
        <w:pStyle w:val="Heading3"/>
        <w:ind w:right="720"/>
        <w:rPr>
          <w:lang w:val="de-DE"/>
        </w:rPr>
      </w:pPr>
    </w:p>
    <w:p w:rsidR="00C7319A" w:rsidRPr="009123CB" w:rsidRDefault="00C7319A" w:rsidP="00C7319A">
      <w:pPr>
        <w:numPr>
          <w:ilvl w:val="0"/>
          <w:numId w:val="17"/>
        </w:numPr>
        <w:tabs>
          <w:tab w:val="left" w:pos="1440"/>
        </w:tabs>
        <w:spacing w:after="60"/>
        <w:rPr>
          <w:lang w:val="de-DE"/>
        </w:rPr>
      </w:pPr>
      <w:r w:rsidRPr="009123CB">
        <w:rPr>
          <w:lang w:val="de-DE"/>
        </w:rPr>
        <w:t>Bei den meisten Serverprodukten (z</w:t>
      </w:r>
      <w:r w:rsidR="006257A7">
        <w:rPr>
          <w:lang w:val="de-DE"/>
        </w:rPr>
        <w:t xml:space="preserve">. </w:t>
      </w:r>
      <w:r w:rsidRPr="009123CB">
        <w:rPr>
          <w:lang w:val="de-DE"/>
        </w:rPr>
        <w:t>B</w:t>
      </w:r>
      <w:r w:rsidR="006257A7">
        <w:rPr>
          <w:lang w:val="de-DE"/>
        </w:rPr>
        <w:t xml:space="preserve">. </w:t>
      </w:r>
      <w:r w:rsidRPr="009123CB">
        <w:rPr>
          <w:lang w:val="de-DE"/>
        </w:rPr>
        <w:t>Windows Server) ist die MUI im Basisprodukt enthalten</w:t>
      </w:r>
      <w:r w:rsidR="006257A7">
        <w:rPr>
          <w:lang w:val="de-DE"/>
        </w:rPr>
        <w:t xml:space="preserve">. </w:t>
      </w:r>
      <w:r w:rsidRPr="009123CB">
        <w:rPr>
          <w:lang w:val="de-DE"/>
        </w:rPr>
        <w:t>Kunden, die diese Produkte lizenzieren, dürfen die MUI gemäß den Nutzungsrechten für diese Produkte nutzen</w:t>
      </w:r>
      <w:r w:rsidR="006257A7">
        <w:rPr>
          <w:lang w:val="de-DE"/>
        </w:rPr>
        <w:t xml:space="preserve">. </w:t>
      </w:r>
    </w:p>
    <w:p w:rsidR="00C7319A" w:rsidRPr="009123CB" w:rsidRDefault="00C7319A" w:rsidP="00C7319A">
      <w:pPr>
        <w:numPr>
          <w:ilvl w:val="0"/>
          <w:numId w:val="17"/>
        </w:numPr>
        <w:tabs>
          <w:tab w:val="left" w:pos="1440"/>
        </w:tabs>
        <w:spacing w:after="60"/>
        <w:rPr>
          <w:lang w:val="de-DE"/>
        </w:rPr>
      </w:pPr>
      <w:r w:rsidRPr="009123CB">
        <w:rPr>
          <w:rFonts w:cs="Tahoma"/>
          <w:szCs w:val="18"/>
          <w:lang w:val="de-DE"/>
        </w:rPr>
        <w:t>I</w:t>
      </w:r>
      <w:r w:rsidRPr="009123CB">
        <w:rPr>
          <w:lang w:val="de-DE"/>
        </w:rPr>
        <w:t>m Fall von Office System-Produkten (die keine Server sind) und -Suites haben Kunden mit aktiver Software Assurance für qualifizierende Lizenzen seit dem 1</w:t>
      </w:r>
      <w:r w:rsidR="006257A7">
        <w:rPr>
          <w:lang w:val="de-DE"/>
        </w:rPr>
        <w:t xml:space="preserve">. </w:t>
      </w:r>
      <w:r w:rsidRPr="009123CB">
        <w:rPr>
          <w:lang w:val="de-DE"/>
        </w:rPr>
        <w:t>Oktober 2008 das Recht, das MLP zu nutzen (weitere Details finden Sie in Abschnitt 6)</w:t>
      </w:r>
      <w:r w:rsidR="006257A7">
        <w:rPr>
          <w:lang w:val="de-DE"/>
        </w:rPr>
        <w:t xml:space="preserve">. </w:t>
      </w:r>
      <w:r w:rsidRPr="009123CB">
        <w:rPr>
          <w:lang w:val="de-DE"/>
        </w:rPr>
        <w:t>Unter bestimmten Programmen (z</w:t>
      </w:r>
      <w:r w:rsidR="006257A7">
        <w:rPr>
          <w:lang w:val="de-DE"/>
        </w:rPr>
        <w:t xml:space="preserve">. </w:t>
      </w:r>
      <w:r w:rsidRPr="009123CB">
        <w:rPr>
          <w:lang w:val="de-DE"/>
        </w:rPr>
        <w:t>B</w:t>
      </w:r>
      <w:r w:rsidR="006257A7">
        <w:rPr>
          <w:lang w:val="de-DE"/>
        </w:rPr>
        <w:t xml:space="preserve">. </w:t>
      </w:r>
      <w:r w:rsidRPr="009123CB">
        <w:rPr>
          <w:lang w:val="de-DE"/>
        </w:rPr>
        <w:t>Select) stehen MLPs für Office System-Produkte und -Suites weiterhin außerhalb von Software Assurance separat zur Verfügung</w:t>
      </w:r>
      <w:r w:rsidR="006257A7">
        <w:rPr>
          <w:lang w:val="de-DE"/>
        </w:rPr>
        <w:t xml:space="preserve">. </w:t>
      </w:r>
    </w:p>
    <w:p w:rsidR="00C7319A" w:rsidRPr="009123CB" w:rsidRDefault="00C7319A" w:rsidP="00C7319A">
      <w:pPr>
        <w:numPr>
          <w:ilvl w:val="0"/>
          <w:numId w:val="17"/>
        </w:numPr>
        <w:spacing w:after="60"/>
        <w:rPr>
          <w:lang w:val="de-DE"/>
        </w:rPr>
      </w:pPr>
      <w:r w:rsidRPr="009123CB">
        <w:rPr>
          <w:lang w:val="de-DE"/>
        </w:rPr>
        <w:t>Im Fall von Windows 8 ist die MUI in Windows 8 Pro enthalten</w:t>
      </w:r>
      <w:r w:rsidR="006257A7">
        <w:rPr>
          <w:lang w:val="de-DE"/>
        </w:rPr>
        <w:t xml:space="preserve">. </w:t>
      </w:r>
    </w:p>
    <w:p w:rsidR="00C7319A" w:rsidRPr="009123CB" w:rsidRDefault="00C7319A" w:rsidP="00C7319A">
      <w:pPr>
        <w:rPr>
          <w:lang w:val="de-DE"/>
        </w:rPr>
      </w:pPr>
    </w:p>
    <w:p w:rsidR="00C7319A" w:rsidRPr="009123CB" w:rsidRDefault="00C7319A" w:rsidP="00C7319A">
      <w:pPr>
        <w:rPr>
          <w:lang w:val="de-DE"/>
        </w:rPr>
      </w:pPr>
      <w:r w:rsidRPr="009123CB">
        <w:rPr>
          <w:lang w:val="de-DE"/>
        </w:rPr>
        <w:t>Die Sprachversionen, mit denen Kunden MUIs und MLPs nutzen dürfen, hängt dementsprechend von Programm, Produkt und Region ab</w:t>
      </w:r>
      <w:r w:rsidR="006257A7">
        <w:rPr>
          <w:lang w:val="de-DE"/>
        </w:rPr>
        <w:t xml:space="preserve">. </w:t>
      </w:r>
    </w:p>
    <w:p w:rsidR="00C7319A" w:rsidRPr="009123CB" w:rsidRDefault="00C7319A" w:rsidP="00C7319A">
      <w:pPr>
        <w:pStyle w:val="Heading3"/>
        <w:ind w:right="720"/>
        <w:rPr>
          <w:lang w:val="de-DE"/>
        </w:rPr>
      </w:pPr>
    </w:p>
    <w:p w:rsidR="00C7319A" w:rsidRPr="009123CB" w:rsidRDefault="00C7319A" w:rsidP="00C7319A">
      <w:pPr>
        <w:numPr>
          <w:ilvl w:val="0"/>
          <w:numId w:val="18"/>
        </w:numPr>
        <w:tabs>
          <w:tab w:val="clear" w:pos="1080"/>
          <w:tab w:val="num" w:pos="1440"/>
        </w:tabs>
        <w:ind w:left="1440"/>
        <w:rPr>
          <w:lang w:val="de-DE"/>
        </w:rPr>
      </w:pPr>
      <w:r w:rsidRPr="009123CB">
        <w:rPr>
          <w:lang w:val="de-DE"/>
        </w:rPr>
        <w:t>Seit dem 1</w:t>
      </w:r>
      <w:r w:rsidR="006257A7">
        <w:rPr>
          <w:lang w:val="de-DE"/>
        </w:rPr>
        <w:t xml:space="preserve">. </w:t>
      </w:r>
      <w:r w:rsidRPr="009123CB">
        <w:rPr>
          <w:lang w:val="de-DE"/>
        </w:rPr>
        <w:t>Oktober 2008 sind Kunden, die das Recht zur Nutzung von MUIs und MLPs unter einem Konzernvertrag, Konzern-Abonnement-Vertrag, Open Value-Vertrag (organisationsweite/unternehmensweite Option) oder Open Value Subscription erwerben, berechtigt, diese Funktionalität mit lizenzierten Produkten</w:t>
      </w:r>
      <w:r w:rsidRPr="009123CB">
        <w:rPr>
          <w:b/>
          <w:lang w:val="de-DE"/>
        </w:rPr>
        <w:t xml:space="preserve"> </w:t>
      </w:r>
      <w:r w:rsidRPr="009123CB">
        <w:rPr>
          <w:b/>
          <w:u w:val="single"/>
          <w:lang w:val="de-DE"/>
        </w:rPr>
        <w:t>in allen Sprachversionen zu nutzen,</w:t>
      </w:r>
      <w:r w:rsidRPr="009123CB">
        <w:rPr>
          <w:b/>
          <w:lang w:val="de-DE"/>
        </w:rPr>
        <w:t xml:space="preserve"> </w:t>
      </w:r>
      <w:r w:rsidRPr="009123CB">
        <w:rPr>
          <w:lang w:val="de-DE"/>
        </w:rPr>
        <w:t>ungeachtet etwaiger Beschränkungen der Nutzung bestimmter Sprachen in diesen Verträgen</w:t>
      </w:r>
      <w:r w:rsidR="006257A7">
        <w:rPr>
          <w:lang w:val="de-DE"/>
        </w:rPr>
        <w:t xml:space="preserve">. </w:t>
      </w:r>
    </w:p>
    <w:p w:rsidR="00C7319A" w:rsidRPr="009123CB" w:rsidRDefault="00C7319A" w:rsidP="00C7319A">
      <w:pPr>
        <w:pStyle w:val="Heading3"/>
        <w:ind w:right="720"/>
        <w:rPr>
          <w:lang w:val="de-DE"/>
        </w:rPr>
      </w:pPr>
    </w:p>
    <w:p w:rsidR="00C7319A" w:rsidRPr="009123CB" w:rsidRDefault="00C7319A" w:rsidP="006450C8">
      <w:pPr>
        <w:rPr>
          <w:lang w:val="de-DE"/>
        </w:rPr>
      </w:pPr>
      <w:r w:rsidRPr="009123CB">
        <w:rPr>
          <w:lang w:val="de-DE"/>
        </w:rPr>
        <w:t>Kunden, die das Recht zur Nutzung von MUIs und MLP unter anderen Verträgen als einem Konzernvertrag oder Open</w:t>
      </w:r>
      <w:r w:rsidR="006450C8">
        <w:rPr>
          <w:lang w:val="de-DE"/>
        </w:rPr>
        <w:t> </w:t>
      </w:r>
      <w:r w:rsidRPr="009123CB">
        <w:rPr>
          <w:lang w:val="de-DE"/>
        </w:rPr>
        <w:t>Value-Vertrag (organisationsweite/unternehmensweite Option) erwerben (ob mit dem Basisprodukt oder über Software Assurance), unterliegen weiterhin Beschränkungen (sofern vorhanden) in ihrem Vertrag für die Nutzung bestimmter Sprachen</w:t>
      </w:r>
      <w:r w:rsidR="006257A7">
        <w:rPr>
          <w:lang w:val="de-DE"/>
        </w:rPr>
        <w:t xml:space="preserve">. </w:t>
      </w:r>
      <w:r w:rsidRPr="009123CB">
        <w:rPr>
          <w:lang w:val="de-DE"/>
        </w:rPr>
        <w:t>Beispiel: Wenn eine lokale Sprachversion eines Produktes auf der Preisliste des Kunden zu einem anderen Preis lizenziert wird, ist das Recht des Kunden zur Nutzung anderer Sprachversionen als dieser Version (mit oder ohne MUI- oder MLP-Funktionalität) unter Umständen beschränkt</w:t>
      </w:r>
      <w:r w:rsidR="006257A7">
        <w:rPr>
          <w:lang w:val="de-DE"/>
        </w:rPr>
        <w:t xml:space="preserve">. </w:t>
      </w:r>
      <w:r w:rsidRPr="009123CB">
        <w:rPr>
          <w:lang w:val="de-DE"/>
        </w:rPr>
        <w:t>Kunden sollten sich in ihrem Lizenzvertrag oder beim Handelspartner oder Kundenbetreuer von Microsoft über ihr Recht zur Nutzung anderer Sprachen informieren</w:t>
      </w:r>
      <w:r w:rsidR="006257A7">
        <w:rPr>
          <w:lang w:val="de-DE"/>
        </w:rPr>
        <w:t xml:space="preserve">. </w:t>
      </w:r>
    </w:p>
    <w:p w:rsidR="00C7319A" w:rsidRPr="009123CB" w:rsidRDefault="00C7319A" w:rsidP="00C7319A">
      <w:pPr>
        <w:rPr>
          <w:lang w:val="de-DE"/>
        </w:rPr>
      </w:pPr>
    </w:p>
    <w:p w:rsidR="00C7319A" w:rsidRPr="009123CB" w:rsidRDefault="00C7319A" w:rsidP="00C7319A">
      <w:pPr>
        <w:pStyle w:val="Heading2"/>
        <w:ind w:left="0"/>
        <w:rPr>
          <w:lang w:val="de-DE"/>
        </w:rPr>
      </w:pPr>
      <w:bookmarkStart w:id="939" w:name="_Toc323159784"/>
      <w:bookmarkStart w:id="940" w:name="_Toc336338253"/>
      <w:bookmarkStart w:id="941" w:name="_Toc363998991"/>
      <w:r w:rsidRPr="009123CB">
        <w:rPr>
          <w:rFonts w:ascii="Tahoma" w:hAnsi="Tahoma" w:cs="Tahoma"/>
          <w:lang w:val="de-DE"/>
        </w:rPr>
        <w:t>Plattformunabhängige Lizenzen</w:t>
      </w:r>
      <w:bookmarkEnd w:id="939"/>
      <w:bookmarkEnd w:id="940"/>
      <w:bookmarkEnd w:id="941"/>
    </w:p>
    <w:p w:rsidR="00C7319A" w:rsidRPr="009123CB" w:rsidRDefault="00C7319A" w:rsidP="00C7319A">
      <w:pPr>
        <w:tabs>
          <w:tab w:val="num" w:pos="0"/>
        </w:tabs>
        <w:ind w:right="720"/>
        <w:rPr>
          <w:lang w:val="de-DE"/>
        </w:rPr>
      </w:pPr>
    </w:p>
    <w:p w:rsidR="00C7319A" w:rsidRPr="009123CB" w:rsidRDefault="00C7319A" w:rsidP="00C7319A">
      <w:pPr>
        <w:pStyle w:val="AppendixBodyText"/>
        <w:spacing w:after="0"/>
        <w:ind w:right="720"/>
        <w:rPr>
          <w:lang w:val="de-DE"/>
        </w:rPr>
      </w:pPr>
      <w:r w:rsidRPr="009123CB">
        <w:rPr>
          <w:rFonts w:ascii="Tahoma" w:hAnsi="Tahoma" w:cs="Tahoma"/>
          <w:color w:val="000000"/>
          <w:sz w:val="18"/>
          <w:szCs w:val="18"/>
          <w:lang w:val="de-DE"/>
        </w:rPr>
        <w:t>Microsoft Office Standard, Office Professional Plus, Word, Excel, PowerPoint, Outlook, Office für Mac, Word für Mac, Excel für Mac, PowerPoint für Mac, Lync für Mac und Outlook für Mac sind „plattformunabhängige“ Lizenzen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Mit einer plattformunabhängigen Lizenz kann ein Produkt auf jeder Computerplattform (z</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B</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PC, Macintosh) genutzt werden, auf der die Software ausgeführt wird, sofern die verwendete Version mit der ursprünglich lizenzierten Version identisch oder eine frühere Version ist</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Beispiel: Ein Kunde, der für Office für Mac Standard 2011 lizenziert ist, kann sich dafür entscheiden, mit dieser Lizenz Office Standard 2010 für Windows auszuführen</w:t>
      </w:r>
      <w:r w:rsidR="006257A7">
        <w:rPr>
          <w:rFonts w:ascii="Tahoma" w:hAnsi="Tahoma" w:cs="Tahoma"/>
          <w:color w:val="000000"/>
          <w:sz w:val="18"/>
          <w:szCs w:val="18"/>
          <w:lang w:val="de-DE"/>
        </w:rPr>
        <w:t xml:space="preserve">. </w:t>
      </w:r>
    </w:p>
    <w:p w:rsidR="00C7319A" w:rsidRPr="009123CB" w:rsidRDefault="00C7319A" w:rsidP="00C7319A">
      <w:pPr>
        <w:pStyle w:val="AppendixBodyText"/>
        <w:spacing w:after="0"/>
        <w:rPr>
          <w:lang w:val="de-DE"/>
        </w:rPr>
      </w:pPr>
    </w:p>
    <w:p w:rsidR="00C7319A" w:rsidRDefault="00C7319A" w:rsidP="00C7319A">
      <w:pPr>
        <w:pStyle w:val="AppendixBodyText"/>
        <w:spacing w:after="0"/>
        <w:ind w:right="720"/>
        <w:rPr>
          <w:rFonts w:ascii="Tahoma" w:hAnsi="Tahoma" w:cs="Tahoma"/>
          <w:color w:val="000000"/>
          <w:sz w:val="18"/>
          <w:szCs w:val="18"/>
          <w:lang w:val="de-DE"/>
        </w:rPr>
      </w:pPr>
      <w:r w:rsidRPr="009123CB">
        <w:rPr>
          <w:rFonts w:ascii="Tahoma" w:hAnsi="Tahoma" w:cs="Tahoma"/>
          <w:color w:val="000000"/>
          <w:sz w:val="18"/>
          <w:szCs w:val="18"/>
          <w:lang w:val="de-DE"/>
        </w:rPr>
        <w:t>Die Komponenten einer Produktsuite können je nach Plattformversion variieren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Sie dürfen nur die Komponenten der Suite verwenden, welche Sie für die Nutzung auswählen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Beispiel: Wenn ein Kunde, der für Office für Mac Standard 2011 lizenziert ist, Office Standard 2010 nutzen möchte, darf der Kunde nur die Komponenten ausführen, die in Office Standard 2010 enthalten sind</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Er hat beispielsweise nicht das Recht, Lync auszuführen, aber er darf OneNote nutzen</w:t>
      </w:r>
      <w:r w:rsidR="006257A7">
        <w:rPr>
          <w:rFonts w:ascii="Tahoma" w:hAnsi="Tahoma" w:cs="Tahoma"/>
          <w:color w:val="000000"/>
          <w:sz w:val="18"/>
          <w:szCs w:val="18"/>
          <w:lang w:val="de-DE"/>
        </w:rPr>
        <w:t xml:space="preserve">. </w:t>
      </w:r>
    </w:p>
    <w:p w:rsidR="00A634DA" w:rsidRPr="009123CB" w:rsidRDefault="00A634DA" w:rsidP="00C7319A">
      <w:pPr>
        <w:pStyle w:val="AppendixBodyText"/>
        <w:spacing w:after="0"/>
        <w:ind w:right="720"/>
        <w:rPr>
          <w:lang w:val="de-DE"/>
        </w:rPr>
      </w:pPr>
    </w:p>
    <w:p w:rsidR="00C7319A" w:rsidRPr="009123CB" w:rsidRDefault="00C7319A" w:rsidP="00A634DA">
      <w:pPr>
        <w:pStyle w:val="AppendixBodyText"/>
        <w:spacing w:after="0"/>
        <w:ind w:right="720"/>
        <w:rPr>
          <w:lang w:val="de-DE"/>
        </w:rPr>
      </w:pPr>
      <w:r w:rsidRPr="009123CB">
        <w:rPr>
          <w:rFonts w:ascii="Tahoma" w:hAnsi="Tahoma" w:cs="Tahoma"/>
          <w:color w:val="000000"/>
          <w:sz w:val="18"/>
          <w:lang w:val="de-DE"/>
        </w:rPr>
        <w:t>Darüber hinaus ist ein Kunde durch aktive Software Assurance für eine plattformunabhängige Lizenz berechtigt, anstelle des lizenzierten Produktes die aktuellste Version einer Plattformversion des Produktes zu</w:t>
      </w:r>
      <w:r w:rsidR="00A634DA">
        <w:rPr>
          <w:rFonts w:ascii="Tahoma" w:hAnsi="Tahoma" w:cs="Tahoma"/>
          <w:color w:val="000000"/>
          <w:sz w:val="18"/>
          <w:lang w:val="de-DE"/>
        </w:rPr>
        <w:t> </w:t>
      </w:r>
      <w:r w:rsidRPr="009123CB">
        <w:rPr>
          <w:rFonts w:ascii="Tahoma" w:hAnsi="Tahoma" w:cs="Tahoma"/>
          <w:color w:val="000000"/>
          <w:sz w:val="18"/>
          <w:lang w:val="de-DE"/>
        </w:rPr>
        <w:t>nutzen, die während der Laufzeit von Software Assurance verfügbar wird (vorbehaltlich der oben genannten Beschränkung für Komponenten)</w:t>
      </w:r>
      <w:r w:rsidR="006257A7">
        <w:rPr>
          <w:rFonts w:ascii="Tahoma" w:hAnsi="Tahoma" w:cs="Tahoma"/>
          <w:color w:val="000000"/>
          <w:sz w:val="18"/>
          <w:lang w:val="de-DE"/>
        </w:rPr>
        <w:t xml:space="preserve">. </w:t>
      </w:r>
      <w:r w:rsidRPr="009123CB">
        <w:rPr>
          <w:rFonts w:ascii="Tahoma" w:hAnsi="Tahoma" w:cs="Tahoma"/>
          <w:color w:val="000000"/>
          <w:sz w:val="18"/>
          <w:lang w:val="de-DE"/>
        </w:rPr>
        <w:t>Beispiel: Ein Kunde mit aktiver Software Assurance für eine</w:t>
      </w:r>
      <w:r w:rsidR="00A634DA">
        <w:rPr>
          <w:rFonts w:ascii="Tahoma" w:hAnsi="Tahoma" w:cs="Tahoma"/>
          <w:color w:val="000000"/>
          <w:sz w:val="18"/>
          <w:lang w:val="de-DE"/>
        </w:rPr>
        <w:t> </w:t>
      </w:r>
      <w:r w:rsidRPr="009123CB">
        <w:rPr>
          <w:rFonts w:ascii="Tahoma" w:hAnsi="Tahoma" w:cs="Tahoma"/>
          <w:color w:val="000000"/>
          <w:sz w:val="18"/>
          <w:lang w:val="de-DE"/>
        </w:rPr>
        <w:t>Office für Mac-Lizenz ist berechtigt, anstelle von Office für Mac die aktuellste Version der entsprechenden Edition von Office für Windows zu nutzen, die während der Software Assurance-Laufzeit</w:t>
      </w:r>
      <w:r w:rsidR="00A634DA">
        <w:rPr>
          <w:rFonts w:ascii="Tahoma" w:hAnsi="Tahoma" w:cs="Tahoma"/>
          <w:color w:val="000000"/>
          <w:sz w:val="18"/>
          <w:lang w:val="de-DE"/>
        </w:rPr>
        <w:t> </w:t>
      </w:r>
      <w:r w:rsidRPr="009123CB">
        <w:rPr>
          <w:rFonts w:ascii="Tahoma" w:hAnsi="Tahoma" w:cs="Tahoma"/>
          <w:color w:val="000000"/>
          <w:sz w:val="18"/>
          <w:lang w:val="de-DE"/>
        </w:rPr>
        <w:t>herausgegeben wird</w:t>
      </w:r>
      <w:r w:rsidR="006257A7">
        <w:rPr>
          <w:rFonts w:ascii="Tahoma" w:hAnsi="Tahoma" w:cs="Tahoma"/>
          <w:color w:val="000000"/>
          <w:sz w:val="18"/>
          <w:lang w:val="de-DE"/>
        </w:rPr>
        <w:t xml:space="preserve">. </w:t>
      </w:r>
    </w:p>
    <w:p w:rsidR="00C7319A" w:rsidRPr="009123CB" w:rsidRDefault="00C7319A" w:rsidP="00A634DA">
      <w:pPr>
        <w:pStyle w:val="AppendixBodyText"/>
        <w:spacing w:after="0"/>
        <w:ind w:right="720"/>
        <w:rPr>
          <w:lang w:val="de-DE"/>
        </w:rPr>
      </w:pPr>
      <w:r w:rsidRPr="009123CB">
        <w:rPr>
          <w:rFonts w:ascii="Tahoma" w:hAnsi="Tahoma" w:cs="Tahoma"/>
          <w:sz w:val="18"/>
          <w:lang w:val="de-DE"/>
        </w:rPr>
        <w:t>Microsoft SQL Server ist eine „plattformunabhängige“ Lizenz</w:t>
      </w:r>
      <w:r w:rsidR="006257A7">
        <w:rPr>
          <w:rFonts w:ascii="Tahoma" w:hAnsi="Tahoma" w:cs="Tahoma"/>
          <w:sz w:val="18"/>
          <w:lang w:val="de-DE"/>
        </w:rPr>
        <w:t xml:space="preserve">. </w:t>
      </w:r>
      <w:r w:rsidRPr="009123CB">
        <w:rPr>
          <w:rFonts w:ascii="Tahoma" w:hAnsi="Tahoma" w:cs="Tahoma"/>
          <w:sz w:val="18"/>
          <w:lang w:val="de-DE"/>
        </w:rPr>
        <w:t>Mit einer plattformunabhängigen Lizenz kann</w:t>
      </w:r>
      <w:r w:rsidR="00A634DA">
        <w:rPr>
          <w:rFonts w:ascii="Tahoma" w:hAnsi="Tahoma" w:cs="Tahoma"/>
          <w:sz w:val="18"/>
          <w:lang w:val="de-DE"/>
        </w:rPr>
        <w:t> </w:t>
      </w:r>
      <w:r w:rsidRPr="009123CB">
        <w:rPr>
          <w:rFonts w:ascii="Tahoma" w:hAnsi="Tahoma" w:cs="Tahoma"/>
          <w:sz w:val="18"/>
          <w:lang w:val="de-DE"/>
        </w:rPr>
        <w:t>ein bestimmtes Produkt auf jeder Computerplattform genutzt werden, auf der die Software ausgeführt wird, sofern die verwendete Version mit der ursprünglich lizenzierten Version identisch oder eine frühere Version ist</w:t>
      </w:r>
      <w:r w:rsidR="006257A7">
        <w:rPr>
          <w:rFonts w:ascii="Tahoma" w:hAnsi="Tahoma" w:cs="Tahoma"/>
          <w:sz w:val="18"/>
          <w:lang w:val="de-DE"/>
        </w:rPr>
        <w:t xml:space="preserve">. </w:t>
      </w:r>
    </w:p>
    <w:p w:rsidR="00C7319A" w:rsidRPr="009123CB" w:rsidRDefault="00C7319A" w:rsidP="00C7319A">
      <w:pPr>
        <w:pStyle w:val="AppendixBodyText"/>
        <w:spacing w:after="0"/>
        <w:ind w:right="720"/>
        <w:rPr>
          <w:lang w:val="de-DE"/>
        </w:rPr>
      </w:pPr>
    </w:p>
    <w:p w:rsidR="00C7319A" w:rsidRPr="009123CB" w:rsidRDefault="00C7319A" w:rsidP="00C7319A">
      <w:pPr>
        <w:pStyle w:val="AppendixBodyText"/>
        <w:spacing w:after="0"/>
        <w:ind w:right="720"/>
        <w:rPr>
          <w:lang w:val="de-DE"/>
        </w:rPr>
      </w:pPr>
      <w:r w:rsidRPr="009123CB">
        <w:rPr>
          <w:rFonts w:ascii="Tahoma" w:hAnsi="Tahoma" w:cs="Tahoma"/>
          <w:sz w:val="18"/>
          <w:lang w:val="de-DE"/>
        </w:rPr>
        <w:t>Darüber hinaus ist ein Kunde, der Software Assurance für eine plattformunabhängige Lizenz erwirbt, berechtigt, die aktuellste Version dieses bestimmten Produktes zu nutzen, die während der Laufzeit von Software Assurance verfügbar ist, unabhängig von der Plattform (sofern nur jeweils eine Version installiert ist/genutzt wird)</w:t>
      </w:r>
      <w:r w:rsidR="006257A7">
        <w:rPr>
          <w:rFonts w:ascii="Tahoma" w:hAnsi="Tahoma" w:cs="Tahoma"/>
          <w:sz w:val="18"/>
          <w:lang w:val="de-DE"/>
        </w:rPr>
        <w:t xml:space="preserve">. </w:t>
      </w:r>
    </w:p>
    <w:p w:rsidR="00C7319A" w:rsidRPr="009123CB" w:rsidRDefault="00C7319A" w:rsidP="00C7319A">
      <w:pPr>
        <w:rPr>
          <w:lang w:val="de-DE"/>
        </w:rPr>
      </w:pPr>
      <w:bookmarkStart w:id="942" w:name="_Toc336338254"/>
    </w:p>
    <w:p w:rsidR="00C7319A" w:rsidRPr="009123CB" w:rsidRDefault="00C7319A" w:rsidP="00C7319A">
      <w:pPr>
        <w:pStyle w:val="Heading2"/>
        <w:ind w:left="0"/>
        <w:rPr>
          <w:lang w:val="de-DE"/>
        </w:rPr>
      </w:pPr>
      <w:bookmarkStart w:id="943" w:name="_Toc363998992"/>
      <w:r w:rsidRPr="009123CB">
        <w:rPr>
          <w:rFonts w:ascii="Tahoma" w:hAnsi="Tahoma" w:cs="Tahoma"/>
          <w:lang w:val="de-DE"/>
        </w:rPr>
        <w:t>Volumenlizenz-Product Keys</w:t>
      </w:r>
      <w:bookmarkEnd w:id="942"/>
      <w:bookmarkEnd w:id="943"/>
    </w:p>
    <w:p w:rsidR="00C7319A" w:rsidRPr="009123CB" w:rsidRDefault="00C7319A" w:rsidP="00C7319A">
      <w:pPr>
        <w:spacing w:after="60"/>
        <w:ind w:right="720"/>
        <w:rPr>
          <w:lang w:val="de-DE"/>
        </w:rPr>
      </w:pPr>
    </w:p>
    <w:p w:rsidR="00C7319A" w:rsidRPr="009123CB" w:rsidRDefault="00C7319A" w:rsidP="00C7319A">
      <w:pPr>
        <w:ind w:right="720"/>
        <w:rPr>
          <w:lang w:val="de-DE"/>
        </w:rPr>
      </w:pPr>
      <w:r w:rsidRPr="009123CB">
        <w:rPr>
          <w:rFonts w:cs="Tahoma"/>
          <w:color w:val="000000"/>
          <w:szCs w:val="18"/>
          <w:lang w:val="de-DE"/>
        </w:rPr>
        <w:t>Mithilfe von Product Keys können Organisationen die Software und Produkte nutzen, die sie lizenziert haben</w:t>
      </w:r>
      <w:r w:rsidR="006257A7">
        <w:rPr>
          <w:rFonts w:cs="Tahoma"/>
          <w:color w:val="000000"/>
          <w:szCs w:val="18"/>
          <w:lang w:val="de-DE"/>
        </w:rPr>
        <w:t xml:space="preserve">. </w:t>
      </w:r>
      <w:r w:rsidRPr="009123CB">
        <w:rPr>
          <w:rFonts w:cs="Tahoma"/>
          <w:color w:val="000000"/>
          <w:szCs w:val="18"/>
          <w:lang w:val="de-DE"/>
        </w:rPr>
        <w:t>Alle Product Keys werden unter einem bestimmten Lizenzvertrag für einen Kunden ausgestellt</w:t>
      </w:r>
      <w:r w:rsidR="006257A7">
        <w:rPr>
          <w:rFonts w:cs="Tahoma"/>
          <w:color w:val="000000"/>
          <w:szCs w:val="18"/>
          <w:lang w:val="de-DE"/>
        </w:rPr>
        <w:t xml:space="preserve">. </w:t>
      </w:r>
      <w:r w:rsidRPr="009123CB">
        <w:rPr>
          <w:rFonts w:cs="Tahoma"/>
          <w:color w:val="000000"/>
          <w:szCs w:val="18"/>
          <w:lang w:val="de-DE"/>
        </w:rPr>
        <w:t xml:space="preserve">Ihre Product Keys erhalten Sie im </w:t>
      </w:r>
      <w:hyperlink r:id="rId33" w:history="1">
        <w:r w:rsidRPr="009123CB">
          <w:rPr>
            <w:rStyle w:val="Hyperlink"/>
            <w:szCs w:val="18"/>
            <w:lang w:val="de-DE"/>
          </w:rPr>
          <w:t>Center für Microsoft Volumenlizenz-Services (VLSC)</w:t>
        </w:r>
      </w:hyperlink>
      <w:r w:rsidRPr="009123CB">
        <w:rPr>
          <w:rFonts w:cs="Tahoma"/>
          <w:color w:val="000000"/>
          <w:szCs w:val="18"/>
          <w:lang w:val="de-DE"/>
        </w:rPr>
        <w:t xml:space="preserve"> </w:t>
      </w:r>
      <w:r w:rsidR="006257A7">
        <w:rPr>
          <w:rFonts w:cs="Tahoma"/>
          <w:color w:val="000000"/>
          <w:szCs w:val="18"/>
          <w:lang w:val="de-DE"/>
        </w:rPr>
        <w:t xml:space="preserve">. </w:t>
      </w:r>
      <w:r w:rsidRPr="009123CB">
        <w:rPr>
          <w:rFonts w:cs="Tahoma"/>
          <w:color w:val="000000"/>
          <w:szCs w:val="18"/>
          <w:lang w:val="de-DE"/>
        </w:rPr>
        <w:t xml:space="preserve">Außerdem können Sie das </w:t>
      </w:r>
      <w:hyperlink r:id="rId34" w:history="1">
        <w:r w:rsidRPr="009123CB">
          <w:rPr>
            <w:rStyle w:val="Hyperlink"/>
            <w:szCs w:val="18"/>
            <w:lang w:val="de-DE"/>
          </w:rPr>
          <w:t>Microsoft Volumenlizenz-Aktivierungscenter anrufen</w:t>
        </w:r>
      </w:hyperlink>
      <w:r w:rsidR="006257A7">
        <w:rPr>
          <w:rFonts w:cs="Tahoma"/>
          <w:color w:val="0070C0"/>
          <w:szCs w:val="18"/>
          <w:lang w:val="de-DE"/>
        </w:rPr>
        <w:t xml:space="preserve">. </w:t>
      </w:r>
    </w:p>
    <w:p w:rsidR="00C7319A" w:rsidRPr="009123CB" w:rsidRDefault="00C7319A" w:rsidP="00C7319A">
      <w:pPr>
        <w:ind w:right="720"/>
        <w:rPr>
          <w:lang w:val="de-DE"/>
        </w:rPr>
      </w:pPr>
    </w:p>
    <w:p w:rsidR="00C7319A" w:rsidRPr="009123CB" w:rsidRDefault="00C7319A" w:rsidP="006450C8">
      <w:pPr>
        <w:ind w:right="720"/>
        <w:rPr>
          <w:lang w:val="de-DE"/>
        </w:rPr>
      </w:pPr>
      <w:r w:rsidRPr="009123CB">
        <w:rPr>
          <w:rFonts w:cs="Tahoma"/>
          <w:color w:val="000000"/>
          <w:szCs w:val="18"/>
          <w:lang w:val="de-DE"/>
        </w:rPr>
        <w:t xml:space="preserve">Eine Liste der Volumenlizenzprodukte, für die Product Keys erforderlich sind, sowie zusätzliche Informationen erhalten Sie unter: </w:t>
      </w:r>
      <w:r w:rsidR="006450C8">
        <w:rPr>
          <w:rFonts w:cs="Tahoma"/>
          <w:color w:val="000000"/>
          <w:szCs w:val="18"/>
          <w:lang w:val="de-DE"/>
        </w:rPr>
        <w:br/>
      </w:r>
      <w:hyperlink w:history="1">
        <w:r w:rsidR="00DC746B" w:rsidRPr="006C7619">
          <w:rPr>
            <w:rStyle w:val="Hyperlink"/>
            <w:szCs w:val="18"/>
            <w:lang w:val="de-DE"/>
          </w:rPr>
          <w:t>http://www. microsoft.com/licensing/resources/vol/volumelicensekey/default.mspx</w:t>
        </w:r>
      </w:hyperlink>
      <w:r w:rsidR="006257A7">
        <w:rPr>
          <w:rFonts w:cs="Tahoma"/>
          <w:szCs w:val="18"/>
          <w:lang w:val="de-DE"/>
        </w:rPr>
        <w:t xml:space="preserve">. </w:t>
      </w:r>
    </w:p>
    <w:p w:rsidR="00C7319A" w:rsidRPr="009123CB" w:rsidRDefault="00C7319A" w:rsidP="00C7319A">
      <w:pPr>
        <w:ind w:right="720"/>
        <w:rPr>
          <w:lang w:val="de-DE"/>
        </w:rPr>
      </w:pPr>
      <w:r w:rsidRPr="009123CB">
        <w:rPr>
          <w:rFonts w:cs="Tahoma"/>
          <w:color w:val="1F497D"/>
          <w:szCs w:val="18"/>
          <w:lang w:val="de-DE"/>
        </w:rPr>
        <w:br/>
      </w:r>
      <w:r w:rsidRPr="009123CB">
        <w:rPr>
          <w:rFonts w:cs="Tahoma"/>
          <w:color w:val="000000"/>
          <w:szCs w:val="18"/>
          <w:lang w:val="de-DE"/>
        </w:rPr>
        <w:t>Nicht für alle Volumenlizenzprodukte ist ein Product Key erforderlich</w:t>
      </w:r>
      <w:r w:rsidR="006257A7">
        <w:rPr>
          <w:rFonts w:cs="Tahoma"/>
          <w:color w:val="000000"/>
          <w:szCs w:val="18"/>
          <w:lang w:val="de-DE"/>
        </w:rPr>
        <w:t xml:space="preserve">. </w:t>
      </w:r>
      <w:r w:rsidRPr="009123CB">
        <w:rPr>
          <w:rFonts w:cs="Tahoma"/>
          <w:color w:val="000000"/>
          <w:szCs w:val="18"/>
          <w:lang w:val="de-DE"/>
        </w:rPr>
        <w:t>Für Produkte, die nicht aufgeführt sind, ist kein Product Key erforderlich</w:t>
      </w:r>
      <w:r w:rsidR="006257A7">
        <w:rPr>
          <w:rFonts w:cs="Tahoma"/>
          <w:color w:val="000000"/>
          <w:szCs w:val="18"/>
          <w:lang w:val="de-DE"/>
        </w:rPr>
        <w:t xml:space="preserve">. </w:t>
      </w:r>
    </w:p>
    <w:p w:rsidR="00C7319A" w:rsidRPr="009123CB" w:rsidRDefault="00C7319A" w:rsidP="00C7319A">
      <w:pPr>
        <w:ind w:right="720"/>
        <w:rPr>
          <w:lang w:val="de-DE"/>
        </w:rPr>
      </w:pPr>
    </w:p>
    <w:p w:rsidR="00C7319A" w:rsidRPr="009123CB" w:rsidRDefault="00C7319A" w:rsidP="00C7319A">
      <w:pPr>
        <w:ind w:right="720"/>
        <w:rPr>
          <w:lang w:val="de-DE"/>
        </w:rPr>
      </w:pPr>
      <w:r w:rsidRPr="009123CB">
        <w:rPr>
          <w:rFonts w:cs="Tahoma"/>
          <w:b/>
          <w:bCs/>
          <w:color w:val="000000"/>
          <w:szCs w:val="18"/>
          <w:lang w:val="de-DE"/>
        </w:rPr>
        <w:t>Anmerkung:</w:t>
      </w:r>
      <w:r w:rsidRPr="009123CB">
        <w:rPr>
          <w:rFonts w:cs="Tahoma"/>
          <w:color w:val="000000"/>
          <w:szCs w:val="18"/>
          <w:lang w:val="de-DE"/>
        </w:rPr>
        <w:t>Product Keys werden Ihrer Organisation zugewiesen und sind ausschließlich zur Nutzung durch Ihre Organisation vorgesehen</w:t>
      </w:r>
      <w:r w:rsidR="006257A7">
        <w:rPr>
          <w:rFonts w:cs="Tahoma"/>
          <w:color w:val="000000"/>
          <w:szCs w:val="18"/>
          <w:lang w:val="de-DE"/>
        </w:rPr>
        <w:t xml:space="preserve">. </w:t>
      </w:r>
      <w:r w:rsidRPr="009123CB">
        <w:rPr>
          <w:rFonts w:cs="Tahoma"/>
          <w:color w:val="000000"/>
          <w:szCs w:val="18"/>
          <w:lang w:val="de-DE"/>
        </w:rPr>
        <w:t>Sie sind für die unberechtigte Nutzung von Product Keys verantwortlich, die unter Ihrem Vertrag herausgegeben werden</w:t>
      </w:r>
      <w:r w:rsidR="006257A7">
        <w:rPr>
          <w:rFonts w:cs="Tahoma"/>
          <w:color w:val="000000"/>
          <w:szCs w:val="18"/>
          <w:lang w:val="de-DE"/>
        </w:rPr>
        <w:t xml:space="preserve">. </w:t>
      </w:r>
      <w:r w:rsidRPr="009123CB">
        <w:rPr>
          <w:rFonts w:cs="Tahoma"/>
          <w:color w:val="000000"/>
          <w:szCs w:val="18"/>
          <w:lang w:val="de-DE"/>
        </w:rPr>
        <w:t>Ergreifen Sie entsprechende Maßnahmen zum Schutz der Product Keys</w:t>
      </w:r>
      <w:r w:rsidR="006257A7">
        <w:rPr>
          <w:rFonts w:cs="Tahoma"/>
          <w:color w:val="000000"/>
          <w:szCs w:val="18"/>
          <w:lang w:val="de-DE"/>
        </w:rPr>
        <w:t xml:space="preserve">. </w:t>
      </w:r>
      <w:r w:rsidRPr="009123CB">
        <w:rPr>
          <w:rFonts w:cs="Tahoma"/>
          <w:color w:val="000000"/>
          <w:szCs w:val="18"/>
          <w:lang w:val="de-DE"/>
        </w:rPr>
        <w:t>Sie dürfen Ihre Product Keys nicht gegenüber unberechtigten Parteien offenlegen</w:t>
      </w:r>
      <w:r w:rsidR="006257A7">
        <w:rPr>
          <w:rFonts w:cs="Tahoma"/>
          <w:color w:val="000000"/>
          <w:szCs w:val="18"/>
          <w:lang w:val="de-DE"/>
        </w:rPr>
        <w:t xml:space="preserve">. </w:t>
      </w:r>
    </w:p>
    <w:p w:rsidR="00C7319A" w:rsidRPr="009123CB" w:rsidRDefault="00C7319A" w:rsidP="00C7319A">
      <w:pPr>
        <w:rPr>
          <w:lang w:val="de-DE"/>
        </w:rPr>
      </w:pPr>
      <w:r w:rsidRPr="009123CB">
        <w:rPr>
          <w:rFonts w:cs="Tahoma"/>
          <w:color w:val="000000"/>
          <w:szCs w:val="18"/>
          <w:lang w:val="de-DE"/>
        </w:rPr>
        <w:br w:type="page"/>
      </w:r>
    </w:p>
    <w:p w:rsidR="00C7319A" w:rsidRPr="009123CB" w:rsidRDefault="00C7319A" w:rsidP="00C7319A">
      <w:pPr>
        <w:pStyle w:val="Heading1"/>
        <w:rPr>
          <w:lang w:val="de-DE"/>
        </w:rPr>
      </w:pPr>
      <w:bookmarkStart w:id="944" w:name="_Section_10_–"/>
      <w:bookmarkStart w:id="945" w:name="_Toc363998993"/>
      <w:bookmarkEnd w:id="944"/>
      <w:r w:rsidRPr="009123CB">
        <w:rPr>
          <w:lang w:val="de-DE"/>
        </w:rPr>
        <w:t>Abschnitt 10 – Ergänzende Bestimmungen für Onlinedienste, die mit Vor-Ort-Software verwendet werden</w:t>
      </w:r>
      <w:bookmarkEnd w:id="945"/>
    </w:p>
    <w:p w:rsidR="00C7319A" w:rsidRPr="009123CB" w:rsidRDefault="00C7319A" w:rsidP="00C7319A">
      <w:pPr>
        <w:rPr>
          <w:lang w:val="de-DE"/>
        </w:rPr>
      </w:pPr>
    </w:p>
    <w:p w:rsidR="00C7319A" w:rsidRPr="009123CB" w:rsidRDefault="00C7319A" w:rsidP="00A634DA">
      <w:pPr>
        <w:rPr>
          <w:lang w:val="de-DE"/>
        </w:rPr>
      </w:pPr>
      <w:r w:rsidRPr="009123CB">
        <w:rPr>
          <w:snapToGrid w:val="0"/>
          <w:lang w:val="de-DE"/>
        </w:rPr>
        <w:t>Einige Angebote umfassen sowohl die bereitgestellte und in den Räumlichkeiten des Kunden verwendete Software</w:t>
      </w:r>
      <w:r w:rsidR="00A634DA">
        <w:rPr>
          <w:snapToGrid w:val="0"/>
          <w:lang w:val="de-DE"/>
        </w:rPr>
        <w:t> </w:t>
      </w:r>
      <w:r w:rsidRPr="009123CB">
        <w:rPr>
          <w:snapToGrid w:val="0"/>
          <w:lang w:val="de-DE"/>
        </w:rPr>
        <w:t>als</w:t>
      </w:r>
      <w:r w:rsidR="00A634DA">
        <w:rPr>
          <w:snapToGrid w:val="0"/>
          <w:lang w:val="de-DE"/>
        </w:rPr>
        <w:t> </w:t>
      </w:r>
      <w:r w:rsidRPr="009123CB">
        <w:rPr>
          <w:snapToGrid w:val="0"/>
          <w:lang w:val="de-DE"/>
        </w:rPr>
        <w:t xml:space="preserve">auch eine oder mehrere der zuvor in </w:t>
      </w:r>
      <w:hyperlink w:anchor="_Section_5_–" w:history="1">
        <w:r w:rsidRPr="009123CB">
          <w:rPr>
            <w:rStyle w:val="Hyperlink"/>
            <w:snapToGrid w:val="0"/>
            <w:lang w:val="de-DE"/>
          </w:rPr>
          <w:t>Abschnitt 5</w:t>
        </w:r>
      </w:hyperlink>
      <w:r w:rsidRPr="009123CB">
        <w:rPr>
          <w:snapToGrid w:val="0"/>
          <w:lang w:val="de-DE"/>
        </w:rPr>
        <w:t xml:space="preserve"> genannten Onlinedienste unter der gleichen Lizenz</w:t>
      </w:r>
      <w:r w:rsidR="006257A7">
        <w:rPr>
          <w:snapToGrid w:val="0"/>
          <w:lang w:val="de-DE"/>
        </w:rPr>
        <w:t xml:space="preserve">. </w:t>
      </w:r>
      <w:r w:rsidRPr="009123CB">
        <w:rPr>
          <w:snapToGrid w:val="0"/>
          <w:lang w:val="de-DE"/>
        </w:rPr>
        <w:t>Beispielsweise</w:t>
      </w:r>
      <w:r w:rsidRPr="009123CB">
        <w:rPr>
          <w:rFonts w:cs="Tahoma"/>
          <w:szCs w:val="20"/>
          <w:lang w:val="de-DE"/>
        </w:rPr>
        <w:t xml:space="preserve"> Exchange Online-Archivierung für Exchange Server, Vermeidung von Datenverlusten oder Exchange Online Protection – verfügbar im Rahmen ihrer Enterprise CAL Suite – oder Exchange Enterprise CAL mit Diensten 2013</w:t>
      </w:r>
      <w:r w:rsidR="006257A7">
        <w:rPr>
          <w:rFonts w:cs="Tahoma"/>
          <w:szCs w:val="20"/>
          <w:lang w:val="de-DE"/>
        </w:rPr>
        <w:t xml:space="preserve">. </w:t>
      </w:r>
      <w:r w:rsidRPr="009123CB">
        <w:rPr>
          <w:rFonts w:cs="Tahoma"/>
          <w:szCs w:val="20"/>
          <w:lang w:val="de-DE"/>
        </w:rPr>
        <w:t>Einige dieser Onlinedienste sind außerdem als eigenständige Abonnement-Angebote zur Ergänzung der Vor-Ort-Software verfügbar</w:t>
      </w:r>
      <w:r w:rsidR="006257A7">
        <w:rPr>
          <w:rFonts w:cs="Tahoma"/>
          <w:szCs w:val="20"/>
          <w:lang w:val="de-DE"/>
        </w:rPr>
        <w:t xml:space="preserve">. </w:t>
      </w:r>
      <w:r w:rsidRPr="009123CB">
        <w:rPr>
          <w:rFonts w:cs="Tahoma"/>
          <w:szCs w:val="20"/>
          <w:lang w:val="de-DE"/>
        </w:rPr>
        <w:t xml:space="preserve">Die nachfolgenden Ergänzenden Bestimmungen („Ergänzende Bestimmungen“) </w:t>
      </w:r>
      <w:r w:rsidRPr="009123CB">
        <w:rPr>
          <w:snapToGrid w:val="0"/>
          <w:lang w:val="de-DE"/>
        </w:rPr>
        <w:t>gelten für den Erwerb und die Nutzung der Onlinedienste durch die Kunden</w:t>
      </w:r>
      <w:r w:rsidR="006257A7">
        <w:rPr>
          <w:snapToGrid w:val="0"/>
          <w:lang w:val="de-DE"/>
        </w:rPr>
        <w:t xml:space="preserve">. </w:t>
      </w:r>
    </w:p>
    <w:p w:rsidR="00C7319A" w:rsidRPr="009123CB" w:rsidRDefault="00C7319A" w:rsidP="00C7319A">
      <w:pPr>
        <w:keepNext/>
        <w:spacing w:before="120" w:after="60"/>
        <w:ind w:left="720"/>
        <w:outlineLvl w:val="0"/>
        <w:rPr>
          <w:lang w:val="de-DE"/>
        </w:rPr>
      </w:pPr>
      <w:r w:rsidRPr="009123CB">
        <w:rPr>
          <w:rFonts w:cs="Tahoma"/>
          <w:b/>
          <w:bCs/>
          <w:iCs/>
          <w:snapToGrid w:val="0"/>
          <w:szCs w:val="18"/>
          <w:lang w:val="de-DE"/>
        </w:rPr>
        <w:t>Definitionen</w:t>
      </w:r>
      <w:r w:rsidR="006257A7">
        <w:rPr>
          <w:rFonts w:cs="Tahoma"/>
          <w:b/>
          <w:bCs/>
          <w:iCs/>
          <w:snapToGrid w:val="0"/>
          <w:szCs w:val="18"/>
          <w:lang w:val="de-DE"/>
        </w:rPr>
        <w:t xml:space="preserve">. </w:t>
      </w:r>
    </w:p>
    <w:p w:rsidR="00C7319A" w:rsidRPr="009123CB" w:rsidRDefault="00C7319A" w:rsidP="00C7319A">
      <w:pPr>
        <w:ind w:left="720"/>
        <w:jc w:val="both"/>
        <w:rPr>
          <w:lang w:val="de-DE"/>
        </w:rPr>
      </w:pPr>
      <w:r w:rsidRPr="009123CB">
        <w:rPr>
          <w:rFonts w:cs="Tahoma"/>
          <w:snapToGrid w:val="0"/>
          <w:color w:val="000000"/>
          <w:szCs w:val="18"/>
          <w:lang w:val="de-DE"/>
        </w:rPr>
        <w:t>„Kundendaten“ sind alle Daten, einschließlich sämtlicher Text-, Ton-, Software- oder Bilddateien, die Microsoft vom oder im Namen des Kunden durch die Nutzung der Onlinedienste durch den Kunden bereitgestellt werden</w:t>
      </w:r>
      <w:r w:rsidR="006257A7">
        <w:rPr>
          <w:rFonts w:cs="Tahoma"/>
          <w:snapToGrid w:val="0"/>
          <w:color w:val="000000"/>
          <w:szCs w:val="18"/>
          <w:lang w:val="de-DE"/>
        </w:rPr>
        <w:t xml:space="preserve">. </w:t>
      </w:r>
    </w:p>
    <w:p w:rsidR="00C7319A" w:rsidRPr="009123CB" w:rsidRDefault="00C7319A" w:rsidP="007E3512">
      <w:pPr>
        <w:spacing w:before="80"/>
        <w:ind w:left="720"/>
        <w:jc w:val="both"/>
        <w:rPr>
          <w:lang w:val="de-DE"/>
        </w:rPr>
      </w:pPr>
      <w:r w:rsidRPr="009123CB">
        <w:rPr>
          <w:rFonts w:cs="Tahoma"/>
          <w:snapToGrid w:val="0"/>
          <w:color w:val="000000"/>
          <w:szCs w:val="18"/>
          <w:lang w:val="de-DE"/>
        </w:rPr>
        <w:t>„Vereinbarung zum Servicelevel“ ist das Dokument, in dem die Standards aufgeführt sind, zu deren</w:t>
      </w:r>
      <w:r w:rsidR="00A634DA">
        <w:rPr>
          <w:rFonts w:cs="Tahoma"/>
          <w:snapToGrid w:val="0"/>
          <w:color w:val="000000"/>
          <w:szCs w:val="18"/>
          <w:lang w:val="de-DE"/>
        </w:rPr>
        <w:t> </w:t>
      </w:r>
      <w:r w:rsidRPr="009123CB">
        <w:rPr>
          <w:rFonts w:cs="Tahoma"/>
          <w:snapToGrid w:val="0"/>
          <w:color w:val="000000"/>
          <w:szCs w:val="18"/>
          <w:lang w:val="de-DE"/>
        </w:rPr>
        <w:t>Einhaltung sich Microsoft verpflichtet und nach denen Microsoft das Servicelevel für einen Onlinedienst misst</w:t>
      </w:r>
      <w:r w:rsidR="006257A7">
        <w:rPr>
          <w:rFonts w:cs="Tahoma"/>
          <w:snapToGrid w:val="0"/>
          <w:color w:val="000000"/>
          <w:szCs w:val="18"/>
          <w:lang w:val="de-DE"/>
        </w:rPr>
        <w:t xml:space="preserve">. </w:t>
      </w:r>
    </w:p>
    <w:p w:rsidR="00C7319A" w:rsidRPr="009123CB" w:rsidRDefault="00C7319A" w:rsidP="00C7319A">
      <w:pPr>
        <w:keepNext/>
        <w:spacing w:before="120" w:after="60"/>
        <w:ind w:left="720"/>
        <w:outlineLvl w:val="0"/>
        <w:rPr>
          <w:lang w:val="de-DE"/>
        </w:rPr>
      </w:pPr>
      <w:r w:rsidRPr="009123CB">
        <w:rPr>
          <w:rFonts w:cs="Tahoma"/>
          <w:b/>
          <w:bCs/>
          <w:iCs/>
          <w:snapToGrid w:val="0"/>
          <w:szCs w:val="18"/>
          <w:lang w:val="de-DE"/>
        </w:rPr>
        <w:t>Anwendbarkeit der Ergänzenden Bestimmungen</w:t>
      </w:r>
      <w:r w:rsidR="006257A7">
        <w:rPr>
          <w:rFonts w:cs="Tahoma"/>
          <w:b/>
          <w:bCs/>
          <w:iCs/>
          <w:snapToGrid w:val="0"/>
          <w:szCs w:val="18"/>
          <w:lang w:val="de-DE"/>
        </w:rPr>
        <w:t xml:space="preserve">. </w:t>
      </w:r>
    </w:p>
    <w:p w:rsidR="00C7319A" w:rsidRPr="009123CB" w:rsidRDefault="00C7319A" w:rsidP="00C7319A">
      <w:pPr>
        <w:ind w:left="720"/>
        <w:jc w:val="both"/>
        <w:rPr>
          <w:lang w:val="de-DE"/>
        </w:rPr>
      </w:pPr>
      <w:r w:rsidRPr="009123CB">
        <w:rPr>
          <w:rFonts w:cs="Tahoma"/>
          <w:snapToGrid w:val="0"/>
          <w:color w:val="000000"/>
          <w:szCs w:val="18"/>
          <w:lang w:val="de-DE"/>
        </w:rPr>
        <w:t>Diese Ergänzenden Bestimmungen gelten nur für den Erwerb und die Nutzung von Onlinediensten und Services durch den Kunden</w:t>
      </w:r>
      <w:r w:rsidR="006257A7">
        <w:rPr>
          <w:rFonts w:cs="Tahoma"/>
          <w:snapToGrid w:val="0"/>
          <w:color w:val="000000"/>
          <w:szCs w:val="18"/>
          <w:lang w:val="de-DE"/>
        </w:rPr>
        <w:t xml:space="preserve">. </w:t>
      </w:r>
      <w:r w:rsidRPr="009123CB">
        <w:rPr>
          <w:rFonts w:cs="Tahoma"/>
          <w:snapToGrid w:val="0"/>
          <w:color w:val="000000"/>
          <w:szCs w:val="18"/>
          <w:lang w:val="de-DE"/>
        </w:rPr>
        <w:t>Im Falle eines Widerspruchs zwischen diesen Ergänzenden Bestimmungen und den Bestimmungen des Rahmenvertrages oder Vertrages, der durch ihre Bestimmungen nicht ausdrücklich geregelt ist, gelten diese Ergänzenden Bestimmungen</w:t>
      </w:r>
      <w:r w:rsidR="006257A7">
        <w:rPr>
          <w:rFonts w:cs="Tahoma"/>
          <w:snapToGrid w:val="0"/>
          <w:color w:val="000000"/>
          <w:szCs w:val="18"/>
          <w:lang w:val="de-DE"/>
        </w:rPr>
        <w:t xml:space="preserve">. </w:t>
      </w:r>
    </w:p>
    <w:p w:rsidR="00C7319A" w:rsidRPr="009123CB" w:rsidRDefault="00C7319A" w:rsidP="00C7319A">
      <w:pPr>
        <w:keepNext/>
        <w:spacing w:before="120" w:after="60"/>
        <w:ind w:left="720"/>
        <w:outlineLvl w:val="0"/>
        <w:rPr>
          <w:lang w:val="de-DE"/>
        </w:rPr>
      </w:pPr>
      <w:r w:rsidRPr="009123CB">
        <w:rPr>
          <w:rFonts w:cs="Tahoma"/>
          <w:b/>
          <w:bCs/>
          <w:iCs/>
          <w:snapToGrid w:val="0"/>
          <w:szCs w:val="18"/>
          <w:lang w:val="de-DE"/>
        </w:rPr>
        <w:t>Beschränkte Gewährleistung für Onlinedienste</w:t>
      </w:r>
      <w:r w:rsidR="006257A7">
        <w:rPr>
          <w:rFonts w:cs="Tahoma"/>
          <w:b/>
          <w:bCs/>
          <w:iCs/>
          <w:snapToGrid w:val="0"/>
          <w:szCs w:val="18"/>
          <w:lang w:val="de-DE"/>
        </w:rPr>
        <w:t xml:space="preserve">. </w:t>
      </w:r>
    </w:p>
    <w:p w:rsidR="00C7319A" w:rsidRPr="009123CB" w:rsidRDefault="00C7319A" w:rsidP="00C7319A">
      <w:pPr>
        <w:ind w:left="720"/>
        <w:jc w:val="both"/>
        <w:rPr>
          <w:lang w:val="de-DE"/>
        </w:rPr>
      </w:pPr>
      <w:r w:rsidRPr="009123CB">
        <w:rPr>
          <w:rFonts w:cs="Tahoma"/>
          <w:snapToGrid w:val="0"/>
          <w:color w:val="000000"/>
          <w:szCs w:val="18"/>
          <w:lang w:val="de-DE"/>
        </w:rPr>
        <w:t>Microsoft gewährleistet, dass die Onlinedienste in Übereinstimmung mit der anwendbaren Vereinbarung zum Servicelevel funktionieren</w:t>
      </w:r>
      <w:r w:rsidR="006257A7">
        <w:rPr>
          <w:rFonts w:cs="Tahoma"/>
          <w:snapToGrid w:val="0"/>
          <w:color w:val="000000"/>
          <w:szCs w:val="18"/>
          <w:lang w:val="de-DE"/>
        </w:rPr>
        <w:t xml:space="preserve">. </w:t>
      </w:r>
      <w:r w:rsidRPr="009123CB">
        <w:rPr>
          <w:rFonts w:cs="Tahoma"/>
          <w:snapToGrid w:val="0"/>
          <w:color w:val="000000"/>
          <w:szCs w:val="18"/>
          <w:lang w:val="de-DE"/>
        </w:rPr>
        <w:t>Diese beschränkte Gewährleistung gilt für die Dauer der Nutzung der Onlinedienste durch den Kunden, vorbehaltlich der Mitteilungsanforderungen in der anwendbaren Vereinbarung zum Servicelevel</w:t>
      </w:r>
      <w:r w:rsidR="006257A7">
        <w:rPr>
          <w:rFonts w:cs="Tahoma"/>
          <w:snapToGrid w:val="0"/>
          <w:color w:val="000000"/>
          <w:szCs w:val="18"/>
          <w:lang w:val="de-DE"/>
        </w:rPr>
        <w:t xml:space="preserve">. </w:t>
      </w:r>
    </w:p>
    <w:p w:rsidR="00C7319A" w:rsidRPr="009123CB" w:rsidRDefault="00C7319A" w:rsidP="007E3512">
      <w:pPr>
        <w:spacing w:before="80"/>
        <w:ind w:left="720"/>
        <w:jc w:val="both"/>
        <w:rPr>
          <w:lang w:val="de-DE"/>
        </w:rPr>
      </w:pPr>
      <w:r w:rsidRPr="009123CB">
        <w:rPr>
          <w:rFonts w:cs="Tahoma"/>
          <w:snapToGrid w:val="0"/>
          <w:color w:val="000000"/>
          <w:szCs w:val="18"/>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6257A7">
        <w:rPr>
          <w:rFonts w:cs="Tahoma"/>
          <w:snapToGrid w:val="0"/>
          <w:color w:val="000000"/>
          <w:szCs w:val="18"/>
          <w:lang w:val="de-DE"/>
        </w:rPr>
        <w:t xml:space="preserve">. </w:t>
      </w:r>
      <w:r w:rsidRPr="009123CB">
        <w:rPr>
          <w:rFonts w:cs="Tahoma"/>
          <w:snapToGrid w:val="0"/>
          <w:color w:val="000000"/>
          <w:szCs w:val="18"/>
          <w:lang w:val="de-DE"/>
        </w:rPr>
        <w:t>Dies sind die einzigen Ansprüche des Kunden bei Verletzung der beschränkten Gewährleistung, es sei denn, das anwendbare Recht schreibt andere Ansprüche vor</w:t>
      </w:r>
      <w:r w:rsidR="006257A7">
        <w:rPr>
          <w:rFonts w:cs="Tahoma"/>
          <w:snapToGrid w:val="0"/>
          <w:color w:val="000000"/>
          <w:szCs w:val="18"/>
          <w:lang w:val="de-DE"/>
        </w:rPr>
        <w:t xml:space="preserve">. </w:t>
      </w:r>
    </w:p>
    <w:p w:rsidR="00C7319A" w:rsidRPr="009123CB" w:rsidRDefault="00C7319A" w:rsidP="00C7319A">
      <w:pPr>
        <w:spacing w:before="120"/>
        <w:ind w:left="720"/>
        <w:jc w:val="both"/>
        <w:rPr>
          <w:lang w:val="de-DE"/>
        </w:rPr>
      </w:pPr>
      <w:r w:rsidRPr="009123CB">
        <w:rPr>
          <w:rFonts w:cs="Tahoma"/>
          <w:snapToGrid w:val="0"/>
          <w:color w:val="000000"/>
          <w:szCs w:val="18"/>
          <w:lang w:val="de-DE"/>
        </w:rPr>
        <w:t>Diese beschränkte Gewährleistung unterliegt den folgenden Einschränkungen:</w:t>
      </w:r>
    </w:p>
    <w:p w:rsidR="00C7319A" w:rsidRPr="00A634DA" w:rsidRDefault="00C7319A" w:rsidP="007E3512">
      <w:pPr>
        <w:numPr>
          <w:ilvl w:val="0"/>
          <w:numId w:val="124"/>
        </w:numPr>
        <w:spacing w:before="120" w:line="228" w:lineRule="auto"/>
        <w:contextualSpacing/>
        <w:jc w:val="both"/>
        <w:rPr>
          <w:rFonts w:cs="Tahoma"/>
          <w:snapToGrid w:val="0"/>
          <w:color w:val="000000"/>
          <w:szCs w:val="18"/>
          <w:lang w:val="de-DE"/>
        </w:rPr>
      </w:pPr>
      <w:r w:rsidRPr="009123CB">
        <w:rPr>
          <w:rFonts w:cs="Tahoma"/>
          <w:snapToGrid w:val="0"/>
          <w:color w:val="000000"/>
          <w:szCs w:val="18"/>
          <w:lang w:val="de-DE"/>
        </w:rPr>
        <w:t>Implied Warranties oder Implied Guarantees (konkludente Gewährleistungen oder Garantien), deren Ausschluss rechtlich nicht zulässig ist, gelten für ein Jahr ab Beginn der Laufzeit der beschränkten Gewährleistung,</w:t>
      </w:r>
    </w:p>
    <w:p w:rsidR="00C7319A" w:rsidRPr="00A634DA" w:rsidRDefault="00FF301E" w:rsidP="007E3512">
      <w:pPr>
        <w:numPr>
          <w:ilvl w:val="0"/>
          <w:numId w:val="124"/>
        </w:numPr>
        <w:spacing w:before="120" w:line="228" w:lineRule="auto"/>
        <w:contextualSpacing/>
        <w:jc w:val="both"/>
        <w:rPr>
          <w:rFonts w:cs="Tahoma"/>
          <w:snapToGrid w:val="0"/>
          <w:color w:val="000000"/>
          <w:szCs w:val="18"/>
          <w:lang w:val="de-DE"/>
        </w:rPr>
      </w:pPr>
      <w:r>
        <w:rPr>
          <w:rFonts w:cs="Tahoma"/>
          <w:snapToGrid w:val="0"/>
          <w:color w:val="000000"/>
          <w:szCs w:val="18"/>
          <w:lang w:val="de-DE"/>
        </w:rPr>
        <w:t>D</w:t>
      </w:r>
      <w:r w:rsidR="00C7319A" w:rsidRPr="009123CB">
        <w:rPr>
          <w:rFonts w:cs="Tahoma"/>
          <w:snapToGrid w:val="0"/>
          <w:color w:val="000000"/>
          <w:szCs w:val="18"/>
          <w:lang w:val="de-DE"/>
        </w:rPr>
        <w:t>ie beschränkte Gewährleistung gilt nicht bei Problemen, die auf einen Unfall, Missbrauch oder Verwendung in einer Weise zurückzuführen sind, die mit diesem Volumenlizenzvertrag des Kunden oder den Produktbenutzungsrechten nicht im Einklang steht oder die durch Ereignisse außerhalb des angemessenen Einflussbereichs von Microsoft verursacht werden,</w:t>
      </w:r>
    </w:p>
    <w:p w:rsidR="00C7319A" w:rsidRPr="00A634DA" w:rsidRDefault="00FF301E" w:rsidP="007E3512">
      <w:pPr>
        <w:numPr>
          <w:ilvl w:val="0"/>
          <w:numId w:val="124"/>
        </w:numPr>
        <w:spacing w:before="120" w:line="228" w:lineRule="auto"/>
        <w:contextualSpacing/>
        <w:jc w:val="both"/>
        <w:rPr>
          <w:rFonts w:cs="Tahoma"/>
          <w:snapToGrid w:val="0"/>
          <w:color w:val="000000"/>
          <w:szCs w:val="18"/>
          <w:lang w:val="de-DE"/>
        </w:rPr>
      </w:pPr>
      <w:r>
        <w:rPr>
          <w:rFonts w:cs="Tahoma"/>
          <w:snapToGrid w:val="0"/>
          <w:color w:val="000000"/>
          <w:szCs w:val="18"/>
          <w:lang w:val="de-DE"/>
        </w:rPr>
        <w:t>D</w:t>
      </w:r>
      <w:r w:rsidR="00C7319A" w:rsidRPr="009123CB">
        <w:rPr>
          <w:rFonts w:cs="Tahoma"/>
          <w:snapToGrid w:val="0"/>
          <w:color w:val="000000"/>
          <w:szCs w:val="18"/>
          <w:lang w:val="de-DE"/>
        </w:rPr>
        <w:t>ie beschränkte Gewährleistung gilt nicht für kostenlose, Test-, Pre-Release- oder Beta-Versionen der Onlinedienste, und</w:t>
      </w:r>
    </w:p>
    <w:p w:rsidR="00C7319A" w:rsidRPr="009123CB" w:rsidRDefault="00FF301E" w:rsidP="007E3512">
      <w:pPr>
        <w:numPr>
          <w:ilvl w:val="0"/>
          <w:numId w:val="124"/>
        </w:numPr>
        <w:spacing w:before="120" w:line="228" w:lineRule="auto"/>
        <w:contextualSpacing/>
        <w:jc w:val="both"/>
        <w:rPr>
          <w:lang w:val="de-DE"/>
        </w:rPr>
      </w:pPr>
      <w:r>
        <w:rPr>
          <w:rFonts w:cs="Tahoma"/>
          <w:snapToGrid w:val="0"/>
          <w:color w:val="000000"/>
          <w:szCs w:val="18"/>
          <w:lang w:val="de-DE"/>
        </w:rPr>
        <w:t>D</w:t>
      </w:r>
      <w:r w:rsidR="00C7319A" w:rsidRPr="009123CB">
        <w:rPr>
          <w:rFonts w:cs="Tahoma"/>
          <w:snapToGrid w:val="0"/>
          <w:color w:val="000000"/>
          <w:szCs w:val="18"/>
          <w:lang w:val="de-DE"/>
        </w:rPr>
        <w:t>ie beschränkte Gewährleistung gilt nicht für Probleme, die durch Nichteinhaltung der Mindestsystemanforderungen verursacht werden</w:t>
      </w:r>
      <w:r w:rsidR="006257A7">
        <w:rPr>
          <w:rFonts w:cs="Tahoma"/>
          <w:snapToGrid w:val="0"/>
          <w:color w:val="000000"/>
          <w:szCs w:val="18"/>
          <w:lang w:val="de-DE"/>
        </w:rPr>
        <w:t xml:space="preserve">. </w:t>
      </w:r>
    </w:p>
    <w:p w:rsidR="00C7319A" w:rsidRPr="009123CB" w:rsidRDefault="00C7319A" w:rsidP="00C7319A">
      <w:pPr>
        <w:spacing w:before="120"/>
        <w:ind w:left="720"/>
        <w:jc w:val="both"/>
        <w:rPr>
          <w:lang w:val="de-DE"/>
        </w:rPr>
      </w:pPr>
      <w:r w:rsidRPr="009123CB">
        <w:rPr>
          <w:rFonts w:cs="Tahoma"/>
          <w:b/>
          <w:bCs/>
          <w:snapToGrid w:val="0"/>
          <w:color w:val="000000"/>
          <w:szCs w:val="18"/>
          <w:lang w:val="de-DE"/>
        </w:rPr>
        <w:t>AUSSER DIESER BESCHRÄNKTEN GEWÄHRLEISTUNG ÜBERNIMMT MICROSOFT KEINE ANDEREN AUSDRÜCKLICHEN ODER KONKLUDENTEN GEWÄHRLEISTUNGEN ODER GARANTIEN</w:t>
      </w:r>
      <w:r w:rsidR="006257A7">
        <w:rPr>
          <w:rFonts w:cs="Tahoma"/>
          <w:b/>
          <w:bCs/>
          <w:snapToGrid w:val="0"/>
          <w:color w:val="000000"/>
          <w:szCs w:val="18"/>
          <w:lang w:val="de-DE"/>
        </w:rPr>
        <w:t xml:space="preserve">. </w:t>
      </w:r>
      <w:r w:rsidRPr="009123CB">
        <w:rPr>
          <w:rFonts w:cs="Tahoma"/>
          <w:b/>
          <w:bCs/>
          <w:snapToGrid w:val="0"/>
          <w:color w:val="000000"/>
          <w:szCs w:val="18"/>
          <w:lang w:val="de-DE"/>
        </w:rPr>
        <w:t>MICROSOFT SCHLIESST JEGLICHE KONKLUDENTEN GEWÄHRLEISTUNGEN ODER GARANTIEN AUS, EINSCHLIESSLICH GEWÄHRLEISTUNGEN DER HANDELSÜBLICHKEIT, EIGNUNG FÜR EINEN BESTIMMTEN ZWECK, ZUFRIEDENSTELLENDEN QUALITÄT, DES EIGENTUMS ODER DER NICHTVERLETZUNG VON RECHTEN DRITTER</w:t>
      </w:r>
      <w:r w:rsidR="006257A7">
        <w:rPr>
          <w:rFonts w:cs="Tahoma"/>
          <w:b/>
          <w:bCs/>
          <w:snapToGrid w:val="0"/>
          <w:color w:val="000000"/>
          <w:szCs w:val="18"/>
          <w:lang w:val="de-DE"/>
        </w:rPr>
        <w:t xml:space="preserve">. </w:t>
      </w:r>
      <w:r w:rsidRPr="009123CB">
        <w:rPr>
          <w:rFonts w:cs="Tahoma"/>
          <w:b/>
          <w:bCs/>
          <w:snapToGrid w:val="0"/>
          <w:color w:val="000000"/>
          <w:szCs w:val="18"/>
          <w:lang w:val="de-DE"/>
        </w:rPr>
        <w:t>DIESE AUSSCHLÜSSE GELTEN, WENN SIE NICHT GEMÄSS ANWENDBAREM RECHT UNZULÄSSIG SIND</w:t>
      </w:r>
      <w:r w:rsidR="006257A7">
        <w:rPr>
          <w:rFonts w:cs="Tahoma"/>
          <w:b/>
          <w:bCs/>
          <w:snapToGrid w:val="0"/>
          <w:color w:val="000000"/>
          <w:szCs w:val="18"/>
          <w:lang w:val="de-DE"/>
        </w:rPr>
        <w:t xml:space="preserve">. </w:t>
      </w:r>
    </w:p>
    <w:p w:rsidR="00C7319A" w:rsidRPr="0062435A" w:rsidRDefault="00C7319A" w:rsidP="00C7319A">
      <w:pPr>
        <w:keepNext/>
        <w:spacing w:before="120" w:after="60"/>
        <w:ind w:left="720"/>
        <w:outlineLvl w:val="0"/>
      </w:pPr>
      <w:r>
        <w:rPr>
          <w:rFonts w:cs="Tahoma"/>
          <w:b/>
          <w:bCs/>
          <w:iCs/>
          <w:snapToGrid w:val="0"/>
          <w:szCs w:val="18"/>
        </w:rPr>
        <w:t>Datenschutz und Sicherheit</w:t>
      </w:r>
      <w:r w:rsidR="006257A7">
        <w:rPr>
          <w:rFonts w:cs="Tahoma"/>
          <w:b/>
          <w:bCs/>
          <w:iCs/>
          <w:snapToGrid w:val="0"/>
          <w:szCs w:val="18"/>
        </w:rPr>
        <w:t xml:space="preserve">. </w:t>
      </w:r>
    </w:p>
    <w:p w:rsidR="00C7319A" w:rsidRPr="009123CB" w:rsidRDefault="00C7319A" w:rsidP="00C7319A">
      <w:pPr>
        <w:numPr>
          <w:ilvl w:val="1"/>
          <w:numId w:val="129"/>
        </w:numPr>
        <w:spacing w:before="120"/>
        <w:ind w:left="1080"/>
        <w:contextualSpacing/>
        <w:jc w:val="both"/>
        <w:rPr>
          <w:lang w:val="de-DE"/>
        </w:rPr>
      </w:pPr>
      <w:r w:rsidRPr="009123CB">
        <w:rPr>
          <w:rFonts w:cs="Tahoma"/>
          <w:snapToGrid w:val="0"/>
          <w:color w:val="000000"/>
          <w:szCs w:val="18"/>
          <w:lang w:val="de-DE"/>
        </w:rPr>
        <w:t>Microsoft und der Kunde werden jeweils sämtliche anwendbaren Gesetze und Regelungen einhalten (einschließlich der geltenden Gesetze zur Benachrichtigung bei Sicherheitsverletzungen)</w:t>
      </w:r>
      <w:r w:rsidR="006257A7">
        <w:rPr>
          <w:rFonts w:cs="Tahoma"/>
          <w:snapToGrid w:val="0"/>
          <w:color w:val="000000"/>
          <w:szCs w:val="18"/>
          <w:lang w:val="de-DE"/>
        </w:rPr>
        <w:t xml:space="preserve">. </w:t>
      </w:r>
      <w:r w:rsidRPr="009123CB">
        <w:rPr>
          <w:rFonts w:cs="Tahoma"/>
          <w:snapToGrid w:val="0"/>
          <w:color w:val="000000"/>
          <w:szCs w:val="18"/>
          <w:lang w:val="de-DE"/>
        </w:rPr>
        <w:t>Microsoft ist jedoch nicht für die Einhaltung von Gesetzen oder Regelungen verantwortlich, die für den Kunden oder seine Branche und nicht gleichzeitig allgemein für Serviceprovider im Bereich Informationstechnologie gelten</w:t>
      </w:r>
      <w:r w:rsidR="006257A7">
        <w:rPr>
          <w:rFonts w:cs="Tahoma"/>
          <w:snapToGrid w:val="0"/>
          <w:color w:val="000000"/>
          <w:szCs w:val="18"/>
          <w:lang w:val="de-DE"/>
        </w:rPr>
        <w:t xml:space="preserve">. </w:t>
      </w:r>
      <w:r w:rsidRPr="009123CB">
        <w:rPr>
          <w:rFonts w:cs="Tahoma"/>
          <w:snapToGrid w:val="0"/>
          <w:color w:val="000000"/>
          <w:szCs w:val="18"/>
          <w:lang w:val="de-DE"/>
        </w:rPr>
        <w:t>Der Kunde stimmt der Verarbeitung von persönlichen Informationen durch Microsoft und ihre Vertreter zur Förderung des Gegenstandes des Vertrages, einschließlich dieser Ergänzenden Bestimmungen, zu</w:t>
      </w:r>
      <w:r w:rsidR="006257A7">
        <w:rPr>
          <w:rFonts w:cs="Tahoma"/>
          <w:snapToGrid w:val="0"/>
          <w:color w:val="000000"/>
          <w:szCs w:val="18"/>
          <w:lang w:val="de-DE"/>
        </w:rPr>
        <w:t xml:space="preserve">. </w:t>
      </w:r>
    </w:p>
    <w:p w:rsidR="00C7319A" w:rsidRPr="009123CB" w:rsidRDefault="00C7319A" w:rsidP="00C7319A">
      <w:pPr>
        <w:numPr>
          <w:ilvl w:val="1"/>
          <w:numId w:val="129"/>
        </w:numPr>
        <w:spacing w:before="120"/>
        <w:ind w:left="1080"/>
        <w:contextualSpacing/>
        <w:jc w:val="both"/>
        <w:rPr>
          <w:lang w:val="de-DE"/>
        </w:rPr>
      </w:pPr>
      <w:r w:rsidRPr="009123CB">
        <w:rPr>
          <w:rFonts w:cs="Tahoma"/>
          <w:snapToGrid w:val="0"/>
          <w:color w:val="000000"/>
          <w:szCs w:val="18"/>
          <w:lang w:val="de-DE"/>
        </w:rPr>
        <w:t>Der Kunde ist berechtigt, Microsoft im Namen Dritter (einschließlich Kontaktpersonen, Handelspartner, Distributoren, Verwalter und Mitarbeiter des Kunden) persönliche Informationen im Zusammenhang mit der Nutzung der Onlinedienste oder im Rahmen des Vertrages bereitzustellen</w:t>
      </w:r>
      <w:r w:rsidR="006257A7">
        <w:rPr>
          <w:rFonts w:cs="Tahoma"/>
          <w:snapToGrid w:val="0"/>
          <w:color w:val="000000"/>
          <w:szCs w:val="18"/>
          <w:lang w:val="de-DE"/>
        </w:rPr>
        <w:t xml:space="preserve">. </w:t>
      </w:r>
      <w:r w:rsidRPr="009123CB">
        <w:rPr>
          <w:rFonts w:cs="Tahoma"/>
          <w:snapToGrid w:val="0"/>
          <w:color w:val="000000"/>
          <w:szCs w:val="18"/>
          <w:lang w:val="de-DE"/>
        </w:rPr>
        <w:t>Der Kunde holt alle erforderlichen Zustimmungen von Dritten nach den geltenden Privacy- und Datenschutzgesetzen ein, bevor er Microsoft persönliche Informationen zur Verfügung stellt</w:t>
      </w:r>
      <w:r w:rsidR="006257A7">
        <w:rPr>
          <w:rFonts w:cs="Tahoma"/>
          <w:snapToGrid w:val="0"/>
          <w:color w:val="000000"/>
          <w:szCs w:val="18"/>
          <w:lang w:val="de-DE"/>
        </w:rPr>
        <w:t xml:space="preserve">. </w:t>
      </w:r>
    </w:p>
    <w:p w:rsidR="00C7319A" w:rsidRPr="009123CB" w:rsidRDefault="00C7319A" w:rsidP="006640C0">
      <w:pPr>
        <w:numPr>
          <w:ilvl w:val="1"/>
          <w:numId w:val="129"/>
        </w:numPr>
        <w:spacing w:before="120"/>
        <w:ind w:left="1080"/>
        <w:contextualSpacing/>
        <w:jc w:val="both"/>
        <w:rPr>
          <w:lang w:val="de-DE"/>
        </w:rPr>
      </w:pPr>
      <w:r w:rsidRPr="009123CB">
        <w:rPr>
          <w:rFonts w:cs="Tahoma"/>
          <w:snapToGrid w:val="0"/>
          <w:color w:val="000000"/>
          <w:szCs w:val="18"/>
          <w:lang w:val="de-DE"/>
        </w:rPr>
        <w:t>Die vom Kunden in Verbindung mit diesem Vertrag oder der Nutzung der Onlinedienste bereitgestellten</w:t>
      </w:r>
      <w:r w:rsidR="006640C0">
        <w:rPr>
          <w:rFonts w:cs="Tahoma"/>
          <w:snapToGrid w:val="0"/>
          <w:color w:val="000000"/>
          <w:szCs w:val="18"/>
          <w:lang w:val="de-DE"/>
        </w:rPr>
        <w:t> </w:t>
      </w:r>
      <w:r w:rsidRPr="009123CB">
        <w:rPr>
          <w:rFonts w:cs="Tahoma"/>
          <w:snapToGrid w:val="0"/>
          <w:color w:val="000000"/>
          <w:szCs w:val="18"/>
          <w:lang w:val="de-DE"/>
        </w:rPr>
        <w:t xml:space="preserve">persönlichen Informationen werden gemäß der unter </w:t>
      </w:r>
      <w:hyperlink r:id="rId35" w:history="1">
        <w:r w:rsidR="006640C0" w:rsidRPr="006C7619">
          <w:rPr>
            <w:rStyle w:val="Hyperlink"/>
            <w:rFonts w:cs="Tahoma"/>
            <w:snapToGrid w:val="0"/>
            <w:szCs w:val="18"/>
            <w:lang w:val="de-DE"/>
          </w:rPr>
          <w:t>https://www.microsoft.com/licensing/servicecenter</w:t>
        </w:r>
      </w:hyperlink>
      <w:r w:rsidRPr="009123CB">
        <w:rPr>
          <w:rFonts w:cs="Tahoma"/>
          <w:snapToGrid w:val="0"/>
          <w:color w:val="000000"/>
          <w:szCs w:val="18"/>
          <w:lang w:val="de-DE"/>
        </w:rPr>
        <w:t xml:space="preserve"> (siehe Fußzeile) verfügbaren Datenschutzerklärung verarbeitet, jedoch mit der Ausnahme, dass produktspezifische Datenschutzerklärungen und zusätzliche Datenschutz- und Sicherheitsdetails im Zusammenhang mit spezifischen Onlinediensten in den Produktbenutzungsrechten enthalten sind</w:t>
      </w:r>
      <w:r w:rsidR="006257A7">
        <w:rPr>
          <w:rFonts w:cs="Tahoma"/>
          <w:snapToGrid w:val="0"/>
          <w:color w:val="000000"/>
          <w:szCs w:val="18"/>
          <w:lang w:val="de-DE"/>
        </w:rPr>
        <w:t xml:space="preserve">. </w:t>
      </w:r>
      <w:r w:rsidRPr="009123CB">
        <w:rPr>
          <w:rFonts w:cs="Tahoma"/>
          <w:snapToGrid w:val="0"/>
          <w:color w:val="000000"/>
          <w:szCs w:val="18"/>
          <w:lang w:val="de-DE"/>
        </w:rPr>
        <w:t>Durch Onlinedienste oder Services erfasste persönliche Daten können in die USA oder in jedes andere Land, in dem Microsoft oder deren Serviceprovider Einrichtungen haben, übertragen, dort gespeichert und verarbeitet werden</w:t>
      </w:r>
      <w:r w:rsidR="006257A7">
        <w:rPr>
          <w:rFonts w:cs="Tahoma"/>
          <w:snapToGrid w:val="0"/>
          <w:color w:val="000000"/>
          <w:szCs w:val="18"/>
          <w:lang w:val="de-DE"/>
        </w:rPr>
        <w:t xml:space="preserve">. </w:t>
      </w:r>
      <w:r w:rsidRPr="009123CB">
        <w:rPr>
          <w:rFonts w:cs="Tahoma"/>
          <w:snapToGrid w:val="0"/>
          <w:color w:val="000000"/>
          <w:szCs w:val="18"/>
          <w:lang w:val="de-DE"/>
        </w:rPr>
        <w:t>Durch Verwendung der Onlinedienste stimmt der Kunde den zuvor genannten Bestimmungen zu</w:t>
      </w:r>
      <w:r w:rsidR="006257A7">
        <w:rPr>
          <w:rFonts w:cs="Tahoma"/>
          <w:snapToGrid w:val="0"/>
          <w:color w:val="000000"/>
          <w:szCs w:val="18"/>
          <w:lang w:val="de-DE"/>
        </w:rPr>
        <w:t xml:space="preserve">. </w:t>
      </w:r>
      <w:r w:rsidRPr="009123CB">
        <w:rPr>
          <w:rFonts w:cs="Tahoma"/>
          <w:snapToGrid w:val="0"/>
          <w:color w:val="000000"/>
          <w:szCs w:val="18"/>
          <w:lang w:val="de-DE"/>
        </w:rPr>
        <w:t>Microsoft hält die Safe-Harbor-Abkommen der EU und der Schweiz ein, wie es vom US-Handelsministerium bezüglich der Erhebung, Nutzung und Aufbewahrung von Daten aus der Europäischen Union, dem Europäischen Wirtschaftsraum und der Schweiz bestimmt wurde</w:t>
      </w:r>
      <w:r w:rsidR="006257A7">
        <w:rPr>
          <w:rFonts w:cs="Tahoma"/>
          <w:snapToGrid w:val="0"/>
          <w:color w:val="000000"/>
          <w:szCs w:val="18"/>
          <w:lang w:val="de-DE"/>
        </w:rPr>
        <w:t xml:space="preserve">. </w:t>
      </w:r>
    </w:p>
    <w:p w:rsidR="00C7319A" w:rsidRPr="009123CB" w:rsidRDefault="00C7319A" w:rsidP="00C7319A">
      <w:pPr>
        <w:keepNext/>
        <w:spacing w:before="120" w:after="60"/>
        <w:ind w:left="720"/>
        <w:outlineLvl w:val="0"/>
        <w:rPr>
          <w:lang w:val="de-DE"/>
        </w:rPr>
      </w:pPr>
      <w:r w:rsidRPr="009123CB">
        <w:rPr>
          <w:rFonts w:cs="Tahoma"/>
          <w:b/>
          <w:bCs/>
          <w:iCs/>
          <w:snapToGrid w:val="0"/>
          <w:szCs w:val="18"/>
          <w:lang w:val="de-DE"/>
        </w:rPr>
        <w:t>Schutzvereinbarung des Kunden</w:t>
      </w:r>
      <w:r w:rsidR="006257A7">
        <w:rPr>
          <w:rFonts w:cs="Tahoma"/>
          <w:b/>
          <w:bCs/>
          <w:iCs/>
          <w:snapToGrid w:val="0"/>
          <w:szCs w:val="18"/>
          <w:lang w:val="de-DE"/>
        </w:rPr>
        <w:t xml:space="preserve">. </w:t>
      </w:r>
    </w:p>
    <w:p w:rsidR="00C7319A" w:rsidRPr="009123CB" w:rsidRDefault="00C7319A" w:rsidP="00C7319A">
      <w:pPr>
        <w:ind w:left="720"/>
        <w:jc w:val="both"/>
        <w:rPr>
          <w:lang w:val="de-DE"/>
        </w:rPr>
      </w:pPr>
      <w:r w:rsidRPr="009123CB">
        <w:rPr>
          <w:rFonts w:cs="Tahoma"/>
          <w:snapToGrid w:val="0"/>
          <w:color w:val="000000"/>
          <w:szCs w:val="18"/>
          <w:lang w:val="de-DE"/>
        </w:rPr>
        <w:t>Der Kunde verteidigt Microsoft gegen jegliche Ansprüche, die von nicht verbundenen Dritten geltend gemacht werden und die:</w:t>
      </w:r>
    </w:p>
    <w:p w:rsidR="00C7319A" w:rsidRPr="009123CB" w:rsidRDefault="00C7319A" w:rsidP="00C7319A">
      <w:pPr>
        <w:numPr>
          <w:ilvl w:val="0"/>
          <w:numId w:val="130"/>
        </w:numPr>
        <w:spacing w:before="120"/>
        <w:ind w:left="1260" w:hanging="540"/>
        <w:contextualSpacing/>
        <w:jc w:val="both"/>
        <w:rPr>
          <w:lang w:val="de-DE"/>
        </w:rPr>
      </w:pPr>
      <w:r w:rsidRPr="009123CB">
        <w:rPr>
          <w:rFonts w:cs="Tahoma"/>
          <w:snapToGrid w:val="0"/>
          <w:color w:val="000000"/>
          <w:szCs w:val="18"/>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rsidR="00C7319A" w:rsidRPr="009123CB" w:rsidRDefault="00C7319A" w:rsidP="00C7319A">
      <w:pPr>
        <w:numPr>
          <w:ilvl w:val="0"/>
          <w:numId w:val="130"/>
        </w:numPr>
        <w:spacing w:before="120"/>
        <w:ind w:left="1260" w:hanging="540"/>
        <w:contextualSpacing/>
        <w:jc w:val="both"/>
        <w:rPr>
          <w:lang w:val="de-DE"/>
        </w:rPr>
      </w:pPr>
      <w:r w:rsidRPr="009123CB">
        <w:rPr>
          <w:rFonts w:cs="Tahoma"/>
          <w:snapToGrid w:val="0"/>
          <w:color w:val="000000"/>
          <w:szCs w:val="18"/>
          <w:lang w:val="de-DE"/>
        </w:rPr>
        <w:t>durch die Verletzung der Bestimmungen Acceptable Use Policy entstehen, die in den Produktbenutzungsrechten beschrieben ist</w:t>
      </w:r>
      <w:r w:rsidR="006257A7">
        <w:rPr>
          <w:rFonts w:cs="Tahoma"/>
          <w:snapToGrid w:val="0"/>
          <w:color w:val="000000"/>
          <w:szCs w:val="18"/>
          <w:lang w:val="de-DE"/>
        </w:rPr>
        <w:t xml:space="preserve">. </w:t>
      </w:r>
    </w:p>
    <w:p w:rsidR="00C7319A" w:rsidRPr="009123CB" w:rsidRDefault="00C7319A" w:rsidP="00C7319A">
      <w:pPr>
        <w:spacing w:before="120"/>
        <w:ind w:left="720"/>
        <w:jc w:val="both"/>
        <w:rPr>
          <w:lang w:val="de-DE"/>
        </w:rPr>
      </w:pPr>
      <w:r w:rsidRPr="009123CB">
        <w:rPr>
          <w:rFonts w:cs="Tahoma"/>
          <w:snapToGrid w:val="0"/>
          <w:color w:val="000000"/>
          <w:szCs w:val="18"/>
          <w:lang w:val="de-DE"/>
        </w:rPr>
        <w:t>Der Kunde muss außerdem die Summe eines hieraus resultierenden rechtskräftigen Urteils gegen Microsoft bezahlen (oder eines Vergleichs, dem der Kunde zustimmt)</w:t>
      </w:r>
      <w:r w:rsidR="006257A7">
        <w:rPr>
          <w:rFonts w:cs="Tahoma"/>
          <w:snapToGrid w:val="0"/>
          <w:color w:val="000000"/>
          <w:szCs w:val="18"/>
          <w:lang w:val="de-DE"/>
        </w:rPr>
        <w:t xml:space="preserve">. </w:t>
      </w:r>
      <w:r w:rsidRPr="009123CB">
        <w:rPr>
          <w:rFonts w:cs="Tahoma"/>
          <w:snapToGrid w:val="0"/>
          <w:color w:val="000000"/>
          <w:szCs w:val="18"/>
          <w:lang w:val="de-DE"/>
        </w:rPr>
        <w:t>Diese Ziffer bestimmt den ausschließlichen Abhilfeanspruch von Microsoft in Bezug auf diese Ansprüche</w:t>
      </w:r>
      <w:r w:rsidR="006257A7">
        <w:rPr>
          <w:rFonts w:cs="Tahoma"/>
          <w:snapToGrid w:val="0"/>
          <w:color w:val="000000"/>
          <w:szCs w:val="18"/>
          <w:lang w:val="de-DE"/>
        </w:rPr>
        <w:t xml:space="preserve">. </w:t>
      </w:r>
    </w:p>
    <w:p w:rsidR="00C7319A" w:rsidRPr="009123CB" w:rsidRDefault="00C7319A" w:rsidP="00C7319A">
      <w:pPr>
        <w:spacing w:before="120"/>
        <w:ind w:left="720"/>
        <w:jc w:val="both"/>
        <w:rPr>
          <w:lang w:val="de-DE"/>
        </w:rPr>
      </w:pPr>
      <w:r w:rsidRPr="009123CB">
        <w:rPr>
          <w:rFonts w:cs="Tahoma"/>
          <w:snapToGrid w:val="0"/>
          <w:color w:val="000000"/>
          <w:szCs w:val="18"/>
          <w:lang w:val="de-DE"/>
        </w:rPr>
        <w:t>Microsoft muss den Kunden unverzüglich schriftlich über einen Anspruch gemäß dieser Ziffer in Kenntnis setzen</w:t>
      </w:r>
      <w:r w:rsidR="006257A7">
        <w:rPr>
          <w:rFonts w:cs="Tahoma"/>
          <w:snapToGrid w:val="0"/>
          <w:color w:val="000000"/>
          <w:szCs w:val="18"/>
          <w:lang w:val="de-DE"/>
        </w:rPr>
        <w:t xml:space="preserve">. </w:t>
      </w:r>
      <w:r w:rsidRPr="009123CB">
        <w:rPr>
          <w:rFonts w:cs="Tahoma"/>
          <w:snapToGrid w:val="0"/>
          <w:color w:val="000000"/>
          <w:szCs w:val="18"/>
          <w:lang w:val="de-DE"/>
        </w:rPr>
        <w:t>Microsoft muss (1) dem Kunden die alleinige Kontrolle über die Verteidigung oder den Vergleich eines entsprechenden Anspruchs geben und (2) angemessen bei der Verteidigung gegen den Anspruch unterstützen</w:t>
      </w:r>
      <w:r w:rsidR="006257A7">
        <w:rPr>
          <w:rFonts w:cs="Tahoma"/>
          <w:snapToGrid w:val="0"/>
          <w:color w:val="000000"/>
          <w:szCs w:val="18"/>
          <w:lang w:val="de-DE"/>
        </w:rPr>
        <w:t xml:space="preserve">. </w:t>
      </w:r>
      <w:r w:rsidRPr="009123CB">
        <w:rPr>
          <w:rFonts w:cs="Tahoma"/>
          <w:snapToGrid w:val="0"/>
          <w:color w:val="000000"/>
          <w:szCs w:val="18"/>
          <w:lang w:val="de-DE"/>
        </w:rPr>
        <w:t>Der Kunden muss Microsoft sämtliche angemessenen Ausgaben, die im Rahmen einer solchen Unterstützungsleistung anfallen, erstatten)</w:t>
      </w:r>
      <w:r w:rsidR="006257A7">
        <w:rPr>
          <w:rFonts w:cs="Tahoma"/>
          <w:snapToGrid w:val="0"/>
          <w:color w:val="000000"/>
          <w:szCs w:val="18"/>
          <w:lang w:val="de-DE"/>
        </w:rPr>
        <w:t xml:space="preserve">. </w:t>
      </w:r>
    </w:p>
    <w:p w:rsidR="00C7319A" w:rsidRPr="009123CB" w:rsidRDefault="00C7319A" w:rsidP="00C7319A">
      <w:pPr>
        <w:keepNext/>
        <w:spacing w:before="120" w:after="60"/>
        <w:ind w:left="720"/>
        <w:outlineLvl w:val="0"/>
        <w:rPr>
          <w:lang w:val="de-DE"/>
        </w:rPr>
      </w:pPr>
      <w:r w:rsidRPr="009123CB">
        <w:rPr>
          <w:rFonts w:cs="Tahoma"/>
          <w:b/>
          <w:bCs/>
          <w:iCs/>
          <w:snapToGrid w:val="0"/>
          <w:szCs w:val="18"/>
          <w:lang w:val="de-DE"/>
        </w:rPr>
        <w:t>Haftungsbeschränkung</w:t>
      </w:r>
      <w:r w:rsidR="006257A7">
        <w:rPr>
          <w:rFonts w:cs="Tahoma"/>
          <w:b/>
          <w:bCs/>
          <w:iCs/>
          <w:snapToGrid w:val="0"/>
          <w:szCs w:val="18"/>
          <w:lang w:val="de-DE"/>
        </w:rPr>
        <w:t xml:space="preserve">. </w:t>
      </w:r>
    </w:p>
    <w:p w:rsidR="00C7319A" w:rsidRPr="00F83EE5" w:rsidRDefault="00C7319A" w:rsidP="00C7319A">
      <w:pPr>
        <w:ind w:left="720"/>
        <w:jc w:val="both"/>
        <w:rPr>
          <w:lang w:val="de-DE"/>
        </w:rPr>
      </w:pPr>
      <w:r w:rsidRPr="009123CB">
        <w:rPr>
          <w:rFonts w:cs="Tahoma"/>
          <w:snapToGrid w:val="0"/>
          <w:color w:val="000000"/>
          <w:szCs w:val="18"/>
          <w:lang w:val="de-DE"/>
        </w:rPr>
        <w:t>Im durch das anwendbare Recht zugelassenen Umfang ist die Haftung jeder Partei, ihrer Verbundenen Unternehmen und ihrer Vertragspartner, die im Zusammenhang mit dem Onlinedienst entsteht, auf direkte Schäden bis zu der Summe begrenzt, die der Kunde für die Onlinedienste in den vorherigen 12 Monaten gezahlt hat</w:t>
      </w:r>
      <w:r w:rsidR="006257A7">
        <w:rPr>
          <w:rFonts w:cs="Tahoma"/>
          <w:snapToGrid w:val="0"/>
          <w:color w:val="000000"/>
          <w:szCs w:val="18"/>
          <w:lang w:val="de-DE"/>
        </w:rPr>
        <w:t xml:space="preserve">. </w:t>
      </w:r>
      <w:r w:rsidRPr="009123CB">
        <w:rPr>
          <w:rFonts w:cs="Tahoma"/>
          <w:snapToGrid w:val="0"/>
          <w:color w:val="000000"/>
          <w:szCs w:val="18"/>
          <w:lang w:val="de-DE"/>
        </w:rPr>
        <w:t>Diese Beschränkungen gelten unabhängig davon, ob die Haftung auf Vertragsverletzung, unerlaubter Handlung (einschließlich Fahrlässigkeit), verschuldensunabhängiger Haftung, Verletzung von Garantien oder auf einem anderen Rechtsgrund beruht</w:t>
      </w:r>
      <w:r w:rsidR="006257A7">
        <w:rPr>
          <w:rFonts w:cs="Tahoma"/>
          <w:snapToGrid w:val="0"/>
          <w:color w:val="000000"/>
          <w:szCs w:val="18"/>
          <w:lang w:val="de-DE"/>
        </w:rPr>
        <w:t xml:space="preserve">. </w:t>
      </w:r>
      <w:r w:rsidRPr="00F83EE5">
        <w:rPr>
          <w:rFonts w:cs="Tahoma"/>
          <w:snapToGrid w:val="0"/>
          <w:color w:val="000000"/>
          <w:szCs w:val="18"/>
          <w:lang w:val="de-DE"/>
        </w:rPr>
        <w:t>Diese finanziellen Beschränkungen finden jedoch keine Anwendung auf:</w:t>
      </w:r>
    </w:p>
    <w:p w:rsidR="00C7319A" w:rsidRPr="00D53227" w:rsidRDefault="00C7319A" w:rsidP="00C7319A">
      <w:pPr>
        <w:numPr>
          <w:ilvl w:val="0"/>
          <w:numId w:val="125"/>
        </w:numPr>
        <w:spacing w:before="120"/>
        <w:ind w:left="1170" w:hanging="450"/>
        <w:contextualSpacing/>
        <w:jc w:val="both"/>
        <w:rPr>
          <w:lang w:val="de-DE"/>
        </w:rPr>
      </w:pPr>
      <w:r w:rsidRPr="009123CB">
        <w:rPr>
          <w:rFonts w:cs="Tahoma"/>
          <w:snapToGrid w:val="0"/>
          <w:color w:val="000000"/>
          <w:szCs w:val="18"/>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D53227" w:rsidRDefault="00D53227" w:rsidP="00D53227">
      <w:pPr>
        <w:spacing w:before="120"/>
        <w:contextualSpacing/>
        <w:jc w:val="both"/>
        <w:rPr>
          <w:rFonts w:cs="Tahoma"/>
          <w:snapToGrid w:val="0"/>
          <w:color w:val="000000"/>
          <w:szCs w:val="18"/>
          <w:lang w:val="de-DE"/>
        </w:rPr>
      </w:pPr>
    </w:p>
    <w:p w:rsidR="00D53227" w:rsidRDefault="00D53227" w:rsidP="00D53227">
      <w:pPr>
        <w:spacing w:before="120"/>
        <w:contextualSpacing/>
        <w:jc w:val="both"/>
        <w:rPr>
          <w:lang w:val="de-DE"/>
        </w:rPr>
      </w:pPr>
    </w:p>
    <w:p w:rsidR="00A56539" w:rsidRPr="009123CB" w:rsidRDefault="00A56539" w:rsidP="00D53227">
      <w:pPr>
        <w:spacing w:before="120"/>
        <w:contextualSpacing/>
        <w:jc w:val="both"/>
        <w:rPr>
          <w:lang w:val="de-DE"/>
        </w:rPr>
      </w:pPr>
    </w:p>
    <w:p w:rsidR="00C7319A" w:rsidRPr="009123CB" w:rsidRDefault="00C7319A" w:rsidP="00C7319A">
      <w:pPr>
        <w:numPr>
          <w:ilvl w:val="0"/>
          <w:numId w:val="125"/>
        </w:numPr>
        <w:spacing w:before="120"/>
        <w:ind w:left="1170" w:hanging="450"/>
        <w:contextualSpacing/>
        <w:jc w:val="both"/>
        <w:rPr>
          <w:lang w:val="de-DE"/>
        </w:rPr>
      </w:pPr>
      <w:r w:rsidRPr="009123CB">
        <w:rPr>
          <w:rFonts w:cs="Tahoma"/>
          <w:snapToGrid w:val="0"/>
          <w:color w:val="000000"/>
          <w:szCs w:val="18"/>
          <w:lang w:val="de-DE"/>
        </w:rP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rsidR="00C7319A" w:rsidRPr="009123CB" w:rsidRDefault="00C7319A" w:rsidP="00C7319A">
      <w:pPr>
        <w:numPr>
          <w:ilvl w:val="0"/>
          <w:numId w:val="125"/>
        </w:numPr>
        <w:spacing w:before="120"/>
        <w:ind w:left="1170" w:hanging="450"/>
        <w:contextualSpacing/>
        <w:jc w:val="both"/>
        <w:rPr>
          <w:lang w:val="de-DE"/>
        </w:rPr>
      </w:pPr>
      <w:r w:rsidRPr="009123CB">
        <w:rPr>
          <w:rFonts w:cs="Tahoma"/>
          <w:snapToGrid w:val="0"/>
          <w:color w:val="000000"/>
          <w:szCs w:val="18"/>
          <w:lang w:val="de-DE"/>
        </w:rPr>
        <w:t>Verletzung der gewerblichen Schutzrechte/Urheberrechte einer Partei durch die andere Partei</w:t>
      </w:r>
      <w:r w:rsidR="006257A7">
        <w:rPr>
          <w:rFonts w:cs="Tahoma"/>
          <w:snapToGrid w:val="0"/>
          <w:color w:val="000000"/>
          <w:szCs w:val="18"/>
          <w:lang w:val="de-DE"/>
        </w:rPr>
        <w:t xml:space="preserve">. </w:t>
      </w:r>
    </w:p>
    <w:p w:rsidR="00C7319A" w:rsidRPr="009123CB" w:rsidRDefault="00C7319A" w:rsidP="00C7319A">
      <w:pPr>
        <w:spacing w:before="120"/>
        <w:ind w:left="720"/>
        <w:jc w:val="both"/>
        <w:rPr>
          <w:lang w:val="de-DE"/>
        </w:rPr>
      </w:pPr>
      <w:r w:rsidRPr="009123CB">
        <w:rPr>
          <w:rFonts w:cs="Tahoma"/>
          <w:b/>
          <w:bCs/>
          <w:snapToGrid w:val="0"/>
          <w:color w:val="000000"/>
          <w:szCs w:val="18"/>
          <w:lang w:val="de-DE"/>
        </w:rP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sidR="006257A7">
        <w:rPr>
          <w:rFonts w:cs="Tahoma"/>
          <w:b/>
          <w:bCs/>
          <w:snapToGrid w:val="0"/>
          <w:color w:val="000000"/>
          <w:szCs w:val="18"/>
          <w:lang w:val="de-DE"/>
        </w:rPr>
        <w:t xml:space="preserve">. </w:t>
      </w:r>
      <w:r w:rsidRPr="009123CB">
        <w:rPr>
          <w:rFonts w:cs="Tahoma"/>
          <w:b/>
          <w:bCs/>
          <w:snapToGrid w:val="0"/>
          <w:color w:val="000000"/>
          <w:szCs w:val="18"/>
          <w:lang w:val="de-DE"/>
        </w:rPr>
        <w:t>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r w:rsidR="006257A7">
        <w:rPr>
          <w:rFonts w:cs="Tahoma"/>
          <w:b/>
          <w:bCs/>
          <w:snapToGrid w:val="0"/>
          <w:color w:val="000000"/>
          <w:szCs w:val="18"/>
          <w:lang w:val="de-DE"/>
        </w:rPr>
        <w:t xml:space="preserve">. </w:t>
      </w:r>
    </w:p>
    <w:p w:rsidR="00C7319A" w:rsidRPr="009123CB" w:rsidRDefault="00C7319A" w:rsidP="00C7319A">
      <w:pPr>
        <w:keepNext/>
        <w:spacing w:before="120" w:after="60"/>
        <w:ind w:left="720"/>
        <w:outlineLvl w:val="0"/>
        <w:rPr>
          <w:lang w:val="de-DE"/>
        </w:rPr>
      </w:pPr>
      <w:r w:rsidRPr="009123CB">
        <w:rPr>
          <w:rFonts w:cs="Tahoma"/>
          <w:b/>
          <w:bCs/>
          <w:iCs/>
          <w:snapToGrid w:val="0"/>
          <w:szCs w:val="18"/>
          <w:lang w:val="de-DE"/>
        </w:rPr>
        <w:t>Vertragspartner</w:t>
      </w:r>
      <w:r w:rsidR="006257A7">
        <w:rPr>
          <w:rFonts w:cs="Tahoma"/>
          <w:b/>
          <w:bCs/>
          <w:iCs/>
          <w:snapToGrid w:val="0"/>
          <w:szCs w:val="18"/>
          <w:lang w:val="de-DE"/>
        </w:rPr>
        <w:t xml:space="preserve">. </w:t>
      </w:r>
    </w:p>
    <w:p w:rsidR="00C7319A" w:rsidRPr="009123CB" w:rsidRDefault="00C7319A" w:rsidP="00C7319A">
      <w:pPr>
        <w:ind w:left="720" w:right="720"/>
        <w:rPr>
          <w:lang w:val="de-DE"/>
        </w:rPr>
      </w:pPr>
      <w:r w:rsidRPr="009123CB">
        <w:rPr>
          <w:rFonts w:cs="Tahoma"/>
          <w:snapToGrid w:val="0"/>
          <w:szCs w:val="18"/>
          <w:lang w:val="de-DE"/>
        </w:rPr>
        <w:t>Microsoft ist berechtigt, Vertragspartner zur Unterstützung von Onlinediensten einzusetzen</w:t>
      </w:r>
      <w:r w:rsidR="006257A7">
        <w:rPr>
          <w:rFonts w:cs="Tahoma"/>
          <w:snapToGrid w:val="0"/>
          <w:szCs w:val="18"/>
          <w:lang w:val="de-DE"/>
        </w:rPr>
        <w:t xml:space="preserve">. </w:t>
      </w:r>
      <w:r w:rsidRPr="009123CB">
        <w:rPr>
          <w:rFonts w:cs="Tahoma"/>
          <w:snapToGrid w:val="0"/>
          <w:szCs w:val="18"/>
          <w:lang w:val="de-DE"/>
        </w:rPr>
        <w:t>Microsoft ist für deren Leistung gemäß den Bestimmungen des Volumenlizenzvertrags des Kunden verantwortlich</w:t>
      </w:r>
      <w:r w:rsidR="006257A7">
        <w:rPr>
          <w:rFonts w:cs="Tahoma"/>
          <w:snapToGrid w:val="0"/>
          <w:szCs w:val="18"/>
          <w:lang w:val="de-DE"/>
        </w:rPr>
        <w:t xml:space="preserve">. </w:t>
      </w:r>
    </w:p>
    <w:p w:rsidR="00C7319A" w:rsidRPr="009123CB" w:rsidRDefault="00C7319A" w:rsidP="00D53227">
      <w:pPr>
        <w:pStyle w:val="Heading1"/>
        <w:spacing w:before="0"/>
        <w:rPr>
          <w:lang w:val="de-DE"/>
        </w:rPr>
      </w:pPr>
      <w:r w:rsidRPr="009123CB">
        <w:rPr>
          <w:lang w:val="de-DE"/>
        </w:rPr>
        <w:br w:type="page"/>
      </w:r>
      <w:bookmarkStart w:id="946" w:name="_Toc336338255"/>
      <w:bookmarkStart w:id="947" w:name="_Toc363998994"/>
      <w:r w:rsidRPr="009123CB">
        <w:rPr>
          <w:lang w:val="de-DE"/>
        </w:rPr>
        <w:t>ProduktHINWEISE</w:t>
      </w:r>
      <w:bookmarkEnd w:id="946"/>
      <w:bookmarkEnd w:id="947"/>
    </w:p>
    <w:p w:rsidR="00C7319A" w:rsidRPr="009123CB" w:rsidRDefault="00C7319A" w:rsidP="00C7319A">
      <w:pPr>
        <w:pStyle w:val="Heading2"/>
        <w:ind w:hanging="540"/>
        <w:rPr>
          <w:lang w:val="de-DE"/>
        </w:rPr>
      </w:pPr>
    </w:p>
    <w:p w:rsidR="00C7319A" w:rsidRPr="009123CB" w:rsidRDefault="00C7319A" w:rsidP="00C7319A">
      <w:pPr>
        <w:pStyle w:val="Heading2"/>
        <w:ind w:left="0"/>
        <w:rPr>
          <w:lang w:val="de-DE"/>
        </w:rPr>
      </w:pPr>
      <w:bookmarkStart w:id="948" w:name="_Toc336338256"/>
      <w:bookmarkStart w:id="949" w:name="_Toc363998995"/>
      <w:r w:rsidRPr="009123CB">
        <w:rPr>
          <w:rFonts w:ascii="Tahoma" w:hAnsi="Tahoma" w:cs="Tahoma"/>
          <w:sz w:val="28"/>
          <w:lang w:val="de-DE"/>
        </w:rPr>
        <w:t>Anwendungs-Pool</w:t>
      </w:r>
      <w:bookmarkEnd w:id="948"/>
      <w:bookmarkEnd w:id="949"/>
    </w:p>
    <w:p w:rsidR="00C7319A" w:rsidRPr="009123CB" w:rsidRDefault="00C7319A" w:rsidP="00C7319A">
      <w:pPr>
        <w:rPr>
          <w:lang w:val="de-DE"/>
        </w:rPr>
      </w:pPr>
      <w:bookmarkStart w:id="950" w:name="_1_Data_Analyzer"/>
      <w:bookmarkStart w:id="951" w:name="Aps_1BingMapsDesktopandContentPack"/>
      <w:bookmarkEnd w:id="950"/>
    </w:p>
    <w:p w:rsidR="00C7319A" w:rsidRPr="009123CB" w:rsidRDefault="00C7319A" w:rsidP="00C7319A">
      <w:pPr>
        <w:rPr>
          <w:lang w:val="de-DE"/>
        </w:rPr>
      </w:pPr>
      <w:bookmarkStart w:id="952" w:name="Aps_ExpStudioproducts"/>
      <w:bookmarkStart w:id="953" w:name="Aps_ExpStudio2"/>
      <w:bookmarkStart w:id="954" w:name="Aps_1ExpStudio3"/>
      <w:bookmarkEnd w:id="951"/>
    </w:p>
    <w:p w:rsidR="00C7319A" w:rsidRPr="009123CB" w:rsidRDefault="00C7319A" w:rsidP="00C7319A">
      <w:pPr>
        <w:pStyle w:val="Heading3"/>
        <w:ind w:left="180" w:hanging="180"/>
        <w:rPr>
          <w:lang w:val="de-DE"/>
        </w:rPr>
      </w:pPr>
      <w:bookmarkStart w:id="955" w:name="_12_Expression_Encoder"/>
      <w:bookmarkStart w:id="956" w:name="_1_Expression_Encoder"/>
      <w:bookmarkStart w:id="957" w:name="_Toc336338258"/>
      <w:bookmarkStart w:id="958" w:name="_Toc363998996"/>
      <w:bookmarkEnd w:id="955"/>
      <w:bookmarkEnd w:id="956"/>
      <w:r w:rsidRPr="009123CB">
        <w:rPr>
          <w:rFonts w:ascii="Tahoma" w:hAnsi="Tahoma"/>
          <w:caps/>
          <w:color w:val="F66400"/>
          <w:sz w:val="22"/>
          <w:vertAlign w:val="superscript"/>
          <w:lang w:val="de-DE"/>
        </w:rPr>
        <w:t>1</w:t>
      </w:r>
      <w:r w:rsidRPr="009123CB">
        <w:rPr>
          <w:rFonts w:ascii="Tahoma" w:hAnsi="Tahoma"/>
          <w:color w:val="F66400"/>
          <w:sz w:val="22"/>
          <w:lang w:val="de-DE"/>
        </w:rPr>
        <w:t xml:space="preserve"> Expression Encoder Pro 4</w:t>
      </w:r>
      <w:bookmarkEnd w:id="952"/>
      <w:bookmarkEnd w:id="957"/>
      <w:bookmarkEnd w:id="958"/>
    </w:p>
    <w:p w:rsidR="00C7319A" w:rsidRPr="009123CB" w:rsidRDefault="00C7319A" w:rsidP="00C7319A">
      <w:pPr>
        <w:rPr>
          <w:lang w:val="de-DE"/>
        </w:rPr>
      </w:pPr>
    </w:p>
    <w:p w:rsidR="00C7319A" w:rsidRPr="009123CB" w:rsidRDefault="00C7319A" w:rsidP="00C7319A">
      <w:pPr>
        <w:spacing w:after="60"/>
        <w:ind w:left="720"/>
        <w:rPr>
          <w:lang w:val="de-DE"/>
        </w:rPr>
      </w:pPr>
      <w:r w:rsidRPr="009123CB">
        <w:rPr>
          <w:rFonts w:cs="Tahoma"/>
          <w:b/>
          <w:szCs w:val="20"/>
          <w:lang w:val="de-DE"/>
        </w:rPr>
        <w:t>Expression Encoder Pro 4</w:t>
      </w:r>
    </w:p>
    <w:p w:rsidR="00C7319A" w:rsidRPr="009123CB" w:rsidRDefault="00C7319A" w:rsidP="006672FD">
      <w:pPr>
        <w:ind w:left="720"/>
        <w:rPr>
          <w:lang w:val="de-DE"/>
        </w:rPr>
      </w:pPr>
      <w:r w:rsidRPr="009123CB">
        <w:rPr>
          <w:rFonts w:cs="Tahoma"/>
          <w:color w:val="000000"/>
          <w:szCs w:val="18"/>
          <w:lang w:val="de-DE"/>
        </w:rPr>
        <w:t>Bei der Produktlinie Expression wurden Änderungen an den Markennamen vorgenommen</w:t>
      </w:r>
      <w:r w:rsidR="006257A7">
        <w:rPr>
          <w:rFonts w:cs="Tahoma"/>
          <w:color w:val="000000"/>
          <w:szCs w:val="18"/>
          <w:lang w:val="de-DE"/>
        </w:rPr>
        <w:t xml:space="preserve">. </w:t>
      </w:r>
      <w:r w:rsidRPr="009123CB">
        <w:rPr>
          <w:rFonts w:cs="Tahoma"/>
          <w:color w:val="000000"/>
          <w:szCs w:val="18"/>
          <w:lang w:val="de-DE"/>
        </w:rPr>
        <w:t>Es wurde nur der</w:t>
      </w:r>
      <w:r w:rsidR="006672FD">
        <w:rPr>
          <w:rFonts w:cs="Tahoma"/>
          <w:color w:val="000000"/>
          <w:szCs w:val="18"/>
          <w:lang w:val="de-DE"/>
        </w:rPr>
        <w:t> </w:t>
      </w:r>
      <w:r w:rsidRPr="009123CB">
        <w:rPr>
          <w:rFonts w:cs="Tahoma"/>
          <w:color w:val="000000"/>
          <w:szCs w:val="18"/>
          <w:lang w:val="de-DE"/>
        </w:rPr>
        <w:t>Produktmarkenname geändert; die Software der Version 3 und die Software der Version 4 sind identisch</w:t>
      </w:r>
      <w:r w:rsidR="006257A7">
        <w:rPr>
          <w:rFonts w:cs="Tahoma"/>
          <w:color w:val="000000"/>
          <w:szCs w:val="18"/>
          <w:lang w:val="de-DE"/>
        </w:rPr>
        <w:t xml:space="preserve">. </w:t>
      </w:r>
      <w:r w:rsidRPr="009123CB">
        <w:rPr>
          <w:rFonts w:cs="Tahoma"/>
          <w:color w:val="000000"/>
          <w:szCs w:val="18"/>
          <w:lang w:val="de-DE"/>
        </w:rPr>
        <w:t>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w:t>
      </w:r>
      <w:r w:rsidR="006257A7">
        <w:rPr>
          <w:rFonts w:cs="Tahoma"/>
          <w:color w:val="000000"/>
          <w:szCs w:val="18"/>
          <w:lang w:val="de-DE"/>
        </w:rPr>
        <w:t xml:space="preserve">. </w:t>
      </w:r>
      <w:r w:rsidRPr="009123CB">
        <w:rPr>
          <w:rFonts w:cs="Tahoma"/>
          <w:color w:val="000000"/>
          <w:szCs w:val="18"/>
          <w:lang w:val="de-DE"/>
        </w:rPr>
        <w:t>Das Recht zur Nutzung der Software unterliegt weiterhin den Bestimmungen des Volumenlizenzvertrages des Kunden sowie den Produktbenutzungsrechten für die Software, wie durch diesen Hinweis auf die Produktbedingungen ergänzt</w:t>
      </w:r>
      <w:r w:rsidR="006257A7">
        <w:rPr>
          <w:rFonts w:cs="Tahoma"/>
          <w:color w:val="000000"/>
          <w:szCs w:val="18"/>
          <w:lang w:val="de-DE"/>
        </w:rPr>
        <w:t xml:space="preserve">. </w:t>
      </w:r>
      <w:r w:rsidRPr="009123CB">
        <w:rPr>
          <w:rFonts w:cs="Tahoma"/>
          <w:color w:val="000000"/>
          <w:szCs w:val="18"/>
          <w:lang w:val="de-DE"/>
        </w:rPr>
        <w:t>Durch die Änderung der Marke werden die Gewährleistung oder Supportverpflichtungen von Microsoft in Verbindung mit Software Assurance für die Produkte nicht verlängert</w:t>
      </w:r>
      <w:r w:rsidR="006257A7">
        <w:rPr>
          <w:rFonts w:cs="Tahoma"/>
          <w:color w:val="000000"/>
          <w:szCs w:val="18"/>
          <w:lang w:val="de-DE"/>
        </w:rPr>
        <w:t xml:space="preserve">. </w:t>
      </w:r>
    </w:p>
    <w:p w:rsidR="00C7319A" w:rsidRPr="009123CB" w:rsidRDefault="00C7319A" w:rsidP="00C7319A">
      <w:pPr>
        <w:rPr>
          <w:lang w:val="de-DE"/>
        </w:rPr>
      </w:pPr>
    </w:p>
    <w:p w:rsidR="00C7319A" w:rsidRPr="009123CB" w:rsidRDefault="00C7319A" w:rsidP="00C7319A">
      <w:pPr>
        <w:rPr>
          <w:lang w:val="de-DE"/>
        </w:rPr>
      </w:pPr>
      <w:bookmarkStart w:id="959" w:name="_Toc254806117"/>
      <w:bookmarkStart w:id="960" w:name="Aps_MSDNOPSystems"/>
      <w:bookmarkStart w:id="961" w:name="Aps_3MSDNOPSystems"/>
      <w:bookmarkStart w:id="962" w:name="Aps_5OffCommunicator07"/>
      <w:bookmarkEnd w:id="953"/>
      <w:bookmarkEnd w:id="954"/>
    </w:p>
    <w:p w:rsidR="00C7319A" w:rsidRPr="009123CB" w:rsidRDefault="00C7319A" w:rsidP="00C7319A">
      <w:pPr>
        <w:pStyle w:val="Heading3"/>
        <w:rPr>
          <w:lang w:val="de-DE"/>
        </w:rPr>
      </w:pPr>
      <w:bookmarkStart w:id="963" w:name="_23_Lync_for"/>
      <w:bookmarkStart w:id="964" w:name="_2_Lync_for"/>
      <w:bookmarkStart w:id="965" w:name="_2_Lync_für"/>
      <w:bookmarkStart w:id="966" w:name="_Toc336338259"/>
      <w:bookmarkStart w:id="967" w:name="_Toc363998997"/>
      <w:bookmarkStart w:id="968" w:name="Aps_3Lync2010"/>
      <w:bookmarkEnd w:id="963"/>
      <w:bookmarkEnd w:id="964"/>
      <w:bookmarkEnd w:id="965"/>
      <w:r w:rsidRPr="009123CB">
        <w:rPr>
          <w:rFonts w:ascii="Tahoma" w:hAnsi="Tahoma"/>
          <w:caps/>
          <w:color w:val="F66400"/>
          <w:sz w:val="22"/>
          <w:vertAlign w:val="superscript"/>
          <w:lang w:val="de-DE"/>
        </w:rPr>
        <w:t>2</w:t>
      </w:r>
      <w:r w:rsidRPr="009123CB">
        <w:rPr>
          <w:rFonts w:ascii="Tahoma" w:hAnsi="Tahoma"/>
          <w:color w:val="F66400"/>
          <w:sz w:val="22"/>
          <w:lang w:val="de-DE"/>
        </w:rPr>
        <w:t xml:space="preserve"> </w:t>
      </w:r>
      <w:bookmarkStart w:id="969" w:name="Aps_4LyncforMac2011"/>
      <w:r w:rsidRPr="009123CB">
        <w:rPr>
          <w:rFonts w:ascii="Tahoma" w:hAnsi="Tahoma"/>
          <w:color w:val="F66400"/>
          <w:sz w:val="22"/>
          <w:lang w:val="de-DE"/>
        </w:rPr>
        <w:t xml:space="preserve">Lync </w:t>
      </w:r>
      <w:bookmarkEnd w:id="966"/>
      <w:r w:rsidRPr="009123CB">
        <w:rPr>
          <w:rFonts w:ascii="Tahoma" w:hAnsi="Tahoma"/>
          <w:color w:val="F66400"/>
          <w:sz w:val="22"/>
          <w:lang w:val="de-DE"/>
        </w:rPr>
        <w:t>für Mac 2011</w:t>
      </w:r>
      <w:bookmarkEnd w:id="967"/>
      <w:bookmarkEnd w:id="969"/>
    </w:p>
    <w:p w:rsidR="00C7319A" w:rsidRPr="009123CB" w:rsidRDefault="00C7319A" w:rsidP="00C7319A">
      <w:pPr>
        <w:rPr>
          <w:lang w:val="de-DE"/>
        </w:rPr>
      </w:pPr>
    </w:p>
    <w:bookmarkEnd w:id="968"/>
    <w:p w:rsidR="00C7319A" w:rsidRPr="009123CB" w:rsidRDefault="00C7319A" w:rsidP="00C7319A">
      <w:pPr>
        <w:spacing w:after="60"/>
        <w:ind w:left="720"/>
        <w:rPr>
          <w:lang w:val="de-DE"/>
        </w:rPr>
      </w:pPr>
      <w:r w:rsidRPr="009123CB">
        <w:rPr>
          <w:rFonts w:cs="Tahoma"/>
          <w:b/>
          <w:szCs w:val="20"/>
          <w:lang w:val="de-DE"/>
        </w:rPr>
        <w:t xml:space="preserve">Software Assurance-Migrationspfad für Communicator für Mac 2011 </w:t>
      </w:r>
    </w:p>
    <w:p w:rsidR="00C7319A" w:rsidRPr="009123CB" w:rsidRDefault="00C7319A" w:rsidP="00C7319A">
      <w:pPr>
        <w:adjustRightInd w:val="0"/>
        <w:ind w:left="720"/>
        <w:textAlignment w:val="baseline"/>
        <w:rPr>
          <w:lang w:val="de-DE"/>
        </w:rPr>
      </w:pPr>
      <w:r w:rsidRPr="009123CB">
        <w:rPr>
          <w:rFonts w:cs="Tahoma"/>
          <w:lang w:val="de-DE"/>
        </w:rPr>
        <w:t>Die Folgeversion von Communicator für Mac 2011 ist Lync für Mac 2011</w:t>
      </w:r>
      <w:r w:rsidR="006257A7">
        <w:rPr>
          <w:rFonts w:cs="Tahoma"/>
          <w:lang w:val="de-DE"/>
        </w:rPr>
        <w:t xml:space="preserve">. </w:t>
      </w:r>
    </w:p>
    <w:p w:rsidR="00C7319A" w:rsidRPr="009123CB" w:rsidRDefault="00C7319A" w:rsidP="00C7319A">
      <w:pPr>
        <w:adjustRightInd w:val="0"/>
        <w:textAlignment w:val="baseline"/>
        <w:rPr>
          <w:lang w:val="de-DE"/>
        </w:rPr>
      </w:pPr>
    </w:p>
    <w:p w:rsidR="00C7319A" w:rsidRPr="009123CB" w:rsidRDefault="00C7319A" w:rsidP="00C7319A">
      <w:pPr>
        <w:adjustRightInd w:val="0"/>
        <w:textAlignment w:val="baseline"/>
        <w:rPr>
          <w:lang w:val="de-DE"/>
        </w:rPr>
      </w:pPr>
    </w:p>
    <w:p w:rsidR="00C7319A" w:rsidRPr="009123CB" w:rsidRDefault="00C7319A" w:rsidP="00C7319A">
      <w:pPr>
        <w:pStyle w:val="Heading3"/>
        <w:rPr>
          <w:lang w:val="de-DE"/>
        </w:rPr>
      </w:pPr>
      <w:bookmarkStart w:id="970" w:name="_34_MSDN_Operating"/>
      <w:bookmarkStart w:id="971" w:name="_3_MSDN_Operating"/>
      <w:bookmarkStart w:id="972" w:name="_3_MSDN-Betriebssysteme"/>
      <w:bookmarkStart w:id="973" w:name="_Toc336338261"/>
      <w:bookmarkStart w:id="974" w:name="_Toc363998998"/>
      <w:bookmarkEnd w:id="970"/>
      <w:bookmarkEnd w:id="971"/>
      <w:bookmarkEnd w:id="972"/>
      <w:r w:rsidRPr="009123CB">
        <w:rPr>
          <w:rFonts w:ascii="Tahoma" w:hAnsi="Tahoma"/>
          <w:caps/>
          <w:color w:val="F66400"/>
          <w:sz w:val="22"/>
          <w:vertAlign w:val="superscript"/>
          <w:lang w:val="de-DE"/>
        </w:rPr>
        <w:t>3</w:t>
      </w:r>
      <w:r w:rsidRPr="009123CB">
        <w:rPr>
          <w:rFonts w:ascii="Tahoma" w:hAnsi="Tahoma"/>
          <w:color w:val="F66400"/>
          <w:sz w:val="22"/>
          <w:lang w:val="de-DE"/>
        </w:rPr>
        <w:t xml:space="preserve"> MSDN-Betriebssysteme</w:t>
      </w:r>
      <w:bookmarkEnd w:id="959"/>
      <w:bookmarkEnd w:id="973"/>
      <w:bookmarkEnd w:id="974"/>
    </w:p>
    <w:bookmarkEnd w:id="960"/>
    <w:bookmarkEnd w:id="961"/>
    <w:p w:rsidR="00C7319A" w:rsidRPr="009123CB" w:rsidRDefault="00C7319A" w:rsidP="00C7319A">
      <w:pPr>
        <w:pStyle w:val="FootnoteBulletLevel1"/>
        <w:tabs>
          <w:tab w:val="clear" w:pos="900"/>
        </w:tabs>
        <w:spacing w:before="0" w:after="0"/>
        <w:ind w:left="720" w:firstLine="0"/>
        <w:rPr>
          <w:lang w:val="de-DE"/>
        </w:rPr>
      </w:pPr>
    </w:p>
    <w:p w:rsidR="00C7319A" w:rsidRPr="009123CB" w:rsidRDefault="00C7319A" w:rsidP="00C7319A">
      <w:pPr>
        <w:spacing w:after="60"/>
        <w:ind w:left="720"/>
        <w:rPr>
          <w:lang w:val="de-DE"/>
        </w:rPr>
      </w:pPr>
      <w:r w:rsidRPr="009123CB">
        <w:rPr>
          <w:rFonts w:cs="Tahoma"/>
          <w:b/>
          <w:szCs w:val="20"/>
          <w:lang w:val="de-DE"/>
        </w:rPr>
        <w:t>Software Assurance-Berechtigung</w:t>
      </w:r>
    </w:p>
    <w:p w:rsidR="00C7319A" w:rsidRPr="009123CB" w:rsidRDefault="00C7319A" w:rsidP="00C7319A">
      <w:pPr>
        <w:pStyle w:val="EndnoteText"/>
        <w:tabs>
          <w:tab w:val="num" w:pos="1080"/>
        </w:tabs>
        <w:ind w:left="720"/>
        <w:rPr>
          <w:lang w:val="de-DE"/>
        </w:rPr>
      </w:pPr>
      <w:r w:rsidRPr="009123CB">
        <w:rPr>
          <w:rFonts w:ascii="Tahoma" w:hAnsi="Tahoma" w:cs="Tahoma"/>
          <w:sz w:val="18"/>
          <w:lang w:val="de-DE"/>
        </w:rPr>
        <w:t>Kunden, deren Software Assurance für Lizenzen für die folgenden Produkte abläuft, sind berechtigt, diese als Software Assurance für MSDN-Betriebssysteme zu verlängern</w:t>
      </w:r>
      <w:r w:rsidR="006257A7">
        <w:rPr>
          <w:rFonts w:ascii="Tahoma" w:hAnsi="Tahoma" w:cs="Tahoma"/>
          <w:sz w:val="18"/>
          <w:lang w:val="de-DE"/>
        </w:rPr>
        <w:t xml:space="preserve">. </w:t>
      </w:r>
      <w:r w:rsidRPr="009123CB">
        <w:rPr>
          <w:rFonts w:ascii="Tahoma" w:hAnsi="Tahoma" w:cs="Tahoma"/>
          <w:sz w:val="18"/>
          <w:lang w:val="de-DE"/>
        </w:rPr>
        <w:t>Bei Verlängerung auf einer anderen MSDN-Abonnementebene ersetzen die neuen Nutzungsbestimmungen die alten, und jegliche Software, die nicht im neuen MSDN-Abonnement enthalten ist, muss entfernt werden</w:t>
      </w:r>
      <w:r w:rsidR="006257A7">
        <w:rPr>
          <w:rFonts w:ascii="Tahoma" w:hAnsi="Tahoma" w:cs="Tahoma"/>
          <w:sz w:val="18"/>
          <w:lang w:val="de-DE"/>
        </w:rPr>
        <w:t xml:space="preserve">. </w:t>
      </w:r>
    </w:p>
    <w:p w:rsidR="00C7319A" w:rsidRPr="009123CB" w:rsidRDefault="00C7319A" w:rsidP="00C7319A">
      <w:pPr>
        <w:pStyle w:val="EndnoteText"/>
        <w:tabs>
          <w:tab w:val="num" w:pos="1080"/>
        </w:tabs>
        <w:ind w:left="720"/>
        <w:rPr>
          <w:lang w:val="de-DE"/>
        </w:rPr>
      </w:pP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Ultimate mit MSDN</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Premium mit MSDN</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Professional mit MSDN</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Professional mit MSDN Embedded</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Test Professional mit MSDN</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Professional mit MSDN Professional</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Professional mit MSDN Premium</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Team System Team Suite mit MSDN Premium</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Team System Test Edition mit MSDN Premium</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Team System Development Edition mit MSDN Premium</w:t>
      </w:r>
    </w:p>
    <w:p w:rsidR="00C7319A" w:rsidRPr="0062435A" w:rsidRDefault="00C7319A" w:rsidP="00C7319A">
      <w:pPr>
        <w:pStyle w:val="FootnoteBulletLevel2"/>
        <w:numPr>
          <w:ilvl w:val="0"/>
          <w:numId w:val="4"/>
        </w:numPr>
        <w:spacing w:before="0" w:after="60"/>
        <w:ind w:left="1440"/>
      </w:pPr>
      <w:r>
        <w:rPr>
          <w:rFonts w:ascii="Tahoma" w:hAnsi="Tahoma" w:cs="Tahoma"/>
          <w:sz w:val="18"/>
        </w:rPr>
        <w:t xml:space="preserve">Visual Studio Team System Architecture Edition mit MSDN Premium </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Team System Database Edition mit MSDN Premium</w:t>
      </w:r>
    </w:p>
    <w:p w:rsidR="00C7319A" w:rsidRPr="0062435A" w:rsidRDefault="00C7319A" w:rsidP="00C7319A">
      <w:pPr>
        <w:pStyle w:val="FootnoteBulletLevel2"/>
        <w:numPr>
          <w:ilvl w:val="0"/>
          <w:numId w:val="4"/>
        </w:numPr>
        <w:spacing w:before="0" w:after="60"/>
        <w:ind w:left="1440"/>
      </w:pPr>
      <w:r>
        <w:rPr>
          <w:rFonts w:ascii="Tahoma" w:hAnsi="Tahoma" w:cs="Tahoma"/>
          <w:sz w:val="18"/>
        </w:rPr>
        <w:t>MSDN-Betriebssysteme</w:t>
      </w:r>
    </w:p>
    <w:p w:rsidR="00C7319A" w:rsidRPr="009123CB" w:rsidRDefault="00C7319A" w:rsidP="00C7319A">
      <w:pPr>
        <w:pStyle w:val="FootnoteBulletLevel2"/>
        <w:numPr>
          <w:ilvl w:val="0"/>
          <w:numId w:val="4"/>
        </w:numPr>
        <w:spacing w:before="0" w:after="60"/>
        <w:ind w:left="1440"/>
        <w:rPr>
          <w:lang w:val="de-DE"/>
        </w:rPr>
      </w:pPr>
      <w:r w:rsidRPr="009123CB">
        <w:rPr>
          <w:rFonts w:ascii="Tahoma" w:hAnsi="Tahoma" w:cs="Tahoma"/>
          <w:sz w:val="18"/>
          <w:lang w:val="de-DE"/>
        </w:rPr>
        <w:t>Aktives Einzelhandelsabonnement für eine der oben genannten Softwareversionen</w:t>
      </w:r>
    </w:p>
    <w:p w:rsidR="00C7319A" w:rsidRDefault="00C7319A" w:rsidP="00C7319A">
      <w:pPr>
        <w:rPr>
          <w:lang w:val="de-DE"/>
        </w:rPr>
      </w:pPr>
    </w:p>
    <w:p w:rsidR="006672FD" w:rsidRPr="009123CB" w:rsidRDefault="006672FD" w:rsidP="00C7319A">
      <w:pPr>
        <w:rPr>
          <w:lang w:val="de-DE"/>
        </w:rPr>
      </w:pPr>
    </w:p>
    <w:p w:rsidR="00C7319A" w:rsidRPr="009123CB" w:rsidRDefault="00C7319A" w:rsidP="00C7319A">
      <w:pPr>
        <w:spacing w:after="60"/>
        <w:ind w:left="720"/>
        <w:rPr>
          <w:lang w:val="de-DE"/>
        </w:rPr>
      </w:pPr>
      <w:r w:rsidRPr="009123CB">
        <w:rPr>
          <w:rFonts w:cs="Tahoma"/>
          <w:b/>
          <w:szCs w:val="20"/>
          <w:lang w:val="de-DE"/>
        </w:rPr>
        <w:t>Abonnementdienste</w:t>
      </w:r>
    </w:p>
    <w:p w:rsidR="00C7319A" w:rsidRPr="009123CB" w:rsidRDefault="00C7319A" w:rsidP="00C7319A">
      <w:pPr>
        <w:pStyle w:val="FootnoteBulletLevel2"/>
        <w:tabs>
          <w:tab w:val="clear" w:pos="1260"/>
        </w:tabs>
        <w:spacing w:before="0"/>
        <w:ind w:left="720" w:firstLine="0"/>
        <w:rPr>
          <w:lang w:val="de-DE"/>
        </w:rPr>
      </w:pPr>
      <w:r w:rsidRPr="009123CB">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r w:rsidR="006257A7">
        <w:rPr>
          <w:rFonts w:ascii="Tahoma" w:hAnsi="Tahoma" w:cs="Tahoma"/>
          <w:sz w:val="18"/>
          <w:lang w:val="de-DE"/>
        </w:rPr>
        <w:t xml:space="preserve">. </w:t>
      </w:r>
    </w:p>
    <w:p w:rsidR="00C7319A" w:rsidRPr="006672FD" w:rsidRDefault="00C7319A" w:rsidP="006672FD">
      <w:pPr>
        <w:pStyle w:val="FootnoteBulletLevel2"/>
        <w:tabs>
          <w:tab w:val="clear" w:pos="1260"/>
        </w:tabs>
        <w:spacing w:before="0" w:line="228" w:lineRule="auto"/>
        <w:ind w:left="0" w:firstLine="0"/>
        <w:rPr>
          <w:sz w:val="18"/>
          <w:szCs w:val="18"/>
          <w:lang w:val="de-DE"/>
        </w:rPr>
      </w:pPr>
    </w:p>
    <w:p w:rsidR="00C7319A" w:rsidRPr="006672FD" w:rsidRDefault="00C7319A" w:rsidP="006672FD">
      <w:pPr>
        <w:pStyle w:val="FootnoteBulletLevel2"/>
        <w:tabs>
          <w:tab w:val="clear" w:pos="1260"/>
        </w:tabs>
        <w:spacing w:before="0" w:line="228" w:lineRule="auto"/>
        <w:ind w:left="0" w:firstLine="0"/>
        <w:rPr>
          <w:sz w:val="18"/>
          <w:szCs w:val="18"/>
          <w:lang w:val="de-DE"/>
        </w:rPr>
      </w:pPr>
    </w:p>
    <w:p w:rsidR="00C7319A" w:rsidRPr="009123CB" w:rsidRDefault="00C7319A" w:rsidP="00C7319A">
      <w:pPr>
        <w:pStyle w:val="Heading2"/>
        <w:ind w:left="0"/>
        <w:rPr>
          <w:lang w:val="de-DE"/>
        </w:rPr>
      </w:pPr>
      <w:bookmarkStart w:id="975" w:name="_6_Office_365"/>
      <w:bookmarkStart w:id="976" w:name="_45_Office_365"/>
      <w:bookmarkStart w:id="977" w:name="_4_MSDN_Platforms"/>
      <w:bookmarkStart w:id="978" w:name="_4_MSDN-Plattformen"/>
      <w:bookmarkStart w:id="979" w:name="_Toc363998999"/>
      <w:bookmarkStart w:id="980" w:name="_Toc336338262"/>
      <w:bookmarkEnd w:id="975"/>
      <w:bookmarkEnd w:id="976"/>
      <w:bookmarkEnd w:id="977"/>
      <w:bookmarkEnd w:id="978"/>
      <w:r w:rsidRPr="009123CB">
        <w:rPr>
          <w:rFonts w:ascii="Tahoma" w:hAnsi="Tahoma" w:cs="Tahoma"/>
          <w:caps/>
          <w:color w:val="F66400"/>
          <w:sz w:val="22"/>
          <w:szCs w:val="20"/>
          <w:vertAlign w:val="superscript"/>
          <w:lang w:val="de-DE"/>
        </w:rPr>
        <w:t>4</w:t>
      </w:r>
      <w:r w:rsidRPr="009123CB">
        <w:rPr>
          <w:color w:val="F66400"/>
          <w:sz w:val="22"/>
          <w:szCs w:val="20"/>
          <w:lang w:val="de-DE"/>
        </w:rPr>
        <w:t xml:space="preserve"> </w:t>
      </w:r>
      <w:r w:rsidRPr="009123CB">
        <w:rPr>
          <w:rFonts w:ascii="Tahoma" w:hAnsi="Tahoma" w:cs="Tahoma"/>
          <w:color w:val="FF6600"/>
          <w:sz w:val="22"/>
          <w:szCs w:val="22"/>
          <w:lang w:val="de-DE"/>
        </w:rPr>
        <w:t>MSDN-Plattformen</w:t>
      </w:r>
      <w:bookmarkEnd w:id="979"/>
    </w:p>
    <w:p w:rsidR="00C7319A" w:rsidRPr="006672FD" w:rsidRDefault="00C7319A" w:rsidP="006672FD">
      <w:pPr>
        <w:pStyle w:val="FootnoteBulletLevel2"/>
        <w:tabs>
          <w:tab w:val="clear" w:pos="1260"/>
        </w:tabs>
        <w:spacing w:before="0" w:line="228" w:lineRule="auto"/>
        <w:ind w:left="0" w:firstLine="0"/>
        <w:rPr>
          <w:sz w:val="18"/>
          <w:szCs w:val="18"/>
          <w:lang w:val="de-DE"/>
        </w:rPr>
      </w:pPr>
    </w:p>
    <w:p w:rsidR="00C7319A" w:rsidRPr="009123CB" w:rsidRDefault="00C7319A" w:rsidP="00C7319A">
      <w:pPr>
        <w:spacing w:after="60"/>
        <w:ind w:left="720"/>
        <w:rPr>
          <w:lang w:val="de-DE"/>
        </w:rPr>
      </w:pPr>
      <w:r w:rsidRPr="009123CB">
        <w:rPr>
          <w:rFonts w:cs="Tahoma"/>
          <w:b/>
          <w:szCs w:val="18"/>
          <w:lang w:val="de-DE"/>
        </w:rPr>
        <w:t>Visual Studio Team Foundation Server 2012</w:t>
      </w:r>
    </w:p>
    <w:p w:rsidR="00C7319A" w:rsidRPr="009123CB" w:rsidRDefault="00C7319A" w:rsidP="00C7319A">
      <w:pPr>
        <w:pStyle w:val="EndnoteText"/>
        <w:ind w:left="720"/>
        <w:rPr>
          <w:lang w:val="de-DE"/>
        </w:rPr>
      </w:pPr>
      <w:r w:rsidRPr="009123CB">
        <w:rPr>
          <w:rFonts w:ascii="Tahoma" w:hAnsi="Tahoma" w:cs="Tahoma"/>
          <w:sz w:val="18"/>
          <w:szCs w:val="18"/>
          <w:lang w:val="de-DE"/>
        </w:rPr>
        <w:t>Der Abonnent ist zu einer Serverlizenz für Visual Studio Team Foundation Server 2012 und zu einer Nutzer-CAL für Team Foundation Server berechtigt</w:t>
      </w:r>
      <w:r w:rsidR="006257A7">
        <w:rPr>
          <w:rFonts w:ascii="Tahoma" w:hAnsi="Tahoma" w:cs="Tahoma"/>
          <w:sz w:val="18"/>
          <w:szCs w:val="18"/>
          <w:lang w:val="de-DE"/>
        </w:rPr>
        <w:t xml:space="preserve">. </w:t>
      </w:r>
      <w:r w:rsidRPr="009123CB">
        <w:rPr>
          <w:rFonts w:ascii="Tahoma" w:hAnsi="Tahoma" w:cs="Tahoma"/>
          <w:sz w:val="18"/>
          <w:szCs w:val="18"/>
          <w:lang w:val="de-DE"/>
        </w:rPr>
        <w:t>Die Verwendung der CAL ist ausschließlich dem Abonnenten vorbehalten</w:t>
      </w:r>
      <w:r w:rsidR="006257A7">
        <w:rPr>
          <w:rFonts w:ascii="Tahoma" w:hAnsi="Tahoma" w:cs="Tahoma"/>
          <w:sz w:val="18"/>
          <w:szCs w:val="18"/>
          <w:lang w:val="de-DE"/>
        </w:rPr>
        <w:t xml:space="preserve">. </w:t>
      </w:r>
    </w:p>
    <w:p w:rsidR="00C7319A" w:rsidRPr="006672FD" w:rsidRDefault="00C7319A" w:rsidP="006672FD">
      <w:pPr>
        <w:spacing w:line="228" w:lineRule="auto"/>
        <w:rPr>
          <w:szCs w:val="18"/>
          <w:lang w:val="de-DE"/>
        </w:rPr>
      </w:pPr>
    </w:p>
    <w:p w:rsidR="00C7319A" w:rsidRPr="009123CB" w:rsidRDefault="00C7319A" w:rsidP="00C7319A">
      <w:pPr>
        <w:spacing w:after="60"/>
        <w:ind w:left="720"/>
        <w:rPr>
          <w:lang w:val="de-DE"/>
        </w:rPr>
      </w:pPr>
      <w:r w:rsidRPr="009123CB">
        <w:rPr>
          <w:rFonts w:cs="Tahoma"/>
          <w:b/>
          <w:szCs w:val="18"/>
          <w:lang w:val="de-DE"/>
        </w:rPr>
        <w:t>Abonnementdienste</w:t>
      </w:r>
    </w:p>
    <w:p w:rsidR="00C7319A" w:rsidRPr="009123CB" w:rsidRDefault="00C7319A" w:rsidP="00C7319A">
      <w:pPr>
        <w:ind w:left="720"/>
        <w:rPr>
          <w:lang w:val="de-DE"/>
        </w:rPr>
      </w:pPr>
      <w:r w:rsidRPr="009123CB">
        <w:rPr>
          <w:rFonts w:cs="Tahoma"/>
          <w:szCs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r w:rsidR="006257A7">
        <w:rPr>
          <w:rFonts w:cs="Tahoma"/>
          <w:szCs w:val="18"/>
          <w:lang w:val="de-DE"/>
        </w:rPr>
        <w:t xml:space="preserve">. </w:t>
      </w:r>
    </w:p>
    <w:p w:rsidR="00C7319A" w:rsidRPr="006672FD" w:rsidRDefault="00C7319A" w:rsidP="006672FD">
      <w:pPr>
        <w:pStyle w:val="Heading2"/>
        <w:spacing w:line="228" w:lineRule="auto"/>
        <w:ind w:left="0"/>
        <w:rPr>
          <w:sz w:val="18"/>
          <w:szCs w:val="18"/>
          <w:lang w:val="de-DE"/>
        </w:rPr>
      </w:pPr>
    </w:p>
    <w:p w:rsidR="00C7319A" w:rsidRPr="006672FD" w:rsidRDefault="00C7319A" w:rsidP="006672FD">
      <w:pPr>
        <w:pStyle w:val="Heading2"/>
        <w:spacing w:line="228" w:lineRule="auto"/>
        <w:ind w:left="0"/>
        <w:rPr>
          <w:sz w:val="18"/>
          <w:szCs w:val="18"/>
          <w:lang w:val="de-DE"/>
        </w:rPr>
      </w:pPr>
    </w:p>
    <w:p w:rsidR="00C7319A" w:rsidRPr="0062435A" w:rsidRDefault="00C7319A" w:rsidP="00C7319A">
      <w:pPr>
        <w:pStyle w:val="Heading2"/>
        <w:ind w:left="0"/>
      </w:pPr>
      <w:bookmarkStart w:id="981" w:name="_5_Office_365_1"/>
      <w:bookmarkStart w:id="982" w:name="_Toc363999000"/>
      <w:bookmarkEnd w:id="981"/>
      <w:r>
        <w:rPr>
          <w:rFonts w:ascii="Tahoma" w:hAnsi="Tahoma" w:cs="Tahoma"/>
          <w:caps/>
          <w:color w:val="FF6600"/>
          <w:sz w:val="22"/>
          <w:szCs w:val="22"/>
          <w:vertAlign w:val="superscript"/>
        </w:rPr>
        <w:t>5</w:t>
      </w:r>
      <w:r>
        <w:rPr>
          <w:rFonts w:ascii="Tahoma" w:hAnsi="Tahoma" w:cs="Tahoma"/>
          <w:color w:val="FF6600"/>
        </w:rPr>
        <w:t xml:space="preserve"> </w:t>
      </w:r>
      <w:r>
        <w:rPr>
          <w:rFonts w:ascii="Tahoma" w:hAnsi="Tahoma" w:cs="Tahoma"/>
          <w:color w:val="FF6600"/>
          <w:sz w:val="22"/>
          <w:szCs w:val="22"/>
        </w:rPr>
        <w:t>Office 365 Education A2-A4 (Nutzer-AL)</w:t>
      </w:r>
      <w:bookmarkEnd w:id="980"/>
      <w:bookmarkEnd w:id="982"/>
    </w:p>
    <w:p w:rsidR="00C7319A" w:rsidRPr="006672FD" w:rsidRDefault="00C7319A" w:rsidP="006672FD">
      <w:pPr>
        <w:spacing w:line="228" w:lineRule="auto"/>
        <w:rPr>
          <w:szCs w:val="18"/>
        </w:rPr>
      </w:pPr>
    </w:p>
    <w:p w:rsidR="00C7319A" w:rsidRPr="009123CB" w:rsidRDefault="00C7319A" w:rsidP="00C7319A">
      <w:pPr>
        <w:ind w:left="720"/>
        <w:rPr>
          <w:lang w:val="de-DE"/>
        </w:rPr>
      </w:pPr>
      <w:r w:rsidRPr="009123CB">
        <w:rPr>
          <w:rFonts w:eastAsia="Calibri" w:cs="Tahoma"/>
          <w:color w:val="000000"/>
          <w:szCs w:val="18"/>
          <w:lang w:val="de-DE"/>
        </w:rPr>
        <w:t>Office 365 Education A2, A3 und A4 besteht aus speziell für Forschung und Lehre erstellten Versionen derselben Onlinedienste, die Office 365 Enterprise E1, E3 oder E4 umfassen, mit Ausnahme von Yammer Enterprise</w:t>
      </w:r>
      <w:r w:rsidR="006257A7">
        <w:rPr>
          <w:rFonts w:eastAsia="Calibri" w:cs="Tahoma"/>
          <w:color w:val="000000"/>
          <w:szCs w:val="18"/>
          <w:lang w:val="de-DE"/>
        </w:rPr>
        <w:t xml:space="preserve">. </w:t>
      </w:r>
      <w:r w:rsidRPr="009123CB">
        <w:rPr>
          <w:rFonts w:eastAsia="Calibri" w:cs="Tahoma"/>
          <w:color w:val="000000"/>
          <w:szCs w:val="18"/>
          <w:lang w:val="de-DE"/>
        </w:rPr>
        <w:t>Nutzungsrechte für Education A2-A4 und ihre Komponenten entsprechen ihren kommerziellen Gegenstücken</w:t>
      </w:r>
      <w:r w:rsidR="006257A7">
        <w:rPr>
          <w:rFonts w:eastAsia="Calibri" w:cs="Tahoma"/>
          <w:color w:val="000000"/>
          <w:szCs w:val="18"/>
          <w:lang w:val="de-DE"/>
        </w:rPr>
        <w:t xml:space="preserve">. </w:t>
      </w:r>
      <w:r w:rsidRPr="009123CB">
        <w:rPr>
          <w:rFonts w:eastAsia="Calibri" w:cs="Tahoma"/>
          <w:color w:val="000000"/>
          <w:szCs w:val="18"/>
          <w:lang w:val="de-DE"/>
        </w:rPr>
        <w:t>Nutzern mit Nutzer-ALs für Office 365 Education A2 ist es jedoch nicht gestattet, auf lokale Server zuzugreifen, und Yammer Enterprise ist für A2 - A4 nicht verfügbar</w:t>
      </w:r>
      <w:r w:rsidR="006257A7">
        <w:rPr>
          <w:rFonts w:eastAsia="Calibri" w:cs="Tahoma"/>
          <w:color w:val="000000"/>
          <w:szCs w:val="18"/>
          <w:lang w:val="de-DE"/>
        </w:rPr>
        <w:t xml:space="preserve">. </w:t>
      </w:r>
    </w:p>
    <w:p w:rsidR="00C7319A" w:rsidRPr="006672FD" w:rsidRDefault="00C7319A" w:rsidP="006672FD">
      <w:pPr>
        <w:spacing w:line="228" w:lineRule="auto"/>
        <w:ind w:left="720"/>
        <w:rPr>
          <w:szCs w:val="18"/>
          <w:lang w:val="de-DE"/>
        </w:rPr>
      </w:pPr>
    </w:p>
    <w:p w:rsidR="00C7319A" w:rsidRPr="009123CB" w:rsidRDefault="00C7319A" w:rsidP="00C7319A">
      <w:pPr>
        <w:ind w:left="720"/>
        <w:rPr>
          <w:lang w:val="de-DE"/>
        </w:rPr>
      </w:pPr>
      <w:r w:rsidRPr="009123CB">
        <w:rPr>
          <w:rFonts w:eastAsia="Calibri" w:cs="Tahoma"/>
          <w:color w:val="000000"/>
          <w:szCs w:val="18"/>
          <w:lang w:val="de-DE"/>
        </w:rPr>
        <w:t>Unter dem School-Vertrag müssen Abonnementlizenzen für Office 365 Pläne pro Nutzer für die gesamte Einrichtung oder nur Teile davon erworben werden</w:t>
      </w:r>
      <w:r w:rsidR="006257A7">
        <w:rPr>
          <w:rFonts w:eastAsia="Calibri" w:cs="Tahoma"/>
          <w:color w:val="000000"/>
          <w:szCs w:val="18"/>
          <w:lang w:val="de-DE"/>
        </w:rPr>
        <w:t xml:space="preserve">. </w:t>
      </w:r>
      <w:r w:rsidRPr="009123CB">
        <w:rPr>
          <w:rFonts w:eastAsia="Calibri" w:cs="Tahoma"/>
          <w:color w:val="000000"/>
          <w:szCs w:val="18"/>
          <w:lang w:val="de-DE"/>
        </w:rPr>
        <w:t>Wenn während der Laufzeit zusätzliche Nutzer-Abonnementlizenzen für den Zugriff auf O365 Plan benötigt werden, muss die Einrichtung eine Bestellung für diese Lizenzen abgeben</w:t>
      </w:r>
      <w:r w:rsidR="006257A7">
        <w:rPr>
          <w:rFonts w:eastAsia="Calibri" w:cs="Tahoma"/>
          <w:color w:val="000000"/>
          <w:szCs w:val="18"/>
          <w:lang w:val="de-DE"/>
        </w:rPr>
        <w:t xml:space="preserve">. </w:t>
      </w:r>
      <w:r w:rsidRPr="009123CB">
        <w:rPr>
          <w:rFonts w:eastAsia="Calibri" w:cs="Tahoma"/>
          <w:color w:val="000000"/>
          <w:szCs w:val="18"/>
          <w:lang w:val="de-DE"/>
        </w:rPr>
        <w:t>Die Einrichtung kann jeden O365 Plan nutzen, um die Mindestanforderungen des Programms zu erfüllen</w:t>
      </w:r>
      <w:r w:rsidR="006257A7">
        <w:rPr>
          <w:rFonts w:eastAsia="Calibri" w:cs="Tahoma"/>
          <w:color w:val="000000"/>
          <w:szCs w:val="18"/>
          <w:lang w:val="de-DE"/>
        </w:rPr>
        <w:t xml:space="preserve">. </w:t>
      </w:r>
      <w:r w:rsidRPr="009123CB">
        <w:rPr>
          <w:rFonts w:eastAsia="Calibri" w:cs="Tahoma"/>
          <w:color w:val="000000"/>
          <w:szCs w:val="18"/>
          <w:lang w:val="de-DE"/>
        </w:rPr>
        <w:t>Bei der Lizenzierung des O365 Add-On muss das entsprechende qualifizierende Produkt unter demselben Beitritt lizenziert werden</w:t>
      </w:r>
      <w:r w:rsidR="006257A7">
        <w:rPr>
          <w:rFonts w:eastAsia="Calibri" w:cs="Tahoma"/>
          <w:color w:val="000000"/>
          <w:szCs w:val="18"/>
          <w:lang w:val="de-DE"/>
        </w:rPr>
        <w:t xml:space="preserve">. </w:t>
      </w:r>
      <w:r w:rsidRPr="009123CB">
        <w:rPr>
          <w:color w:val="000000"/>
          <w:lang w:val="de-DE"/>
        </w:rP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r w:rsidR="006257A7">
        <w:rPr>
          <w:color w:val="000000"/>
          <w:lang w:val="de-DE"/>
        </w:rPr>
        <w:t xml:space="preserve">. </w:t>
      </w:r>
    </w:p>
    <w:p w:rsidR="00C7319A" w:rsidRPr="006672FD" w:rsidRDefault="00C7319A" w:rsidP="006672FD">
      <w:pPr>
        <w:spacing w:line="228" w:lineRule="auto"/>
        <w:ind w:left="720"/>
        <w:rPr>
          <w:szCs w:val="18"/>
          <w:lang w:val="de-DE"/>
        </w:rPr>
      </w:pPr>
    </w:p>
    <w:p w:rsidR="00C7319A" w:rsidRPr="009123CB" w:rsidRDefault="00C7319A" w:rsidP="00C7319A">
      <w:pPr>
        <w:ind w:left="720"/>
        <w:rPr>
          <w:lang w:val="de-DE"/>
        </w:rPr>
      </w:pPr>
      <w:r w:rsidRPr="009123CB">
        <w:rPr>
          <w:iCs/>
          <w:lang w:val="de-DE"/>
        </w:rPr>
        <w:t>Als zeitlich beschränktes Angebot erhalten Kunden, die für Office 365 Education A2, A3 oder A4 lizenziert sind, mit jeder Nutzerabonnementlizenz für Office 365 Education A2, A3 und A4 eine lizenzierte Kopie von Lync 2013 (oder Lync für Mac 2011) kostenlos</w:t>
      </w:r>
      <w:r w:rsidR="006257A7">
        <w:rPr>
          <w:iCs/>
          <w:lang w:val="de-DE"/>
        </w:rPr>
        <w:t xml:space="preserve">. </w:t>
      </w:r>
      <w:r w:rsidRPr="009123CB">
        <w:rPr>
          <w:iCs/>
          <w:lang w:val="de-DE"/>
        </w:rPr>
        <w:t>Die Software darf nur mit Office 365 Education A2, A3, A4 (enthält Lync Online) genutzt werden, und alle Rechte zur Nutzung der Software enden bei Ablauf der zugrunde liegende Abonnementlizenz oder bei Migration auf die nächste Hauptversion von Office 365 Education A2, A3, A4 und Lync Online, je nachdem, welches Ereignis zuerst eintritt</w:t>
      </w:r>
      <w:r w:rsidR="006257A7">
        <w:rPr>
          <w:iCs/>
          <w:lang w:val="de-DE"/>
        </w:rPr>
        <w:t xml:space="preserve">. </w:t>
      </w:r>
    </w:p>
    <w:p w:rsidR="00C7319A" w:rsidRPr="006672FD" w:rsidRDefault="00C7319A" w:rsidP="006672FD">
      <w:pPr>
        <w:spacing w:line="228" w:lineRule="auto"/>
        <w:ind w:left="720"/>
        <w:rPr>
          <w:szCs w:val="18"/>
          <w:lang w:val="de-DE"/>
        </w:rPr>
      </w:pPr>
    </w:p>
    <w:p w:rsidR="00C7319A" w:rsidRPr="009123CB" w:rsidRDefault="00C7319A" w:rsidP="00C7319A">
      <w:pPr>
        <w:spacing w:after="60"/>
        <w:ind w:left="720"/>
        <w:rPr>
          <w:lang w:val="de-DE"/>
        </w:rPr>
      </w:pPr>
      <w:r w:rsidRPr="009123CB">
        <w:rPr>
          <w:rFonts w:cs="Tahoma"/>
          <w:b/>
          <w:szCs w:val="20"/>
          <w:lang w:val="de-DE"/>
        </w:rPr>
        <w:t>Add-On-Nutzer-ALs</w:t>
      </w:r>
    </w:p>
    <w:p w:rsidR="00C7319A" w:rsidRPr="009123CB" w:rsidRDefault="00C7319A" w:rsidP="00C7319A">
      <w:pPr>
        <w:ind w:left="720"/>
        <w:rPr>
          <w:lang w:val="de-DE"/>
        </w:rPr>
      </w:pPr>
      <w:r w:rsidRPr="009123CB">
        <w:rPr>
          <w:rFonts w:eastAsia="Calibri" w:cs="Tahoma"/>
          <w:color w:val="000000"/>
          <w:szCs w:val="18"/>
          <w:lang w:val="de-DE"/>
        </w:rPr>
        <w:t>Einrichtungen, bei denen qualifizierende Produkte abgedeckt sind, können die entsprechende Nutzer-Abonnementlizenz für O365 Add-On Plan erwerben, wie in der Tabelle unten festgelegt</w:t>
      </w:r>
      <w:r w:rsidR="006257A7">
        <w:rPr>
          <w:rFonts w:eastAsia="Calibri" w:cs="Tahoma"/>
          <w:color w:val="000000"/>
          <w:szCs w:val="18"/>
          <w:lang w:val="de-DE"/>
        </w:rPr>
        <w:t xml:space="preserve">. </w:t>
      </w:r>
      <w:r w:rsidRPr="009123CB">
        <w:rPr>
          <w:rFonts w:eastAsia="Calibri" w:cs="Tahoma"/>
          <w:color w:val="000000"/>
          <w:szCs w:val="18"/>
          <w:lang w:val="de-DE"/>
        </w:rPr>
        <w:t>Einrichtungen mit einem School-Vertrag: Einrichtungen können so viele Nutzer-Abonnementlizenzen für O365 Add-On Plan für ihre Nutzer erwerben, wie sie berechtigte PCs besitzen, solange die Abdeckung für die qualifizierenden Produkte beibehalten wird</w:t>
      </w:r>
      <w:r w:rsidR="006257A7">
        <w:rPr>
          <w:rFonts w:eastAsia="Calibri" w:cs="Tahoma"/>
          <w:color w:val="000000"/>
          <w:szCs w:val="18"/>
          <w:lang w:val="de-DE"/>
        </w:rPr>
        <w:t xml:space="preserve">. </w:t>
      </w:r>
    </w:p>
    <w:p w:rsidR="00C7319A" w:rsidRPr="006672FD" w:rsidRDefault="00C7319A" w:rsidP="006672FD">
      <w:pPr>
        <w:spacing w:line="228" w:lineRule="auto"/>
        <w:rPr>
          <w:szCs w:val="18"/>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C7319A" w:rsidRPr="005C647E" w:rsidTr="006672FD">
        <w:trPr>
          <w:tblHeader/>
        </w:trPr>
        <w:tc>
          <w:tcPr>
            <w:tcW w:w="4320" w:type="dxa"/>
            <w:shd w:val="clear" w:color="auto" w:fill="FABF8F"/>
          </w:tcPr>
          <w:p w:rsidR="00C7319A" w:rsidRPr="005C647E" w:rsidRDefault="00C7319A" w:rsidP="00A67771">
            <w:pPr>
              <w:rPr>
                <w:rFonts w:eastAsia="Calibri" w:cs="Tahoma"/>
                <w:b/>
                <w:color w:val="000000"/>
                <w:szCs w:val="18"/>
              </w:rPr>
            </w:pPr>
            <w:r>
              <w:rPr>
                <w:rFonts w:eastAsia="Calibri" w:cs="Tahoma"/>
                <w:b/>
                <w:color w:val="000000"/>
                <w:szCs w:val="18"/>
              </w:rPr>
              <w:t>Kriterien für qualifizierende Lizenzen</w:t>
            </w:r>
          </w:p>
        </w:tc>
        <w:tc>
          <w:tcPr>
            <w:tcW w:w="4320" w:type="dxa"/>
            <w:shd w:val="clear" w:color="auto" w:fill="FABF8F"/>
          </w:tcPr>
          <w:p w:rsidR="00C7319A" w:rsidRPr="005C647E" w:rsidRDefault="00C7319A" w:rsidP="00A67771">
            <w:pPr>
              <w:rPr>
                <w:rFonts w:eastAsia="Calibri" w:cs="Tahoma"/>
                <w:b/>
                <w:color w:val="000000"/>
                <w:szCs w:val="18"/>
              </w:rPr>
            </w:pPr>
            <w:r>
              <w:rPr>
                <w:rFonts w:eastAsia="Calibri" w:cs="Tahoma"/>
                <w:b/>
                <w:color w:val="000000"/>
                <w:szCs w:val="18"/>
              </w:rPr>
              <w:t xml:space="preserve">Add-On-Nutzer-AL </w:t>
            </w:r>
          </w:p>
        </w:tc>
      </w:tr>
      <w:tr w:rsidR="00C7319A" w:rsidRPr="00902ECB" w:rsidTr="00A67771">
        <w:tc>
          <w:tcPr>
            <w:tcW w:w="4320" w:type="dxa"/>
            <w:shd w:val="clear" w:color="auto" w:fill="auto"/>
          </w:tcPr>
          <w:p w:rsidR="00C7319A" w:rsidRPr="009123CB" w:rsidRDefault="00C7319A" w:rsidP="00A67771">
            <w:pPr>
              <w:rPr>
                <w:rFonts w:eastAsia="Calibri" w:cs="Tahoma"/>
                <w:color w:val="000000"/>
                <w:szCs w:val="18"/>
                <w:lang w:val="fr-FR"/>
              </w:rPr>
            </w:pPr>
            <w:r w:rsidRPr="009123CB">
              <w:rPr>
                <w:rFonts w:eastAsia="Calibri" w:cs="Tahoma"/>
                <w:color w:val="000000"/>
                <w:szCs w:val="18"/>
                <w:lang w:val="fr-FR"/>
              </w:rPr>
              <w:t>Core CAL Suite</w:t>
            </w:r>
            <w:r w:rsidRPr="009123CB">
              <w:rPr>
                <w:rFonts w:eastAsia="Calibri" w:cs="Tahoma"/>
                <w:color w:val="000000"/>
                <w:szCs w:val="18"/>
                <w:vertAlign w:val="superscript"/>
                <w:lang w:val="fr-FR"/>
              </w:rPr>
              <w:t>1</w:t>
            </w:r>
            <w:r w:rsidRPr="009123CB">
              <w:rPr>
                <w:rFonts w:eastAsia="Calibri" w:cs="Tahoma"/>
                <w:color w:val="000000"/>
                <w:szCs w:val="18"/>
                <w:lang w:val="fr-FR"/>
              </w:rPr>
              <w:t xml:space="preserve"> oder ECAL Suite</w:t>
            </w:r>
            <w:r w:rsidRPr="009123CB">
              <w:rPr>
                <w:rFonts w:eastAsia="Calibri" w:cs="Tahoma"/>
                <w:color w:val="000000"/>
                <w:szCs w:val="18"/>
                <w:vertAlign w:val="superscript"/>
                <w:lang w:val="fr-FR"/>
              </w:rPr>
              <w:t>1</w:t>
            </w:r>
          </w:p>
        </w:tc>
        <w:tc>
          <w:tcPr>
            <w:tcW w:w="4320" w:type="dxa"/>
            <w:shd w:val="clear" w:color="auto" w:fill="auto"/>
          </w:tcPr>
          <w:p w:rsidR="00C7319A" w:rsidRPr="000C0FBE" w:rsidRDefault="00C7319A" w:rsidP="00A67771">
            <w:pPr>
              <w:rPr>
                <w:rFonts w:eastAsia="Calibri" w:cs="Tahoma"/>
                <w:color w:val="000000"/>
                <w:szCs w:val="18"/>
              </w:rPr>
            </w:pPr>
            <w:r>
              <w:rPr>
                <w:rFonts w:eastAsia="Calibri" w:cs="Tahoma"/>
                <w:color w:val="000000"/>
                <w:szCs w:val="18"/>
              </w:rPr>
              <w:t>Nutzer-AL für Office 365 Education A3 Add-On für Core CAL oder ECAL</w:t>
            </w:r>
          </w:p>
        </w:tc>
      </w:tr>
      <w:tr w:rsidR="00C7319A" w:rsidRPr="00902ECB" w:rsidTr="00A67771">
        <w:tc>
          <w:tcPr>
            <w:tcW w:w="4320" w:type="dxa"/>
            <w:shd w:val="clear" w:color="auto" w:fill="auto"/>
          </w:tcPr>
          <w:p w:rsidR="00C7319A" w:rsidRPr="000C0FBE" w:rsidRDefault="00C7319A" w:rsidP="00A67771">
            <w:pPr>
              <w:rPr>
                <w:rFonts w:eastAsia="Calibri" w:cs="Tahoma"/>
                <w:color w:val="000000"/>
                <w:szCs w:val="18"/>
              </w:rPr>
            </w:pPr>
            <w:r>
              <w:rPr>
                <w:rFonts w:eastAsia="Calibri" w:cs="Tahoma"/>
                <w:color w:val="000000"/>
                <w:szCs w:val="18"/>
              </w:rPr>
              <w:t>Office Pro Plus</w:t>
            </w:r>
            <w:r>
              <w:rPr>
                <w:rFonts w:eastAsia="Calibri" w:cs="Tahoma"/>
                <w:color w:val="000000"/>
                <w:szCs w:val="18"/>
                <w:vertAlign w:val="superscript"/>
              </w:rPr>
              <w:t>1</w:t>
            </w:r>
          </w:p>
        </w:tc>
        <w:tc>
          <w:tcPr>
            <w:tcW w:w="4320" w:type="dxa"/>
            <w:shd w:val="clear" w:color="auto" w:fill="auto"/>
          </w:tcPr>
          <w:p w:rsidR="00C7319A" w:rsidRPr="000C0FBE" w:rsidRDefault="00C7319A" w:rsidP="00A67771">
            <w:pPr>
              <w:rPr>
                <w:rFonts w:eastAsia="Calibri" w:cs="Tahoma"/>
                <w:color w:val="000000"/>
                <w:szCs w:val="18"/>
              </w:rPr>
            </w:pPr>
            <w:r>
              <w:rPr>
                <w:rFonts w:eastAsia="Calibri" w:cs="Tahoma"/>
                <w:color w:val="000000"/>
                <w:szCs w:val="18"/>
              </w:rPr>
              <w:t>Nutzer-AL für Office 365 Education A3 Add-On für Office Pro Plus</w:t>
            </w:r>
          </w:p>
        </w:tc>
      </w:tr>
      <w:tr w:rsidR="00C7319A" w:rsidRPr="00902ECB" w:rsidTr="00A67771">
        <w:tc>
          <w:tcPr>
            <w:tcW w:w="4320" w:type="dxa"/>
            <w:shd w:val="clear" w:color="auto" w:fill="auto"/>
          </w:tcPr>
          <w:p w:rsidR="00C7319A" w:rsidRPr="009123CB" w:rsidRDefault="00C7319A" w:rsidP="006672FD">
            <w:pPr>
              <w:rPr>
                <w:rFonts w:eastAsia="Calibri" w:cs="Tahoma"/>
                <w:color w:val="000000"/>
                <w:szCs w:val="18"/>
                <w:lang w:val="fr-FR"/>
              </w:rPr>
            </w:pPr>
            <w:r w:rsidRPr="009123CB">
              <w:rPr>
                <w:rFonts w:eastAsia="Calibri" w:cs="Tahoma"/>
                <w:color w:val="000000"/>
                <w:szCs w:val="18"/>
                <w:lang w:val="fr-FR"/>
              </w:rPr>
              <w:t>Core CAL Suite</w:t>
            </w:r>
            <w:r w:rsidRPr="009123CB">
              <w:rPr>
                <w:rFonts w:eastAsia="Calibri" w:cs="Tahoma"/>
                <w:color w:val="000000"/>
                <w:szCs w:val="18"/>
                <w:vertAlign w:val="superscript"/>
                <w:lang w:val="fr-FR"/>
              </w:rPr>
              <w:t>1</w:t>
            </w:r>
            <w:r w:rsidRPr="009123CB">
              <w:rPr>
                <w:rFonts w:eastAsia="Calibri" w:cs="Tahoma"/>
                <w:color w:val="000000"/>
                <w:szCs w:val="18"/>
                <w:lang w:val="fr-FR"/>
              </w:rPr>
              <w:t xml:space="preserve"> oder ECAL Suite</w:t>
            </w:r>
            <w:r w:rsidRPr="009123CB">
              <w:rPr>
                <w:rFonts w:eastAsia="Calibri" w:cs="Tahoma"/>
                <w:color w:val="000000"/>
                <w:szCs w:val="18"/>
                <w:vertAlign w:val="superscript"/>
                <w:lang w:val="fr-FR"/>
              </w:rPr>
              <w:t>1</w:t>
            </w:r>
            <w:r w:rsidRPr="009123CB">
              <w:rPr>
                <w:rFonts w:eastAsia="Calibri" w:cs="Tahoma"/>
                <w:color w:val="000000"/>
                <w:szCs w:val="18"/>
                <w:lang w:val="fr-FR"/>
              </w:rPr>
              <w:t xml:space="preserve"> + Office Pro</w:t>
            </w:r>
            <w:r w:rsidR="006672FD">
              <w:rPr>
                <w:rFonts w:eastAsia="Calibri" w:cs="Tahoma"/>
                <w:color w:val="000000"/>
                <w:szCs w:val="18"/>
                <w:lang w:val="fr-FR"/>
              </w:rPr>
              <w:t> </w:t>
            </w:r>
            <w:r w:rsidRPr="009123CB">
              <w:rPr>
                <w:rFonts w:eastAsia="Calibri" w:cs="Tahoma"/>
                <w:color w:val="000000"/>
                <w:szCs w:val="18"/>
                <w:lang w:val="fr-FR"/>
              </w:rPr>
              <w:t>Plus</w:t>
            </w:r>
            <w:r w:rsidRPr="009123CB">
              <w:rPr>
                <w:rFonts w:eastAsia="Calibri" w:cs="Tahoma"/>
                <w:color w:val="000000"/>
                <w:szCs w:val="18"/>
                <w:vertAlign w:val="superscript"/>
                <w:lang w:val="fr-FR"/>
              </w:rPr>
              <w:t>1</w:t>
            </w:r>
          </w:p>
        </w:tc>
        <w:tc>
          <w:tcPr>
            <w:tcW w:w="4320" w:type="dxa"/>
            <w:shd w:val="clear" w:color="auto" w:fill="auto"/>
          </w:tcPr>
          <w:p w:rsidR="00C7319A" w:rsidRPr="000C0FBE" w:rsidRDefault="00C7319A" w:rsidP="00A67771">
            <w:pPr>
              <w:rPr>
                <w:rFonts w:eastAsia="Calibri" w:cs="Tahoma"/>
                <w:color w:val="000000"/>
                <w:szCs w:val="18"/>
              </w:rPr>
            </w:pPr>
            <w:r>
              <w:rPr>
                <w:rFonts w:eastAsia="Calibri" w:cs="Tahoma"/>
                <w:color w:val="000000"/>
                <w:szCs w:val="18"/>
              </w:rPr>
              <w:t>Nutzer-AL für Office 365 Education A3 Add-On für Core CAL oder ECAL + Office Pro Plus</w:t>
            </w:r>
          </w:p>
        </w:tc>
      </w:tr>
      <w:tr w:rsidR="00C7319A" w:rsidRPr="00902ECB" w:rsidTr="00A67771">
        <w:tc>
          <w:tcPr>
            <w:tcW w:w="4320" w:type="dxa"/>
            <w:shd w:val="clear" w:color="auto" w:fill="auto"/>
          </w:tcPr>
          <w:p w:rsidR="00C7319A" w:rsidRPr="009123CB" w:rsidRDefault="00C7319A" w:rsidP="00A67771">
            <w:pPr>
              <w:rPr>
                <w:rFonts w:eastAsia="Calibri" w:cs="Tahoma"/>
                <w:color w:val="000000"/>
                <w:szCs w:val="18"/>
                <w:lang w:val="fr-FR"/>
              </w:rPr>
            </w:pPr>
            <w:r w:rsidRPr="009123CB">
              <w:rPr>
                <w:rFonts w:eastAsia="Calibri" w:cs="Tahoma"/>
                <w:color w:val="000000"/>
                <w:szCs w:val="18"/>
                <w:lang w:val="fr-FR"/>
              </w:rPr>
              <w:t>Core CAL Suite</w:t>
            </w:r>
            <w:r w:rsidRPr="009123CB">
              <w:rPr>
                <w:rFonts w:eastAsia="Calibri" w:cs="Tahoma"/>
                <w:color w:val="000000"/>
                <w:szCs w:val="18"/>
                <w:vertAlign w:val="superscript"/>
                <w:lang w:val="fr-FR"/>
              </w:rPr>
              <w:t>1</w:t>
            </w:r>
            <w:r w:rsidRPr="009123CB">
              <w:rPr>
                <w:rFonts w:eastAsia="Calibri" w:cs="Tahoma"/>
                <w:color w:val="000000"/>
                <w:szCs w:val="18"/>
                <w:lang w:val="fr-FR"/>
              </w:rPr>
              <w:t xml:space="preserve"> oder ECAL Suite</w:t>
            </w:r>
            <w:r w:rsidRPr="009123CB">
              <w:rPr>
                <w:rFonts w:eastAsia="Calibri" w:cs="Tahoma"/>
                <w:color w:val="000000"/>
                <w:szCs w:val="18"/>
                <w:vertAlign w:val="superscript"/>
                <w:lang w:val="fr-FR"/>
              </w:rPr>
              <w:t>1</w:t>
            </w:r>
          </w:p>
        </w:tc>
        <w:tc>
          <w:tcPr>
            <w:tcW w:w="4320" w:type="dxa"/>
            <w:shd w:val="clear" w:color="auto" w:fill="auto"/>
          </w:tcPr>
          <w:p w:rsidR="00C7319A" w:rsidRPr="000C0FBE" w:rsidRDefault="00C7319A" w:rsidP="00A67771">
            <w:pPr>
              <w:rPr>
                <w:rFonts w:eastAsia="Calibri" w:cs="Tahoma"/>
                <w:color w:val="000000"/>
                <w:szCs w:val="18"/>
              </w:rPr>
            </w:pPr>
            <w:r>
              <w:rPr>
                <w:rFonts w:eastAsia="Calibri" w:cs="Tahoma"/>
                <w:color w:val="000000"/>
                <w:szCs w:val="18"/>
              </w:rPr>
              <w:t>Nutzer-AL für Office 365 Education A4 Add-On für Core CAL oder ECAL</w:t>
            </w:r>
          </w:p>
        </w:tc>
      </w:tr>
      <w:tr w:rsidR="00C7319A" w:rsidRPr="00902ECB" w:rsidTr="00A67771">
        <w:tc>
          <w:tcPr>
            <w:tcW w:w="4320" w:type="dxa"/>
            <w:shd w:val="clear" w:color="auto" w:fill="auto"/>
          </w:tcPr>
          <w:p w:rsidR="00C7319A" w:rsidRPr="000C0FBE" w:rsidRDefault="00C7319A" w:rsidP="00A67771">
            <w:pPr>
              <w:rPr>
                <w:rFonts w:eastAsia="Calibri" w:cs="Tahoma"/>
                <w:color w:val="000000"/>
                <w:szCs w:val="18"/>
              </w:rPr>
            </w:pPr>
            <w:r>
              <w:rPr>
                <w:rFonts w:eastAsia="Calibri" w:cs="Tahoma"/>
                <w:color w:val="000000"/>
                <w:szCs w:val="18"/>
              </w:rPr>
              <w:t>Office Pro Plus</w:t>
            </w:r>
            <w:r>
              <w:rPr>
                <w:rFonts w:eastAsia="Calibri" w:cs="Tahoma"/>
                <w:color w:val="000000"/>
                <w:szCs w:val="18"/>
                <w:vertAlign w:val="superscript"/>
              </w:rPr>
              <w:t>1</w:t>
            </w:r>
          </w:p>
        </w:tc>
        <w:tc>
          <w:tcPr>
            <w:tcW w:w="4320" w:type="dxa"/>
            <w:shd w:val="clear" w:color="auto" w:fill="auto"/>
          </w:tcPr>
          <w:p w:rsidR="00C7319A" w:rsidRPr="000C0FBE" w:rsidRDefault="00C7319A" w:rsidP="00A67771">
            <w:pPr>
              <w:rPr>
                <w:rFonts w:eastAsia="Calibri" w:cs="Tahoma"/>
                <w:color w:val="000000"/>
                <w:szCs w:val="18"/>
              </w:rPr>
            </w:pPr>
            <w:r>
              <w:rPr>
                <w:rFonts w:eastAsia="Calibri" w:cs="Tahoma"/>
                <w:color w:val="000000"/>
                <w:szCs w:val="18"/>
              </w:rPr>
              <w:t>Nutzer-AL für Office 365 Education A4 Add-On für Office Pro Plus</w:t>
            </w:r>
          </w:p>
        </w:tc>
      </w:tr>
      <w:tr w:rsidR="00C7319A" w:rsidRPr="00902ECB" w:rsidTr="00A67771">
        <w:tc>
          <w:tcPr>
            <w:tcW w:w="4320" w:type="dxa"/>
            <w:shd w:val="clear" w:color="auto" w:fill="auto"/>
          </w:tcPr>
          <w:p w:rsidR="00C7319A" w:rsidRPr="009123CB" w:rsidRDefault="00C7319A" w:rsidP="00A67771">
            <w:pPr>
              <w:rPr>
                <w:rFonts w:eastAsia="Calibri" w:cs="Tahoma"/>
                <w:color w:val="000000"/>
                <w:szCs w:val="18"/>
                <w:lang w:val="fr-FR"/>
              </w:rPr>
            </w:pPr>
            <w:r w:rsidRPr="009123CB">
              <w:rPr>
                <w:rFonts w:eastAsia="Calibri" w:cs="Tahoma"/>
                <w:color w:val="000000"/>
                <w:szCs w:val="18"/>
                <w:lang w:val="fr-FR"/>
              </w:rPr>
              <w:t>Core CAL Suite oder ECAL Suite</w:t>
            </w:r>
            <w:r w:rsidRPr="009123CB">
              <w:rPr>
                <w:rFonts w:eastAsia="Calibri" w:cs="Tahoma"/>
                <w:color w:val="000000"/>
                <w:szCs w:val="18"/>
                <w:vertAlign w:val="superscript"/>
                <w:lang w:val="fr-FR"/>
              </w:rPr>
              <w:t>1</w:t>
            </w:r>
            <w:r w:rsidRPr="009123CB">
              <w:rPr>
                <w:rFonts w:eastAsia="Calibri" w:cs="Tahoma"/>
                <w:color w:val="000000"/>
                <w:szCs w:val="18"/>
                <w:lang w:val="fr-FR"/>
              </w:rPr>
              <w:t xml:space="preserve"> + Office Pro Plus</w:t>
            </w:r>
            <w:r w:rsidRPr="009123CB">
              <w:rPr>
                <w:rFonts w:eastAsia="Calibri" w:cs="Tahoma"/>
                <w:color w:val="000000"/>
                <w:szCs w:val="18"/>
                <w:vertAlign w:val="superscript"/>
                <w:lang w:val="fr-FR"/>
              </w:rPr>
              <w:t>1</w:t>
            </w:r>
          </w:p>
        </w:tc>
        <w:tc>
          <w:tcPr>
            <w:tcW w:w="4320" w:type="dxa"/>
            <w:shd w:val="clear" w:color="auto" w:fill="auto"/>
          </w:tcPr>
          <w:p w:rsidR="00C7319A" w:rsidRPr="000C0FBE" w:rsidRDefault="00C7319A" w:rsidP="00A67771">
            <w:pPr>
              <w:rPr>
                <w:rFonts w:eastAsia="Calibri" w:cs="Tahoma"/>
                <w:color w:val="000000"/>
                <w:szCs w:val="18"/>
              </w:rPr>
            </w:pPr>
            <w:r>
              <w:rPr>
                <w:rFonts w:eastAsia="Calibri" w:cs="Tahoma"/>
                <w:color w:val="000000"/>
                <w:szCs w:val="18"/>
              </w:rPr>
              <w:t>Nutzer-AL für Office 365 Education A4 Add-On für Core CAL oder ECAL + Office Pro Plus</w:t>
            </w:r>
          </w:p>
        </w:tc>
      </w:tr>
    </w:tbl>
    <w:p w:rsidR="00C7319A" w:rsidRPr="009123CB" w:rsidRDefault="00C7319A" w:rsidP="00C7319A">
      <w:pPr>
        <w:ind w:left="900"/>
        <w:rPr>
          <w:lang w:val="de-DE"/>
        </w:rPr>
      </w:pPr>
      <w:r w:rsidRPr="009123CB">
        <w:rPr>
          <w:rFonts w:eastAsia="Calibri" w:cs="Tahoma"/>
          <w:i/>
          <w:color w:val="000000"/>
          <w:sz w:val="16"/>
          <w:szCs w:val="18"/>
          <w:vertAlign w:val="superscript"/>
          <w:lang w:val="de-DE"/>
        </w:rPr>
        <w:t>1</w:t>
      </w:r>
      <w:r w:rsidRPr="009123CB">
        <w:rPr>
          <w:rFonts w:eastAsia="Calibri" w:cs="Tahoma"/>
          <w:i/>
          <w:color w:val="000000"/>
          <w:sz w:val="16"/>
          <w:szCs w:val="18"/>
          <w:lang w:val="de-DE"/>
        </w:rPr>
        <w:t>Mit aktiver Software Assurance</w:t>
      </w:r>
    </w:p>
    <w:p w:rsidR="00C7319A" w:rsidRPr="009123CB" w:rsidRDefault="00C7319A" w:rsidP="00C7319A">
      <w:pPr>
        <w:ind w:left="720"/>
        <w:rPr>
          <w:lang w:val="de-DE"/>
        </w:rPr>
      </w:pPr>
    </w:p>
    <w:p w:rsidR="00C7319A" w:rsidRPr="009123CB" w:rsidRDefault="00C7319A" w:rsidP="006672FD">
      <w:pPr>
        <w:ind w:left="720"/>
        <w:rPr>
          <w:lang w:val="de-DE"/>
        </w:rPr>
      </w:pPr>
      <w:r w:rsidRPr="009123CB">
        <w:rPr>
          <w:rFonts w:eastAsia="Calibri" w:cs="Tahoma"/>
          <w:iCs/>
          <w:color w:val="000000"/>
          <w:szCs w:val="18"/>
          <w:lang w:val="de-DE"/>
        </w:rPr>
        <w:t>Einrichtungen, bei denen allen wissenschaftlichen und sonstigen Mitarbeitern Nutzer-ALs für Office 365 Education A3 oder Office 365 Education A4 zugewiesen wurden, sind berechtigt, Office Professional Plus 2010-Software in frei zugänglichen Räumlichkeiten oder Bibliotheken innerhalb der Organisation der Einrichtung zu installieren</w:t>
      </w:r>
      <w:r w:rsidR="006257A7">
        <w:rPr>
          <w:rFonts w:eastAsia="Calibri" w:cs="Tahoma"/>
          <w:iCs/>
          <w:color w:val="000000"/>
          <w:szCs w:val="18"/>
          <w:lang w:val="de-DE"/>
        </w:rPr>
        <w:t xml:space="preserve">. </w:t>
      </w:r>
      <w:r w:rsidRPr="009123CB">
        <w:rPr>
          <w:rFonts w:eastAsia="Calibri" w:cs="Tahoma"/>
          <w:iCs/>
          <w:color w:val="000000"/>
          <w:szCs w:val="18"/>
          <w:lang w:val="de-DE"/>
        </w:rPr>
        <w:t>Nutzer der Software unterliegen ansonsten den Lizenzbestimmungen für Office</w:t>
      </w:r>
      <w:r w:rsidR="006672FD">
        <w:rPr>
          <w:rFonts w:eastAsia="Calibri" w:cs="Tahoma"/>
          <w:iCs/>
          <w:color w:val="000000"/>
          <w:szCs w:val="18"/>
          <w:lang w:val="de-DE"/>
        </w:rPr>
        <w:t> </w:t>
      </w:r>
      <w:r w:rsidRPr="009123CB">
        <w:rPr>
          <w:rFonts w:eastAsia="Calibri" w:cs="Tahoma"/>
          <w:iCs/>
          <w:color w:val="000000"/>
          <w:szCs w:val="18"/>
          <w:lang w:val="de-DE"/>
        </w:rPr>
        <w:t>Pro Plus 2010</w:t>
      </w:r>
      <w:r w:rsidR="006257A7">
        <w:rPr>
          <w:rFonts w:eastAsia="Calibri" w:cs="Tahoma"/>
          <w:iCs/>
          <w:color w:val="000000"/>
          <w:szCs w:val="18"/>
          <w:lang w:val="de-DE"/>
        </w:rPr>
        <w:t xml:space="preserve">. </w:t>
      </w:r>
    </w:p>
    <w:p w:rsidR="00C7319A" w:rsidRPr="009123CB" w:rsidRDefault="00C7319A" w:rsidP="00C7319A">
      <w:pPr>
        <w:ind w:left="720"/>
        <w:rPr>
          <w:lang w:val="de-DE"/>
        </w:rPr>
      </w:pPr>
    </w:p>
    <w:p w:rsidR="00C7319A" w:rsidRPr="009123CB" w:rsidRDefault="00C7319A" w:rsidP="006672FD">
      <w:pPr>
        <w:pStyle w:val="FootnoteBulletLevel2"/>
        <w:tabs>
          <w:tab w:val="clear" w:pos="1260"/>
        </w:tabs>
        <w:spacing w:before="0"/>
        <w:ind w:left="720" w:firstLine="0"/>
        <w:rPr>
          <w:lang w:val="de-DE"/>
        </w:rPr>
      </w:pPr>
      <w:r w:rsidRPr="009123CB">
        <w:rPr>
          <w:rFonts w:ascii="Tahoma" w:eastAsia="Calibri" w:hAnsi="Tahoma" w:cs="Tahoma"/>
          <w:color w:val="000000"/>
          <w:sz w:val="18"/>
          <w:szCs w:val="18"/>
          <w:lang w:val="de-DE"/>
        </w:rPr>
        <w:t>Für Lync Online Plan 1A und Plan 2A muss Microsoft Lync 2013 (oder Lync für Mac 2011) separat erworben</w:t>
      </w:r>
      <w:r w:rsidR="006672FD">
        <w:rPr>
          <w:rFonts w:ascii="Tahoma" w:eastAsia="Calibri" w:hAnsi="Tahoma" w:cs="Tahoma"/>
          <w:color w:val="000000"/>
          <w:sz w:val="18"/>
          <w:szCs w:val="18"/>
          <w:lang w:val="de-DE"/>
        </w:rPr>
        <w:t> </w:t>
      </w:r>
      <w:r w:rsidRPr="009123CB">
        <w:rPr>
          <w:rFonts w:ascii="Tahoma" w:eastAsia="Calibri" w:hAnsi="Tahoma" w:cs="Tahoma"/>
          <w:color w:val="000000"/>
          <w:sz w:val="18"/>
          <w:szCs w:val="18"/>
          <w:lang w:val="de-DE"/>
        </w:rPr>
        <w:t>und installiert werden, damit alle Features von Lync Online Plan 1A und Plan 2A zur Verfügung stehen</w:t>
      </w:r>
      <w:r w:rsidR="006257A7">
        <w:rPr>
          <w:rFonts w:ascii="Tahoma" w:eastAsia="Calibri" w:hAnsi="Tahoma" w:cs="Tahoma"/>
          <w:color w:val="000000"/>
          <w:sz w:val="18"/>
          <w:szCs w:val="18"/>
          <w:lang w:val="de-DE"/>
        </w:rPr>
        <w:t xml:space="preserve">. </w:t>
      </w:r>
      <w:r w:rsidRPr="009123CB">
        <w:rPr>
          <w:rFonts w:ascii="Tahoma" w:eastAsia="Calibri" w:hAnsi="Tahoma" w:cs="Tahoma"/>
          <w:color w:val="000000"/>
          <w:sz w:val="18"/>
          <w:szCs w:val="18"/>
          <w:lang w:val="de-DE"/>
        </w:rPr>
        <w:t>Als zeitlich beschränktes Angebot erhalten Kunden, die für Lync Online lizenziert sind, mit jeder Abonnementlizenz für Lync Online eine lizenzierte Kopie von Lync für Mac 2011 kostenlos</w:t>
      </w:r>
      <w:r w:rsidR="006257A7">
        <w:rPr>
          <w:rFonts w:ascii="Tahoma" w:eastAsia="Calibri" w:hAnsi="Tahoma" w:cs="Tahoma"/>
          <w:color w:val="000000"/>
          <w:sz w:val="18"/>
          <w:szCs w:val="18"/>
          <w:lang w:val="de-DE"/>
        </w:rPr>
        <w:t xml:space="preserve">. </w:t>
      </w:r>
      <w:r w:rsidRPr="009123CB">
        <w:rPr>
          <w:rFonts w:ascii="Tahoma" w:eastAsia="Calibri" w:hAnsi="Tahoma" w:cs="Tahoma"/>
          <w:color w:val="000000"/>
          <w:sz w:val="18"/>
          <w:szCs w:val="18"/>
          <w:lang w:val="de-DE"/>
        </w:rPr>
        <w:t>Die Software darf</w:t>
      </w:r>
      <w:r w:rsidR="006672FD">
        <w:rPr>
          <w:rFonts w:ascii="Tahoma" w:eastAsia="Calibri" w:hAnsi="Tahoma" w:cs="Tahoma"/>
          <w:color w:val="000000"/>
          <w:sz w:val="18"/>
          <w:szCs w:val="18"/>
          <w:lang w:val="de-DE"/>
        </w:rPr>
        <w:t> </w:t>
      </w:r>
      <w:r w:rsidRPr="009123CB">
        <w:rPr>
          <w:rFonts w:ascii="Tahoma" w:eastAsia="Calibri" w:hAnsi="Tahoma" w:cs="Tahoma"/>
          <w:color w:val="000000"/>
          <w:sz w:val="18"/>
          <w:szCs w:val="18"/>
          <w:lang w:val="de-DE"/>
        </w:rPr>
        <w:t>nur mit Lync Online genutzt werden, und alle Rechte zur Nutzung der Software enden bei Ablauf der zugrunde liegende Abonnementlizenz oder bei Migration auf die nächste Hauptversion von Lync Online, je nachdem, welches Ereignis zuerst eintritt</w:t>
      </w:r>
      <w:r w:rsidR="006257A7">
        <w:rPr>
          <w:rFonts w:ascii="Tahoma" w:eastAsia="Calibri" w:hAnsi="Tahoma" w:cs="Tahoma"/>
          <w:color w:val="000000"/>
          <w:sz w:val="18"/>
          <w:szCs w:val="18"/>
          <w:lang w:val="de-DE"/>
        </w:rPr>
        <w:t xml:space="preserve">. </w:t>
      </w:r>
      <w:r w:rsidRPr="009123CB">
        <w:rPr>
          <w:rFonts w:ascii="Tahoma" w:eastAsia="Calibri" w:hAnsi="Tahoma" w:cs="Tahoma"/>
          <w:color w:val="000000"/>
          <w:sz w:val="18"/>
          <w:szCs w:val="18"/>
          <w:lang w:val="de-DE"/>
        </w:rPr>
        <w:t>Kunden sind berechtigt, den kostenlosen Lync Basic 2013-Client für ihre Windows-basierten Endbenutzer zu nutzen</w:t>
      </w:r>
      <w:r w:rsidR="006257A7">
        <w:rPr>
          <w:rFonts w:ascii="Tahoma" w:eastAsia="Calibri" w:hAnsi="Tahoma" w:cs="Tahoma"/>
          <w:color w:val="000000"/>
          <w:sz w:val="18"/>
          <w:szCs w:val="18"/>
          <w:lang w:val="de-DE"/>
        </w:rPr>
        <w:t xml:space="preserve">. </w:t>
      </w:r>
    </w:p>
    <w:p w:rsidR="00C7319A" w:rsidRPr="009123CB" w:rsidRDefault="00C7319A" w:rsidP="00C7319A">
      <w:pPr>
        <w:pStyle w:val="FootnoteBulletLevel2"/>
        <w:tabs>
          <w:tab w:val="clear" w:pos="1260"/>
        </w:tabs>
        <w:spacing w:before="0"/>
        <w:ind w:left="0" w:firstLine="0"/>
        <w:rPr>
          <w:lang w:val="de-DE"/>
        </w:rPr>
      </w:pPr>
    </w:p>
    <w:p w:rsidR="00C7319A" w:rsidRPr="009123CB" w:rsidRDefault="00C7319A" w:rsidP="00C7319A">
      <w:pPr>
        <w:pStyle w:val="FootnoteBulletLevel2"/>
        <w:tabs>
          <w:tab w:val="clear" w:pos="1260"/>
        </w:tabs>
        <w:spacing w:before="0"/>
        <w:ind w:left="0" w:firstLine="0"/>
        <w:rPr>
          <w:lang w:val="de-DE"/>
        </w:rPr>
      </w:pPr>
    </w:p>
    <w:p w:rsidR="00C7319A" w:rsidRPr="009123CB" w:rsidRDefault="00C7319A" w:rsidP="00C7319A">
      <w:pPr>
        <w:pStyle w:val="Heading2"/>
        <w:ind w:left="0"/>
        <w:rPr>
          <w:lang w:val="de-DE"/>
        </w:rPr>
      </w:pPr>
      <w:bookmarkStart w:id="983" w:name="_7_Office_365"/>
      <w:bookmarkStart w:id="984" w:name="_65_Office_365"/>
      <w:bookmarkStart w:id="985" w:name="_5_Office_365"/>
      <w:bookmarkStart w:id="986" w:name="_Toc363999001"/>
      <w:bookmarkStart w:id="987" w:name="_Toc336338263"/>
      <w:bookmarkEnd w:id="983"/>
      <w:bookmarkEnd w:id="984"/>
      <w:bookmarkEnd w:id="985"/>
      <w:r w:rsidRPr="009123CB">
        <w:rPr>
          <w:rFonts w:ascii="Tahoma" w:hAnsi="Tahoma" w:cs="Tahoma"/>
          <w:caps/>
          <w:color w:val="FF6600"/>
          <w:sz w:val="22"/>
          <w:szCs w:val="22"/>
          <w:vertAlign w:val="superscript"/>
          <w:lang w:val="de-DE"/>
        </w:rPr>
        <w:t>6</w:t>
      </w:r>
      <w:r w:rsidRPr="009123CB">
        <w:rPr>
          <w:rFonts w:ascii="Tahoma" w:hAnsi="Tahoma" w:cs="Tahoma"/>
          <w:color w:val="FF6600"/>
          <w:lang w:val="de-DE"/>
        </w:rPr>
        <w:t xml:space="preserve"> </w:t>
      </w:r>
      <w:r w:rsidRPr="009123CB">
        <w:rPr>
          <w:rFonts w:ascii="Tahoma" w:hAnsi="Tahoma" w:cs="Tahoma"/>
          <w:color w:val="FF6600"/>
          <w:sz w:val="22"/>
          <w:szCs w:val="22"/>
          <w:lang w:val="de-DE"/>
        </w:rPr>
        <w:t>Office 365 Midsize Business</w:t>
      </w:r>
      <w:bookmarkEnd w:id="986"/>
    </w:p>
    <w:p w:rsidR="00C7319A" w:rsidRPr="009123CB" w:rsidRDefault="00C7319A" w:rsidP="00C7319A">
      <w:pPr>
        <w:ind w:left="720"/>
        <w:rPr>
          <w:lang w:val="de-DE"/>
        </w:rPr>
      </w:pPr>
    </w:p>
    <w:p w:rsidR="00C7319A" w:rsidRPr="009123CB" w:rsidRDefault="00C7319A" w:rsidP="00C7319A">
      <w:pPr>
        <w:ind w:left="720"/>
        <w:rPr>
          <w:lang w:val="de-DE"/>
        </w:rPr>
      </w:pPr>
      <w:r w:rsidRPr="009123CB">
        <w:rPr>
          <w:color w:val="000000"/>
          <w:lang w:val="de-DE"/>
        </w:rPr>
        <w:t>Office 365 Midsized Business richtet sich an Kunden mit einer Organisationsgröße von 10 bis 250 Arbeitsplätzen</w:t>
      </w:r>
      <w:r w:rsidR="006257A7">
        <w:rPr>
          <w:color w:val="000000"/>
          <w:lang w:val="de-DE"/>
        </w:rPr>
        <w:t xml:space="preserve">. </w:t>
      </w:r>
      <w:r w:rsidRPr="009123CB">
        <w:rPr>
          <w:color w:val="000000"/>
          <w:lang w:val="de-DE"/>
        </w:rPr>
        <w:t>Die Lösung wird nur als Open-Lizenz-, Open Value- und Open Value Subscription-Programm verkauft</w:t>
      </w:r>
      <w:r w:rsidR="006257A7">
        <w:rPr>
          <w:color w:val="000000"/>
          <w:lang w:val="de-DE"/>
        </w:rPr>
        <w:t xml:space="preserve">. </w:t>
      </w:r>
      <w:r w:rsidRPr="009123CB">
        <w:rPr>
          <w:color w:val="000000"/>
          <w:lang w:val="de-DE"/>
        </w:rPr>
        <w:t>Nach dem Erwerb von Office 365 Midsized Business erhalten Sie einen Produktschlüssel zur Aktivierung des Dienstes</w:t>
      </w:r>
      <w:r w:rsidR="006257A7">
        <w:rPr>
          <w:color w:val="000000"/>
          <w:lang w:val="de-DE"/>
        </w:rPr>
        <w:t xml:space="preserve">. </w:t>
      </w:r>
    </w:p>
    <w:p w:rsidR="00C7319A" w:rsidRPr="009123CB" w:rsidRDefault="00C7319A" w:rsidP="00C7319A">
      <w:pPr>
        <w:ind w:left="720"/>
        <w:rPr>
          <w:lang w:val="de-DE"/>
        </w:rPr>
      </w:pPr>
    </w:p>
    <w:p w:rsidR="00C7319A" w:rsidRPr="009123CB" w:rsidRDefault="00C7319A" w:rsidP="00C7319A">
      <w:pPr>
        <w:ind w:left="720"/>
        <w:rPr>
          <w:lang w:val="de-DE"/>
        </w:rPr>
      </w:pPr>
      <w:r w:rsidRPr="009123CB">
        <w:rPr>
          <w:color w:val="000000"/>
          <w:lang w:val="de-DE"/>
        </w:rPr>
        <w:t>Office 365 Midsized Business wird nach Zahlung sofort und für ein Jahr verkauft</w:t>
      </w:r>
      <w:r w:rsidR="006257A7">
        <w:rPr>
          <w:color w:val="000000"/>
          <w:lang w:val="de-DE"/>
        </w:rPr>
        <w:t xml:space="preserve">. </w:t>
      </w:r>
      <w:r w:rsidRPr="009123CB">
        <w:rPr>
          <w:color w:val="000000"/>
          <w:lang w:val="de-DE"/>
        </w:rPr>
        <w:t>Das Anfangs- und das Enddatum des Diensteabonnements ist von der Laufzeit des Volumenlizenzvertrages unabhängig</w:t>
      </w:r>
      <w:r w:rsidR="006257A7">
        <w:rPr>
          <w:color w:val="000000"/>
          <w:lang w:val="de-DE"/>
        </w:rPr>
        <w:t xml:space="preserve">. </w:t>
      </w:r>
      <w:r w:rsidRPr="009123CB">
        <w:rPr>
          <w:color w:val="000000"/>
          <w:lang w:val="de-DE"/>
        </w:rPr>
        <w:t>Der Abonnementzeitraum beginnt mit der Aktivierung des Produktschlüssels und nicht zum Zeitpunkt der Bestellung</w:t>
      </w:r>
      <w:r w:rsidR="006257A7">
        <w:rPr>
          <w:color w:val="000000"/>
          <w:lang w:val="de-DE"/>
        </w:rPr>
        <w:t xml:space="preserve">. </w:t>
      </w:r>
      <w:r w:rsidRPr="009123CB">
        <w:rPr>
          <w:color w:val="000000"/>
          <w:lang w:val="de-DE"/>
        </w:rPr>
        <w:t>Nach der Aktivierung des Office 365-Produktschlüssels wird Microsoft von seinen Partnern eingereichte Rückgabeanträge abweisen</w:t>
      </w:r>
      <w:r w:rsidR="006257A7">
        <w:rPr>
          <w:color w:val="000000"/>
          <w:lang w:val="de-DE"/>
        </w:rPr>
        <w:t xml:space="preserve">. </w:t>
      </w:r>
    </w:p>
    <w:p w:rsidR="00C7319A" w:rsidRPr="009123CB" w:rsidRDefault="00C7319A" w:rsidP="00C7319A">
      <w:pPr>
        <w:ind w:left="720"/>
        <w:rPr>
          <w:lang w:val="de-DE"/>
        </w:rPr>
      </w:pPr>
    </w:p>
    <w:p w:rsidR="00C7319A" w:rsidRPr="009123CB" w:rsidRDefault="00C7319A" w:rsidP="00C7319A">
      <w:pPr>
        <w:ind w:left="720"/>
        <w:rPr>
          <w:lang w:val="de-DE"/>
        </w:rPr>
      </w:pPr>
      <w:r w:rsidRPr="009123CB">
        <w:rPr>
          <w:color w:val="000000"/>
          <w:lang w:val="de-DE"/>
        </w:rPr>
        <w:t>Endkunden mit einem aktiven Open Value-/Open Value Subscription-Vertrag mit einer organisationsweiten Verpflichtung für Office Pro Plus und/oder einer Client-Zugriffslizenz-Suite können Office 365 Midsized Business zu einem reduzierten Preis erwerben</w:t>
      </w:r>
      <w:r w:rsidR="006257A7">
        <w:rPr>
          <w:color w:val="000000"/>
          <w:lang w:val="de-DE"/>
        </w:rPr>
        <w:t xml:space="preserve">. </w:t>
      </w:r>
      <w:r w:rsidRPr="009123CB">
        <w:rPr>
          <w:color w:val="000000"/>
          <w:lang w:val="de-DE"/>
        </w:rPr>
        <w:t>Dieses Angebot wird als „Office 365 Open Value-Angebot“ bezeichnet</w:t>
      </w:r>
      <w:r w:rsidR="006257A7">
        <w:rPr>
          <w:color w:val="000000"/>
          <w:lang w:val="de-DE"/>
        </w:rPr>
        <w:t xml:space="preserve">. </w:t>
      </w:r>
      <w:r w:rsidRPr="009123CB">
        <w:rPr>
          <w:color w:val="000000"/>
          <w:lang w:val="de-DE"/>
        </w:rPr>
        <w:t>Weitere Einzelheiten erhalten Kunden von ihrem Handelspartner</w:t>
      </w:r>
      <w:r w:rsidR="006257A7">
        <w:rPr>
          <w:color w:val="000000"/>
          <w:lang w:val="de-DE"/>
        </w:rPr>
        <w:t xml:space="preserve">. </w:t>
      </w:r>
    </w:p>
    <w:p w:rsidR="00C7319A" w:rsidRPr="009123CB" w:rsidRDefault="00C7319A" w:rsidP="00C7319A">
      <w:pPr>
        <w:ind w:left="720"/>
        <w:rPr>
          <w:lang w:val="de-DE"/>
        </w:rPr>
      </w:pPr>
    </w:p>
    <w:p w:rsidR="00C7319A" w:rsidRPr="009123CB" w:rsidRDefault="00C7319A" w:rsidP="00C7319A">
      <w:pPr>
        <w:ind w:left="720"/>
        <w:rPr>
          <w:lang w:val="de-DE"/>
        </w:rPr>
      </w:pPr>
      <w:r w:rsidRPr="009123CB">
        <w:rPr>
          <w:color w:val="000000"/>
          <w:lang w:val="de-DE"/>
        </w:rPr>
        <w:t>Die aktuellen Produktbenutzungsrechte sind bei einem Widerspruch zwischen den Lizenzbestimmungen für Office 365 Midsized Business und diesem Hinweis maßgeblich</w:t>
      </w:r>
      <w:r w:rsidR="006257A7">
        <w:rPr>
          <w:color w:val="000000"/>
          <w:lang w:val="de-DE"/>
        </w:rPr>
        <w:t xml:space="preserve">. </w:t>
      </w:r>
    </w:p>
    <w:p w:rsidR="00C7319A" w:rsidRPr="009123CB" w:rsidRDefault="00C7319A" w:rsidP="00C7319A">
      <w:pPr>
        <w:ind w:left="720"/>
        <w:rPr>
          <w:lang w:val="de-DE"/>
        </w:rPr>
      </w:pPr>
    </w:p>
    <w:p w:rsidR="00C7319A" w:rsidRPr="009123CB" w:rsidRDefault="00C7319A" w:rsidP="00C7319A">
      <w:pPr>
        <w:ind w:left="720"/>
        <w:rPr>
          <w:lang w:val="de-DE"/>
        </w:rPr>
      </w:pPr>
    </w:p>
    <w:p w:rsidR="00C7319A" w:rsidRPr="009123CB" w:rsidRDefault="00C7319A" w:rsidP="00C7319A">
      <w:pPr>
        <w:pStyle w:val="Heading2"/>
        <w:ind w:left="0"/>
        <w:rPr>
          <w:lang w:val="de-DE"/>
        </w:rPr>
      </w:pPr>
      <w:bookmarkStart w:id="988" w:name="_7_Add-on_User"/>
      <w:bookmarkStart w:id="989" w:name="_7_Add-On-Nutzer-Abonnementlizenzen_"/>
      <w:bookmarkStart w:id="990" w:name="_Toc363999002"/>
      <w:bookmarkEnd w:id="988"/>
      <w:bookmarkEnd w:id="989"/>
      <w:r w:rsidRPr="009123CB">
        <w:rPr>
          <w:rFonts w:ascii="Tahoma" w:hAnsi="Tahoma" w:cs="Tahoma"/>
          <w:caps/>
          <w:color w:val="FF6600"/>
          <w:sz w:val="22"/>
          <w:szCs w:val="22"/>
          <w:vertAlign w:val="superscript"/>
          <w:lang w:val="de-DE"/>
        </w:rPr>
        <w:t>7</w:t>
      </w:r>
      <w:r w:rsidRPr="00965A6F">
        <w:rPr>
          <w:rFonts w:ascii="Tahoma" w:hAnsi="Tahoma" w:cs="Tahoma"/>
          <w:caps/>
          <w:color w:val="FF6600"/>
          <w:sz w:val="22"/>
          <w:szCs w:val="22"/>
          <w:lang w:val="de-DE"/>
        </w:rPr>
        <w:t xml:space="preserve"> </w:t>
      </w:r>
      <w:r w:rsidRPr="009123CB">
        <w:rPr>
          <w:rFonts w:ascii="Tahoma" w:hAnsi="Tahoma" w:cs="Tahoma"/>
          <w:color w:val="FF6600"/>
          <w:sz w:val="22"/>
          <w:szCs w:val="22"/>
          <w:lang w:val="de-DE"/>
        </w:rPr>
        <w:t>Add-On-Nutzer-Abonnementlizenzen für Office 365 und Enterprise Workloads</w:t>
      </w:r>
      <w:bookmarkEnd w:id="990"/>
    </w:p>
    <w:p w:rsidR="00C7319A" w:rsidRPr="009123CB" w:rsidRDefault="00C7319A" w:rsidP="00C7319A">
      <w:pPr>
        <w:spacing w:after="60"/>
        <w:ind w:left="720"/>
        <w:rPr>
          <w:lang w:val="de-DE"/>
        </w:rPr>
      </w:pPr>
    </w:p>
    <w:p w:rsidR="00C7319A" w:rsidRPr="009123CB" w:rsidRDefault="00C7319A" w:rsidP="00C7319A">
      <w:pPr>
        <w:spacing w:after="60"/>
        <w:ind w:left="720"/>
        <w:rPr>
          <w:lang w:val="de-DE"/>
        </w:rPr>
      </w:pPr>
      <w:r w:rsidRPr="009123CB">
        <w:rPr>
          <w:lang w:val="de-DE"/>
        </w:rPr>
        <w:t>Eine Add-On-Nutzer-Abonnementlizenz (Add-On-Nutzer-AL) ist eine Nutzer-Abonnementlizenz (AL), die zusätzlich zu (und in Verbindung mit) einer Qualifizierenden Lizenz (oder einem Set von Qualifizierenden Lizenzen) erworben wird und Zugriff zu Onlinediensten sowie Nutzungsrechte bietet, die denen einer Nutzer-AL für Entsprechende Onlinedienste entsprechen</w:t>
      </w:r>
      <w:r w:rsidR="006257A7">
        <w:rPr>
          <w:lang w:val="de-DE"/>
        </w:rPr>
        <w:t xml:space="preserve">. </w:t>
      </w:r>
    </w:p>
    <w:p w:rsidR="00C7319A" w:rsidRDefault="00C7319A" w:rsidP="00C7319A">
      <w:pPr>
        <w:spacing w:after="60"/>
        <w:ind w:left="720"/>
        <w:rPr>
          <w:lang w:val="de-DE"/>
        </w:rPr>
      </w:pPr>
      <w:r w:rsidRPr="009123CB">
        <w:rPr>
          <w:lang w:val="de-DE"/>
        </w:rPr>
        <w:t>In der folgenden Tabelle wird/werden die Qualifizierenden Lizenz(en) und Nutzer-AL für Entsprechende Onlinedienste für alle verfügbaren Add-On-Nutzer-AL aufgeführt</w:t>
      </w:r>
      <w:r w:rsidR="006257A7">
        <w:rPr>
          <w:lang w:val="de-DE"/>
        </w:rPr>
        <w:t xml:space="preserve">. </w:t>
      </w:r>
    </w:p>
    <w:p w:rsidR="006672FD" w:rsidRPr="009123CB" w:rsidRDefault="006672FD" w:rsidP="00C7319A">
      <w:pPr>
        <w:spacing w:after="60"/>
        <w:ind w:left="720"/>
        <w:rPr>
          <w:lang w:val="de-DE"/>
        </w:rPr>
      </w:pPr>
    </w:p>
    <w:p w:rsidR="00C7319A" w:rsidRPr="009123CB" w:rsidRDefault="00C7319A" w:rsidP="00C7319A">
      <w:pPr>
        <w:rPr>
          <w:lang w:val="de-DE"/>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6"/>
        <w:gridCol w:w="3271"/>
        <w:gridCol w:w="3996"/>
      </w:tblGrid>
      <w:tr w:rsidR="00C7319A" w:rsidRPr="00FB51BA" w:rsidTr="00A67771">
        <w:tc>
          <w:tcPr>
            <w:tcW w:w="1277" w:type="dxa"/>
            <w:shd w:val="clear" w:color="auto" w:fill="FABF8F"/>
          </w:tcPr>
          <w:p w:rsidR="00C7319A" w:rsidRPr="000D2A2E" w:rsidRDefault="00C7319A" w:rsidP="00A67771">
            <w:pPr>
              <w:jc w:val="center"/>
              <w:rPr>
                <w:rFonts w:cs="Tahoma"/>
                <w:b/>
                <w:szCs w:val="24"/>
              </w:rPr>
            </w:pPr>
            <w:r>
              <w:rPr>
                <w:rFonts w:cs="Tahoma"/>
                <w:b/>
                <w:szCs w:val="24"/>
              </w:rPr>
              <w:t>Qualifizierende Lizenz(en)</w:t>
            </w:r>
          </w:p>
        </w:tc>
        <w:tc>
          <w:tcPr>
            <w:tcW w:w="3412" w:type="dxa"/>
            <w:shd w:val="clear" w:color="auto" w:fill="FABF8F"/>
            <w:vAlign w:val="center"/>
          </w:tcPr>
          <w:p w:rsidR="00C7319A" w:rsidRPr="00CD3AC7" w:rsidRDefault="00C7319A" w:rsidP="00A67771">
            <w:pPr>
              <w:jc w:val="center"/>
              <w:rPr>
                <w:rFonts w:cs="Tahoma"/>
                <w:b/>
                <w:szCs w:val="24"/>
                <w:vertAlign w:val="superscript"/>
              </w:rPr>
            </w:pPr>
            <w:r>
              <w:rPr>
                <w:rFonts w:cs="Tahoma"/>
                <w:b/>
                <w:szCs w:val="24"/>
              </w:rPr>
              <w:t>Add-On-Nutzer-AL</w:t>
            </w:r>
            <w:r>
              <w:rPr>
                <w:rFonts w:cs="Tahoma"/>
                <w:b/>
                <w:szCs w:val="24"/>
                <w:vertAlign w:val="superscript"/>
              </w:rPr>
              <w:t>1</w:t>
            </w:r>
          </w:p>
        </w:tc>
        <w:tc>
          <w:tcPr>
            <w:tcW w:w="4164" w:type="dxa"/>
            <w:shd w:val="clear" w:color="auto" w:fill="FABF8F"/>
            <w:vAlign w:val="center"/>
          </w:tcPr>
          <w:p w:rsidR="00C7319A" w:rsidRPr="009123CB" w:rsidRDefault="00C7319A" w:rsidP="00A67771">
            <w:pPr>
              <w:jc w:val="center"/>
              <w:rPr>
                <w:rFonts w:cs="Tahoma"/>
                <w:b/>
                <w:szCs w:val="24"/>
                <w:lang w:val="de-DE"/>
              </w:rPr>
            </w:pPr>
            <w:r w:rsidRPr="009123CB">
              <w:rPr>
                <w:rFonts w:cs="Tahoma"/>
                <w:b/>
                <w:szCs w:val="24"/>
                <w:lang w:val="de-DE"/>
              </w:rPr>
              <w:t>Nutzer-AL(s) für Entsprechende Onlinedienste</w:t>
            </w:r>
            <w:r w:rsidRPr="009123CB">
              <w:rPr>
                <w:rFonts w:cs="Tahoma"/>
                <w:b/>
                <w:szCs w:val="24"/>
                <w:vertAlign w:val="superscript"/>
                <w:lang w:val="de-DE"/>
              </w:rPr>
              <w:t>1</w:t>
            </w:r>
          </w:p>
        </w:tc>
      </w:tr>
      <w:tr w:rsidR="00C7319A" w:rsidRPr="000D2A2E" w:rsidTr="00A67771">
        <w:tc>
          <w:tcPr>
            <w:tcW w:w="1277" w:type="dxa"/>
            <w:vMerge w:val="restart"/>
            <w:vAlign w:val="center"/>
          </w:tcPr>
          <w:p w:rsidR="00C7319A" w:rsidRDefault="00C7319A" w:rsidP="00A67771">
            <w:pPr>
              <w:jc w:val="center"/>
              <w:rPr>
                <w:rFonts w:cs="Tahoma"/>
                <w:szCs w:val="18"/>
              </w:rPr>
            </w:pPr>
            <w:r>
              <w:rPr>
                <w:rFonts w:cs="Tahoma"/>
                <w:szCs w:val="18"/>
              </w:rPr>
              <w:t>Core CAL</w:t>
            </w:r>
          </w:p>
        </w:tc>
        <w:tc>
          <w:tcPr>
            <w:tcW w:w="3412" w:type="dxa"/>
            <w:vAlign w:val="center"/>
          </w:tcPr>
          <w:p w:rsidR="00C7319A" w:rsidRPr="002C2E91" w:rsidRDefault="00C7319A" w:rsidP="00A67771">
            <w:pPr>
              <w:rPr>
                <w:rFonts w:cs="Tahoma"/>
                <w:szCs w:val="18"/>
              </w:rPr>
            </w:pPr>
            <w:r>
              <w:rPr>
                <w:rFonts w:cs="Tahoma"/>
                <w:szCs w:val="18"/>
              </w:rPr>
              <w:t xml:space="preserve">Add-On für Office 365 E1/G1 </w:t>
            </w:r>
          </w:p>
        </w:tc>
        <w:tc>
          <w:tcPr>
            <w:tcW w:w="4164" w:type="dxa"/>
            <w:vAlign w:val="center"/>
          </w:tcPr>
          <w:p w:rsidR="00C7319A" w:rsidRPr="000D2A2E" w:rsidRDefault="00C7319A" w:rsidP="00A67771">
            <w:pPr>
              <w:rPr>
                <w:rFonts w:cs="Tahoma"/>
                <w:szCs w:val="18"/>
              </w:rPr>
            </w:pPr>
            <w:r>
              <w:rPr>
                <w:rFonts w:cs="Tahoma"/>
                <w:szCs w:val="18"/>
              </w:rPr>
              <w:t>Office 365 E1/G1</w:t>
            </w:r>
          </w:p>
        </w:tc>
      </w:tr>
      <w:tr w:rsidR="00C7319A" w:rsidRPr="000D2A2E" w:rsidTr="00A67771">
        <w:tc>
          <w:tcPr>
            <w:tcW w:w="1277" w:type="dxa"/>
            <w:vMerge/>
            <w:vAlign w:val="center"/>
          </w:tcPr>
          <w:p w:rsidR="00C7319A" w:rsidRDefault="00C7319A" w:rsidP="00A67771">
            <w:pPr>
              <w:jc w:val="center"/>
              <w:rPr>
                <w:rFonts w:cs="Tahoma"/>
                <w:szCs w:val="18"/>
              </w:rPr>
            </w:pPr>
          </w:p>
        </w:tc>
        <w:tc>
          <w:tcPr>
            <w:tcW w:w="3412" w:type="dxa"/>
            <w:vAlign w:val="center"/>
          </w:tcPr>
          <w:p w:rsidR="00C7319A" w:rsidRPr="002C2E91" w:rsidRDefault="00C7319A" w:rsidP="00A67771">
            <w:pPr>
              <w:rPr>
                <w:rFonts w:cs="Tahoma"/>
                <w:szCs w:val="18"/>
              </w:rPr>
            </w:pPr>
            <w:r>
              <w:rPr>
                <w:rFonts w:cs="Tahoma"/>
                <w:szCs w:val="18"/>
              </w:rPr>
              <w:t xml:space="preserve">Add-On für Office 365 E3/G3 ohne ProPlus </w:t>
            </w:r>
          </w:p>
        </w:tc>
        <w:tc>
          <w:tcPr>
            <w:tcW w:w="4164" w:type="dxa"/>
            <w:vAlign w:val="center"/>
          </w:tcPr>
          <w:p w:rsidR="00C7319A" w:rsidRPr="000D2A2E" w:rsidRDefault="00C7319A" w:rsidP="00A67771">
            <w:pPr>
              <w:rPr>
                <w:rFonts w:cs="Tahoma"/>
                <w:szCs w:val="18"/>
              </w:rPr>
            </w:pPr>
            <w:r>
              <w:rPr>
                <w:rFonts w:cs="Tahoma"/>
                <w:szCs w:val="18"/>
              </w:rPr>
              <w:t>Office 365 E3/G3 ohne ProPlus</w:t>
            </w:r>
          </w:p>
        </w:tc>
      </w:tr>
      <w:tr w:rsidR="00C7319A" w:rsidRPr="000D2A2E" w:rsidTr="00A67771">
        <w:tc>
          <w:tcPr>
            <w:tcW w:w="1277" w:type="dxa"/>
            <w:vMerge/>
            <w:vAlign w:val="center"/>
          </w:tcPr>
          <w:p w:rsidR="00C7319A" w:rsidRDefault="00C7319A" w:rsidP="00A67771">
            <w:pPr>
              <w:jc w:val="center"/>
              <w:rPr>
                <w:rFonts w:cs="Tahoma"/>
                <w:szCs w:val="18"/>
              </w:rPr>
            </w:pPr>
          </w:p>
        </w:tc>
        <w:tc>
          <w:tcPr>
            <w:tcW w:w="3412" w:type="dxa"/>
            <w:vAlign w:val="center"/>
          </w:tcPr>
          <w:p w:rsidR="00C7319A" w:rsidRDefault="00C7319A" w:rsidP="00A67771">
            <w:pPr>
              <w:rPr>
                <w:rFonts w:cs="Tahoma"/>
                <w:szCs w:val="18"/>
              </w:rPr>
            </w:pPr>
            <w:r>
              <w:rPr>
                <w:rFonts w:cs="Tahoma"/>
                <w:szCs w:val="18"/>
              </w:rPr>
              <w:t>Add-On für Office 365 E4/G4 ohne ProPlus</w:t>
            </w:r>
          </w:p>
        </w:tc>
        <w:tc>
          <w:tcPr>
            <w:tcW w:w="4164" w:type="dxa"/>
            <w:vAlign w:val="center"/>
          </w:tcPr>
          <w:p w:rsidR="00C7319A" w:rsidRPr="000D2A2E" w:rsidRDefault="00C7319A" w:rsidP="00A67771">
            <w:pPr>
              <w:rPr>
                <w:rFonts w:cs="Tahoma"/>
                <w:szCs w:val="18"/>
              </w:rPr>
            </w:pPr>
            <w:r>
              <w:rPr>
                <w:rFonts w:cs="Tahoma"/>
                <w:szCs w:val="18"/>
              </w:rPr>
              <w:t xml:space="preserve">Office 365 E4/G4 ohne ProPlus </w:t>
            </w:r>
          </w:p>
        </w:tc>
      </w:tr>
      <w:tr w:rsidR="00C7319A" w:rsidRPr="000D2A2E" w:rsidTr="00A67771">
        <w:tc>
          <w:tcPr>
            <w:tcW w:w="1277" w:type="dxa"/>
            <w:vMerge/>
            <w:vAlign w:val="center"/>
          </w:tcPr>
          <w:p w:rsidR="00C7319A" w:rsidRDefault="00C7319A" w:rsidP="00A67771">
            <w:pPr>
              <w:jc w:val="center"/>
              <w:rPr>
                <w:rFonts w:cs="Tahoma"/>
                <w:szCs w:val="18"/>
              </w:rPr>
            </w:pPr>
          </w:p>
        </w:tc>
        <w:tc>
          <w:tcPr>
            <w:tcW w:w="3412" w:type="dxa"/>
            <w:vAlign w:val="center"/>
          </w:tcPr>
          <w:p w:rsidR="00C7319A" w:rsidRPr="002C2E91" w:rsidRDefault="00C7319A" w:rsidP="00A67771">
            <w:pPr>
              <w:rPr>
                <w:rFonts w:cs="Tahoma"/>
                <w:szCs w:val="18"/>
              </w:rPr>
            </w:pPr>
            <w:r>
              <w:rPr>
                <w:rFonts w:cs="Tahoma"/>
                <w:szCs w:val="18"/>
              </w:rPr>
              <w:t>Add-On für Exchange Online Plan 1</w:t>
            </w:r>
          </w:p>
        </w:tc>
        <w:tc>
          <w:tcPr>
            <w:tcW w:w="4164" w:type="dxa"/>
            <w:vAlign w:val="center"/>
          </w:tcPr>
          <w:p w:rsidR="00C7319A" w:rsidRPr="000D2A2E" w:rsidRDefault="00C7319A" w:rsidP="00A67771">
            <w:pPr>
              <w:rPr>
                <w:rFonts w:cs="Tahoma"/>
                <w:szCs w:val="18"/>
              </w:rPr>
            </w:pPr>
            <w:r>
              <w:rPr>
                <w:rFonts w:cs="Tahoma"/>
                <w:szCs w:val="18"/>
              </w:rPr>
              <w:t>Exchange Online Plan 1</w:t>
            </w:r>
          </w:p>
        </w:tc>
      </w:tr>
      <w:tr w:rsidR="00C7319A" w:rsidRPr="000D2A2E" w:rsidTr="00A67771">
        <w:tc>
          <w:tcPr>
            <w:tcW w:w="1277" w:type="dxa"/>
            <w:vMerge/>
            <w:vAlign w:val="center"/>
          </w:tcPr>
          <w:p w:rsidR="00C7319A" w:rsidRDefault="00C7319A" w:rsidP="00A67771">
            <w:pPr>
              <w:jc w:val="center"/>
              <w:rPr>
                <w:rFonts w:cs="Tahoma"/>
                <w:szCs w:val="18"/>
              </w:rPr>
            </w:pPr>
          </w:p>
        </w:tc>
        <w:tc>
          <w:tcPr>
            <w:tcW w:w="3412" w:type="dxa"/>
            <w:vAlign w:val="center"/>
          </w:tcPr>
          <w:p w:rsidR="00C7319A" w:rsidRPr="002C2E91" w:rsidRDefault="00C7319A" w:rsidP="00A67771">
            <w:pPr>
              <w:rPr>
                <w:rFonts w:cs="Tahoma"/>
                <w:szCs w:val="18"/>
              </w:rPr>
            </w:pPr>
          </w:p>
        </w:tc>
        <w:tc>
          <w:tcPr>
            <w:tcW w:w="4164" w:type="dxa"/>
            <w:vAlign w:val="center"/>
          </w:tcPr>
          <w:p w:rsidR="00C7319A" w:rsidRPr="002C2E91" w:rsidRDefault="00C7319A" w:rsidP="00A67771">
            <w:pPr>
              <w:rPr>
                <w:rFonts w:cs="Tahoma"/>
                <w:szCs w:val="18"/>
              </w:rPr>
            </w:pPr>
          </w:p>
        </w:tc>
      </w:tr>
      <w:tr w:rsidR="00C7319A" w:rsidRPr="000D2A2E" w:rsidTr="00A67771">
        <w:tc>
          <w:tcPr>
            <w:tcW w:w="1277" w:type="dxa"/>
            <w:vMerge/>
            <w:vAlign w:val="center"/>
          </w:tcPr>
          <w:p w:rsidR="00C7319A" w:rsidRDefault="00C7319A" w:rsidP="00A67771">
            <w:pPr>
              <w:jc w:val="center"/>
              <w:rPr>
                <w:rFonts w:cs="Tahoma"/>
                <w:szCs w:val="18"/>
              </w:rPr>
            </w:pPr>
          </w:p>
        </w:tc>
        <w:tc>
          <w:tcPr>
            <w:tcW w:w="3412" w:type="dxa"/>
            <w:vAlign w:val="center"/>
          </w:tcPr>
          <w:p w:rsidR="00C7319A" w:rsidRPr="002C2E91" w:rsidRDefault="00C7319A" w:rsidP="00A67771">
            <w:pPr>
              <w:rPr>
                <w:rFonts w:cs="Tahoma"/>
                <w:szCs w:val="18"/>
              </w:rPr>
            </w:pPr>
            <w:r>
              <w:rPr>
                <w:rFonts w:cs="Tahoma"/>
                <w:szCs w:val="18"/>
              </w:rPr>
              <w:t>Add-On für Lync Online Plan 1</w:t>
            </w:r>
          </w:p>
        </w:tc>
        <w:tc>
          <w:tcPr>
            <w:tcW w:w="4164" w:type="dxa"/>
            <w:vAlign w:val="center"/>
          </w:tcPr>
          <w:p w:rsidR="00C7319A" w:rsidRPr="000D2A2E" w:rsidRDefault="00C7319A" w:rsidP="00A67771">
            <w:pPr>
              <w:rPr>
                <w:rFonts w:cs="Tahoma"/>
                <w:szCs w:val="18"/>
              </w:rPr>
            </w:pPr>
            <w:r>
              <w:rPr>
                <w:rFonts w:cs="Tahoma"/>
                <w:szCs w:val="18"/>
              </w:rPr>
              <w:t>Lync Online Plan 1</w:t>
            </w:r>
          </w:p>
        </w:tc>
      </w:tr>
      <w:tr w:rsidR="00C7319A" w:rsidRPr="000D2A2E" w:rsidTr="00A67771">
        <w:tc>
          <w:tcPr>
            <w:tcW w:w="1277" w:type="dxa"/>
            <w:vMerge/>
            <w:vAlign w:val="center"/>
          </w:tcPr>
          <w:p w:rsidR="00C7319A" w:rsidRDefault="00C7319A" w:rsidP="00A67771">
            <w:pPr>
              <w:jc w:val="center"/>
              <w:rPr>
                <w:rFonts w:cs="Tahoma"/>
                <w:szCs w:val="18"/>
              </w:rPr>
            </w:pPr>
          </w:p>
        </w:tc>
        <w:tc>
          <w:tcPr>
            <w:tcW w:w="3412" w:type="dxa"/>
            <w:vAlign w:val="center"/>
          </w:tcPr>
          <w:p w:rsidR="00C7319A" w:rsidRPr="002C2E91" w:rsidRDefault="00C7319A" w:rsidP="00A67771">
            <w:pPr>
              <w:rPr>
                <w:rFonts w:cs="Tahoma"/>
                <w:szCs w:val="18"/>
              </w:rPr>
            </w:pPr>
            <w:r>
              <w:rPr>
                <w:rFonts w:cs="Tahoma"/>
                <w:szCs w:val="18"/>
              </w:rPr>
              <w:t>Add-On für SharePoint™ Online Plan 1 mit Yammer</w:t>
            </w:r>
          </w:p>
        </w:tc>
        <w:tc>
          <w:tcPr>
            <w:tcW w:w="4164" w:type="dxa"/>
            <w:vAlign w:val="center"/>
          </w:tcPr>
          <w:p w:rsidR="00C7319A" w:rsidRPr="000D2A2E" w:rsidRDefault="00C7319A" w:rsidP="00A67771">
            <w:pPr>
              <w:rPr>
                <w:rFonts w:cs="Tahoma"/>
                <w:szCs w:val="18"/>
              </w:rPr>
            </w:pPr>
            <w:r>
              <w:rPr>
                <w:rFonts w:cs="Tahoma"/>
                <w:szCs w:val="18"/>
              </w:rPr>
              <w:t>SharePoint Online Plan 1 und Yammer Enterprise</w:t>
            </w:r>
          </w:p>
        </w:tc>
      </w:tr>
      <w:tr w:rsidR="00C7319A" w:rsidRPr="000D2A2E" w:rsidTr="00A67771">
        <w:tc>
          <w:tcPr>
            <w:tcW w:w="1277" w:type="dxa"/>
            <w:vMerge w:val="restart"/>
            <w:vAlign w:val="center"/>
          </w:tcPr>
          <w:p w:rsidR="00C7319A" w:rsidRPr="009123CB" w:rsidRDefault="00C7319A" w:rsidP="00A67771">
            <w:pPr>
              <w:jc w:val="center"/>
              <w:rPr>
                <w:lang w:val="fr-FR"/>
              </w:rPr>
            </w:pPr>
            <w:r w:rsidRPr="009123CB">
              <w:rPr>
                <w:rFonts w:cs="Tahoma"/>
                <w:szCs w:val="18"/>
                <w:lang w:val="fr-FR"/>
              </w:rPr>
              <w:t xml:space="preserve">Core CAL Suite + </w:t>
            </w:r>
          </w:p>
          <w:p w:rsidR="00C7319A" w:rsidRPr="009123CB" w:rsidRDefault="00C7319A" w:rsidP="00A67771">
            <w:pPr>
              <w:jc w:val="center"/>
              <w:rPr>
                <w:rFonts w:cs="Tahoma"/>
                <w:szCs w:val="18"/>
                <w:lang w:val="fr-FR"/>
              </w:rPr>
            </w:pPr>
            <w:r w:rsidRPr="009123CB">
              <w:rPr>
                <w:rFonts w:cs="Tahoma"/>
                <w:szCs w:val="18"/>
                <w:lang w:val="fr-FR"/>
              </w:rPr>
              <w:t>Office Professional Plus</w:t>
            </w:r>
          </w:p>
        </w:tc>
        <w:tc>
          <w:tcPr>
            <w:tcW w:w="3412" w:type="dxa"/>
            <w:vAlign w:val="center"/>
          </w:tcPr>
          <w:p w:rsidR="00C7319A" w:rsidRPr="002C2E91" w:rsidRDefault="00C7319A" w:rsidP="00A67771">
            <w:pPr>
              <w:rPr>
                <w:rFonts w:cs="Tahoma"/>
                <w:szCs w:val="18"/>
              </w:rPr>
            </w:pPr>
            <w:r>
              <w:rPr>
                <w:rFonts w:cs="Tahoma"/>
                <w:szCs w:val="18"/>
              </w:rPr>
              <w:t xml:space="preserve">Add-On für Office 365 E1/G1 </w:t>
            </w:r>
          </w:p>
        </w:tc>
        <w:tc>
          <w:tcPr>
            <w:tcW w:w="4164" w:type="dxa"/>
            <w:vAlign w:val="center"/>
          </w:tcPr>
          <w:p w:rsidR="00C7319A" w:rsidRPr="000D2A2E" w:rsidRDefault="00C7319A" w:rsidP="00A67771">
            <w:pPr>
              <w:rPr>
                <w:rFonts w:cs="Tahoma"/>
                <w:szCs w:val="18"/>
              </w:rPr>
            </w:pPr>
            <w:r>
              <w:rPr>
                <w:rFonts w:cs="Tahoma"/>
                <w:szCs w:val="18"/>
              </w:rPr>
              <w:t>Office 365 E1/G1</w:t>
            </w:r>
          </w:p>
        </w:tc>
      </w:tr>
      <w:tr w:rsidR="00C7319A" w:rsidRPr="000D2A2E" w:rsidTr="00A67771">
        <w:tc>
          <w:tcPr>
            <w:tcW w:w="1277" w:type="dxa"/>
            <w:vMerge/>
          </w:tcPr>
          <w:p w:rsidR="00C7319A" w:rsidRDefault="00C7319A" w:rsidP="00A67771">
            <w:pPr>
              <w:rPr>
                <w:rFonts w:cs="Tahoma"/>
                <w:szCs w:val="18"/>
              </w:rPr>
            </w:pPr>
          </w:p>
        </w:tc>
        <w:tc>
          <w:tcPr>
            <w:tcW w:w="3412" w:type="dxa"/>
            <w:vAlign w:val="center"/>
          </w:tcPr>
          <w:p w:rsidR="00C7319A" w:rsidRPr="002C2E91" w:rsidRDefault="00C7319A" w:rsidP="00A67771">
            <w:pPr>
              <w:rPr>
                <w:rFonts w:cs="Tahoma"/>
                <w:szCs w:val="18"/>
              </w:rPr>
            </w:pPr>
            <w:r>
              <w:rPr>
                <w:rFonts w:cs="Tahoma"/>
                <w:szCs w:val="18"/>
              </w:rPr>
              <w:t>Add-On für Office 365 E3/G3 ohne ProPlus</w:t>
            </w:r>
          </w:p>
        </w:tc>
        <w:tc>
          <w:tcPr>
            <w:tcW w:w="4164" w:type="dxa"/>
            <w:vAlign w:val="center"/>
          </w:tcPr>
          <w:p w:rsidR="00C7319A" w:rsidRPr="000D2A2E" w:rsidRDefault="00C7319A" w:rsidP="00A67771">
            <w:pPr>
              <w:rPr>
                <w:rFonts w:cs="Tahoma"/>
                <w:szCs w:val="18"/>
              </w:rPr>
            </w:pPr>
            <w:r>
              <w:rPr>
                <w:rFonts w:cs="Tahoma"/>
                <w:szCs w:val="18"/>
              </w:rPr>
              <w:t>Office 365 E3/G3 ohne ProPlus</w:t>
            </w:r>
          </w:p>
        </w:tc>
      </w:tr>
      <w:tr w:rsidR="00C7319A" w:rsidRPr="000D2A2E" w:rsidTr="00A67771">
        <w:tc>
          <w:tcPr>
            <w:tcW w:w="1277" w:type="dxa"/>
            <w:vMerge/>
          </w:tcPr>
          <w:p w:rsidR="00C7319A" w:rsidRDefault="00C7319A" w:rsidP="00A67771">
            <w:pPr>
              <w:rPr>
                <w:rFonts w:cs="Tahoma"/>
                <w:szCs w:val="18"/>
              </w:rPr>
            </w:pPr>
          </w:p>
        </w:tc>
        <w:tc>
          <w:tcPr>
            <w:tcW w:w="3412" w:type="dxa"/>
            <w:vAlign w:val="center"/>
          </w:tcPr>
          <w:p w:rsidR="00C7319A" w:rsidRPr="002C2E91" w:rsidRDefault="00C7319A" w:rsidP="00A67771">
            <w:pPr>
              <w:rPr>
                <w:rFonts w:cs="Tahoma"/>
                <w:szCs w:val="18"/>
              </w:rPr>
            </w:pPr>
            <w:r>
              <w:rPr>
                <w:rFonts w:cs="Tahoma"/>
                <w:szCs w:val="18"/>
              </w:rPr>
              <w:t>Add-On für Office 365 E3/G3</w:t>
            </w:r>
          </w:p>
        </w:tc>
        <w:tc>
          <w:tcPr>
            <w:tcW w:w="4164" w:type="dxa"/>
            <w:vAlign w:val="center"/>
          </w:tcPr>
          <w:p w:rsidR="00C7319A" w:rsidRPr="000D2A2E" w:rsidRDefault="00C7319A" w:rsidP="00A67771">
            <w:pPr>
              <w:rPr>
                <w:rFonts w:cs="Tahoma"/>
                <w:szCs w:val="18"/>
              </w:rPr>
            </w:pPr>
            <w:r>
              <w:rPr>
                <w:rFonts w:cs="Tahoma"/>
                <w:szCs w:val="18"/>
              </w:rPr>
              <w:t>Office 365 E3/G3</w:t>
            </w:r>
          </w:p>
        </w:tc>
      </w:tr>
      <w:tr w:rsidR="00C7319A" w:rsidRPr="000D2A2E" w:rsidTr="00A67771">
        <w:tc>
          <w:tcPr>
            <w:tcW w:w="1277" w:type="dxa"/>
            <w:vMerge/>
          </w:tcPr>
          <w:p w:rsidR="00C7319A" w:rsidRDefault="00C7319A" w:rsidP="00A67771">
            <w:pPr>
              <w:rPr>
                <w:rFonts w:cs="Tahoma"/>
                <w:szCs w:val="18"/>
              </w:rPr>
            </w:pPr>
          </w:p>
        </w:tc>
        <w:tc>
          <w:tcPr>
            <w:tcW w:w="3412" w:type="dxa"/>
            <w:vAlign w:val="center"/>
          </w:tcPr>
          <w:p w:rsidR="00C7319A" w:rsidRPr="002C2E91" w:rsidRDefault="00C7319A" w:rsidP="00A67771">
            <w:pPr>
              <w:rPr>
                <w:rFonts w:cs="Tahoma"/>
                <w:szCs w:val="18"/>
              </w:rPr>
            </w:pPr>
            <w:r>
              <w:rPr>
                <w:rFonts w:cs="Tahoma"/>
                <w:szCs w:val="18"/>
              </w:rPr>
              <w:t>Add-On für Office 365 E4/G4 ohne ProPlus</w:t>
            </w:r>
          </w:p>
        </w:tc>
        <w:tc>
          <w:tcPr>
            <w:tcW w:w="4164" w:type="dxa"/>
            <w:vAlign w:val="center"/>
          </w:tcPr>
          <w:p w:rsidR="00C7319A" w:rsidRPr="000D2A2E" w:rsidRDefault="00C7319A" w:rsidP="00A67771">
            <w:pPr>
              <w:rPr>
                <w:rFonts w:cs="Tahoma"/>
                <w:szCs w:val="18"/>
              </w:rPr>
            </w:pPr>
            <w:r>
              <w:rPr>
                <w:rFonts w:cs="Tahoma"/>
                <w:szCs w:val="18"/>
              </w:rPr>
              <w:t>Office 365 E4/G4 ohne ProPlus</w:t>
            </w:r>
          </w:p>
        </w:tc>
      </w:tr>
      <w:tr w:rsidR="00C7319A" w:rsidRPr="000D2A2E" w:rsidTr="00A67771">
        <w:tc>
          <w:tcPr>
            <w:tcW w:w="1277" w:type="dxa"/>
            <w:vMerge/>
          </w:tcPr>
          <w:p w:rsidR="00C7319A" w:rsidRDefault="00C7319A" w:rsidP="00A67771">
            <w:pPr>
              <w:rPr>
                <w:rFonts w:cs="Tahoma"/>
                <w:szCs w:val="18"/>
              </w:rPr>
            </w:pPr>
          </w:p>
        </w:tc>
        <w:tc>
          <w:tcPr>
            <w:tcW w:w="3412" w:type="dxa"/>
            <w:vAlign w:val="center"/>
          </w:tcPr>
          <w:p w:rsidR="00C7319A" w:rsidRPr="002C2E91" w:rsidRDefault="00C7319A" w:rsidP="00A67771">
            <w:pPr>
              <w:rPr>
                <w:rFonts w:cs="Tahoma"/>
                <w:szCs w:val="18"/>
              </w:rPr>
            </w:pPr>
            <w:r>
              <w:rPr>
                <w:rFonts w:cs="Tahoma"/>
                <w:szCs w:val="18"/>
              </w:rPr>
              <w:t>Add-On für Office 365 E4/G4</w:t>
            </w:r>
          </w:p>
        </w:tc>
        <w:tc>
          <w:tcPr>
            <w:tcW w:w="4164" w:type="dxa"/>
            <w:vAlign w:val="center"/>
          </w:tcPr>
          <w:p w:rsidR="00C7319A" w:rsidRPr="000D2A2E" w:rsidRDefault="00C7319A" w:rsidP="00A67771">
            <w:pPr>
              <w:rPr>
                <w:rFonts w:cs="Tahoma"/>
                <w:szCs w:val="18"/>
              </w:rPr>
            </w:pPr>
            <w:r>
              <w:rPr>
                <w:rFonts w:cs="Tahoma"/>
                <w:szCs w:val="18"/>
              </w:rPr>
              <w:t>Office 365 E4/G4</w:t>
            </w:r>
          </w:p>
        </w:tc>
      </w:tr>
      <w:tr w:rsidR="00C7319A" w:rsidRPr="000D2A2E" w:rsidTr="00A67771">
        <w:tc>
          <w:tcPr>
            <w:tcW w:w="1277" w:type="dxa"/>
            <w:vMerge/>
          </w:tcPr>
          <w:p w:rsidR="00C7319A" w:rsidRDefault="00C7319A" w:rsidP="00A67771">
            <w:pPr>
              <w:rPr>
                <w:rFonts w:cs="Tahoma"/>
                <w:szCs w:val="18"/>
              </w:rPr>
            </w:pPr>
          </w:p>
        </w:tc>
        <w:tc>
          <w:tcPr>
            <w:tcW w:w="3412" w:type="dxa"/>
            <w:vAlign w:val="center"/>
          </w:tcPr>
          <w:p w:rsidR="00C7319A" w:rsidRPr="002C2E91" w:rsidRDefault="00C7319A" w:rsidP="00A67771">
            <w:pPr>
              <w:rPr>
                <w:rFonts w:cs="Tahoma"/>
                <w:szCs w:val="18"/>
              </w:rPr>
            </w:pPr>
            <w:r>
              <w:rPr>
                <w:rFonts w:cs="Tahoma"/>
                <w:szCs w:val="18"/>
              </w:rPr>
              <w:t>Add-On für Exchange Online Plan 1</w:t>
            </w:r>
          </w:p>
        </w:tc>
        <w:tc>
          <w:tcPr>
            <w:tcW w:w="4164" w:type="dxa"/>
            <w:vAlign w:val="center"/>
          </w:tcPr>
          <w:p w:rsidR="00C7319A" w:rsidRPr="000D2A2E" w:rsidRDefault="00C7319A" w:rsidP="00A67771">
            <w:pPr>
              <w:rPr>
                <w:rFonts w:cs="Tahoma"/>
                <w:szCs w:val="18"/>
              </w:rPr>
            </w:pPr>
            <w:r>
              <w:rPr>
                <w:rFonts w:cs="Tahoma"/>
                <w:szCs w:val="18"/>
              </w:rPr>
              <w:t>Exchange Online Plan 1</w:t>
            </w:r>
          </w:p>
        </w:tc>
      </w:tr>
      <w:tr w:rsidR="00C7319A" w:rsidRPr="000D2A2E" w:rsidTr="00A67771">
        <w:tc>
          <w:tcPr>
            <w:tcW w:w="1277" w:type="dxa"/>
            <w:vMerge/>
          </w:tcPr>
          <w:p w:rsidR="00C7319A" w:rsidRDefault="00C7319A" w:rsidP="00A67771">
            <w:pPr>
              <w:rPr>
                <w:rFonts w:cs="Tahoma"/>
                <w:szCs w:val="18"/>
              </w:rPr>
            </w:pPr>
          </w:p>
        </w:tc>
        <w:tc>
          <w:tcPr>
            <w:tcW w:w="3412" w:type="dxa"/>
            <w:vAlign w:val="center"/>
          </w:tcPr>
          <w:p w:rsidR="00C7319A" w:rsidRPr="002C2E91" w:rsidRDefault="00C7319A" w:rsidP="00A67771">
            <w:pPr>
              <w:rPr>
                <w:rFonts w:cs="Tahoma"/>
                <w:szCs w:val="18"/>
              </w:rPr>
            </w:pPr>
          </w:p>
        </w:tc>
        <w:tc>
          <w:tcPr>
            <w:tcW w:w="4164" w:type="dxa"/>
            <w:vAlign w:val="center"/>
          </w:tcPr>
          <w:p w:rsidR="00C7319A" w:rsidRPr="000D2A2E" w:rsidRDefault="00C7319A" w:rsidP="00A67771">
            <w:pPr>
              <w:rPr>
                <w:rFonts w:cs="Tahoma"/>
                <w:szCs w:val="18"/>
              </w:rPr>
            </w:pPr>
          </w:p>
        </w:tc>
      </w:tr>
      <w:tr w:rsidR="00C7319A" w:rsidRPr="000D2A2E" w:rsidTr="00A67771">
        <w:tc>
          <w:tcPr>
            <w:tcW w:w="1277" w:type="dxa"/>
            <w:vMerge/>
          </w:tcPr>
          <w:p w:rsidR="00C7319A" w:rsidRDefault="00C7319A" w:rsidP="00A67771">
            <w:pPr>
              <w:rPr>
                <w:rFonts w:cs="Tahoma"/>
                <w:szCs w:val="18"/>
              </w:rPr>
            </w:pPr>
          </w:p>
        </w:tc>
        <w:tc>
          <w:tcPr>
            <w:tcW w:w="3412" w:type="dxa"/>
            <w:vAlign w:val="center"/>
          </w:tcPr>
          <w:p w:rsidR="00C7319A" w:rsidRPr="002C2E91" w:rsidRDefault="00C7319A" w:rsidP="00A67771">
            <w:pPr>
              <w:rPr>
                <w:rFonts w:cs="Tahoma"/>
                <w:szCs w:val="18"/>
              </w:rPr>
            </w:pPr>
            <w:r>
              <w:rPr>
                <w:rFonts w:cs="Tahoma"/>
                <w:szCs w:val="18"/>
              </w:rPr>
              <w:t>Add-On für Lync Online Plan 1</w:t>
            </w:r>
          </w:p>
        </w:tc>
        <w:tc>
          <w:tcPr>
            <w:tcW w:w="4164" w:type="dxa"/>
            <w:vAlign w:val="center"/>
          </w:tcPr>
          <w:p w:rsidR="00C7319A" w:rsidRPr="000D2A2E" w:rsidRDefault="00C7319A" w:rsidP="00A67771">
            <w:pPr>
              <w:rPr>
                <w:rFonts w:cs="Tahoma"/>
                <w:szCs w:val="18"/>
              </w:rPr>
            </w:pPr>
            <w:r>
              <w:rPr>
                <w:rFonts w:cs="Tahoma"/>
                <w:szCs w:val="18"/>
              </w:rPr>
              <w:t>Lync Online Plan 1</w:t>
            </w:r>
          </w:p>
        </w:tc>
      </w:tr>
      <w:tr w:rsidR="00C7319A" w:rsidRPr="000D2A2E" w:rsidTr="00A67771">
        <w:tc>
          <w:tcPr>
            <w:tcW w:w="1277" w:type="dxa"/>
            <w:vMerge/>
          </w:tcPr>
          <w:p w:rsidR="00C7319A" w:rsidRDefault="00C7319A" w:rsidP="00A67771">
            <w:pPr>
              <w:rPr>
                <w:rFonts w:cs="Tahoma"/>
                <w:szCs w:val="18"/>
              </w:rPr>
            </w:pPr>
          </w:p>
        </w:tc>
        <w:tc>
          <w:tcPr>
            <w:tcW w:w="3412" w:type="dxa"/>
            <w:vAlign w:val="center"/>
          </w:tcPr>
          <w:p w:rsidR="00C7319A" w:rsidRPr="002C2E91" w:rsidRDefault="00C7319A" w:rsidP="00A67771">
            <w:pPr>
              <w:rPr>
                <w:rFonts w:cs="Tahoma"/>
                <w:szCs w:val="18"/>
              </w:rPr>
            </w:pPr>
            <w:r>
              <w:rPr>
                <w:rFonts w:cs="Tahoma"/>
                <w:szCs w:val="18"/>
              </w:rPr>
              <w:t>Add-On für SharePoint™ Online Plan 1 mit Yammer</w:t>
            </w:r>
          </w:p>
        </w:tc>
        <w:tc>
          <w:tcPr>
            <w:tcW w:w="4164" w:type="dxa"/>
            <w:vAlign w:val="center"/>
          </w:tcPr>
          <w:p w:rsidR="00C7319A" w:rsidRPr="002C2E91" w:rsidRDefault="00C7319A" w:rsidP="00A67771">
            <w:pPr>
              <w:rPr>
                <w:rFonts w:cs="Tahoma"/>
                <w:szCs w:val="18"/>
              </w:rPr>
            </w:pPr>
            <w:r>
              <w:rPr>
                <w:rFonts w:cs="Tahoma"/>
                <w:szCs w:val="18"/>
              </w:rPr>
              <w:t xml:space="preserve">SharePoint Online Plan 1 und Yammer Enterprise </w:t>
            </w:r>
          </w:p>
        </w:tc>
      </w:tr>
      <w:tr w:rsidR="00C7319A" w:rsidRPr="000D2A2E" w:rsidTr="00A67771">
        <w:tc>
          <w:tcPr>
            <w:tcW w:w="1277" w:type="dxa"/>
            <w:vMerge w:val="restart"/>
            <w:vAlign w:val="center"/>
          </w:tcPr>
          <w:p w:rsidR="00C7319A" w:rsidRPr="002C2E91" w:rsidRDefault="00C7319A" w:rsidP="00A67771">
            <w:pPr>
              <w:jc w:val="center"/>
              <w:rPr>
                <w:rFonts w:cs="Tahoma"/>
                <w:szCs w:val="18"/>
              </w:rPr>
            </w:pPr>
            <w:r>
              <w:rPr>
                <w:rFonts w:cs="Tahoma"/>
                <w:szCs w:val="18"/>
              </w:rPr>
              <w:t>ECAL Suite</w:t>
            </w:r>
          </w:p>
        </w:tc>
        <w:tc>
          <w:tcPr>
            <w:tcW w:w="3412" w:type="dxa"/>
            <w:vAlign w:val="center"/>
          </w:tcPr>
          <w:p w:rsidR="00C7319A" w:rsidRPr="002C2E91" w:rsidRDefault="00C7319A" w:rsidP="00A67771">
            <w:pPr>
              <w:rPr>
                <w:rFonts w:cs="Tahoma"/>
                <w:szCs w:val="18"/>
              </w:rPr>
            </w:pPr>
            <w:r>
              <w:rPr>
                <w:rFonts w:cs="Tahoma"/>
                <w:szCs w:val="18"/>
              </w:rPr>
              <w:t>Add-On für Office 365 E3/G3 ohne ProPlus</w:t>
            </w:r>
          </w:p>
        </w:tc>
        <w:tc>
          <w:tcPr>
            <w:tcW w:w="4164" w:type="dxa"/>
            <w:vAlign w:val="center"/>
          </w:tcPr>
          <w:p w:rsidR="00C7319A" w:rsidRPr="000D2A2E" w:rsidRDefault="00C7319A" w:rsidP="00A67771">
            <w:pPr>
              <w:rPr>
                <w:rFonts w:cs="Tahoma"/>
                <w:szCs w:val="18"/>
              </w:rPr>
            </w:pPr>
            <w:r>
              <w:rPr>
                <w:rFonts w:cs="Tahoma"/>
                <w:szCs w:val="18"/>
              </w:rPr>
              <w:t>Office 365 E3/G3 ohne ProPlus</w:t>
            </w:r>
          </w:p>
        </w:tc>
      </w:tr>
      <w:tr w:rsidR="00C7319A" w:rsidRPr="000D2A2E" w:rsidTr="00A67771">
        <w:tc>
          <w:tcPr>
            <w:tcW w:w="1277" w:type="dxa"/>
            <w:vMerge/>
          </w:tcPr>
          <w:p w:rsidR="00C7319A" w:rsidRPr="000D2A2E" w:rsidRDefault="00C7319A" w:rsidP="00A67771">
            <w:pPr>
              <w:jc w:val="center"/>
              <w:rPr>
                <w:rFonts w:cs="Tahoma"/>
                <w:szCs w:val="18"/>
              </w:rPr>
            </w:pPr>
          </w:p>
        </w:tc>
        <w:tc>
          <w:tcPr>
            <w:tcW w:w="3412" w:type="dxa"/>
            <w:vAlign w:val="center"/>
          </w:tcPr>
          <w:p w:rsidR="00C7319A" w:rsidRPr="000D2A2E" w:rsidRDefault="00C7319A" w:rsidP="00A67771">
            <w:pPr>
              <w:rPr>
                <w:rFonts w:cs="Tahoma"/>
                <w:szCs w:val="18"/>
              </w:rPr>
            </w:pPr>
            <w:r>
              <w:rPr>
                <w:rFonts w:cs="Tahoma"/>
                <w:szCs w:val="18"/>
              </w:rPr>
              <w:t>Add-On für Office 365 E4/G4 ohne ProPlus</w:t>
            </w:r>
          </w:p>
        </w:tc>
        <w:tc>
          <w:tcPr>
            <w:tcW w:w="4164" w:type="dxa"/>
            <w:vAlign w:val="center"/>
          </w:tcPr>
          <w:p w:rsidR="00C7319A" w:rsidRPr="000D2A2E" w:rsidRDefault="00C7319A" w:rsidP="00A67771">
            <w:pPr>
              <w:rPr>
                <w:rFonts w:cs="Tahoma"/>
                <w:szCs w:val="18"/>
              </w:rPr>
            </w:pPr>
            <w:r>
              <w:rPr>
                <w:rFonts w:cs="Tahoma"/>
                <w:szCs w:val="18"/>
              </w:rPr>
              <w:t>Office 365 E4/G4 ohne ProPlus</w:t>
            </w:r>
          </w:p>
        </w:tc>
      </w:tr>
      <w:tr w:rsidR="00C7319A" w:rsidRPr="000D2A2E" w:rsidTr="00A67771">
        <w:tc>
          <w:tcPr>
            <w:tcW w:w="1277" w:type="dxa"/>
            <w:vMerge w:val="restart"/>
            <w:vAlign w:val="center"/>
          </w:tcPr>
          <w:p w:rsidR="00C7319A" w:rsidRPr="009123CB" w:rsidRDefault="00C7319A" w:rsidP="00A67771">
            <w:pPr>
              <w:jc w:val="center"/>
              <w:rPr>
                <w:lang w:val="fr-FR"/>
              </w:rPr>
            </w:pPr>
            <w:r w:rsidRPr="009123CB">
              <w:rPr>
                <w:rFonts w:cs="Tahoma"/>
                <w:szCs w:val="18"/>
                <w:lang w:val="fr-FR"/>
              </w:rPr>
              <w:t xml:space="preserve">ECAL Suite + </w:t>
            </w:r>
          </w:p>
          <w:p w:rsidR="00C7319A" w:rsidRPr="009123CB" w:rsidRDefault="00C7319A" w:rsidP="00A67771">
            <w:pPr>
              <w:jc w:val="center"/>
              <w:rPr>
                <w:rFonts w:cs="Tahoma"/>
                <w:szCs w:val="18"/>
                <w:lang w:val="fr-FR"/>
              </w:rPr>
            </w:pPr>
            <w:r w:rsidRPr="009123CB">
              <w:rPr>
                <w:rFonts w:cs="Tahoma"/>
                <w:szCs w:val="18"/>
                <w:lang w:val="fr-FR"/>
              </w:rPr>
              <w:t>Office Professional Plus</w:t>
            </w:r>
          </w:p>
        </w:tc>
        <w:tc>
          <w:tcPr>
            <w:tcW w:w="3412" w:type="dxa"/>
            <w:vAlign w:val="center"/>
          </w:tcPr>
          <w:p w:rsidR="00C7319A" w:rsidRPr="002C2E91" w:rsidRDefault="00C7319A" w:rsidP="00A67771">
            <w:pPr>
              <w:rPr>
                <w:rFonts w:cs="Tahoma"/>
                <w:szCs w:val="18"/>
              </w:rPr>
            </w:pPr>
            <w:r>
              <w:rPr>
                <w:rFonts w:cs="Tahoma"/>
                <w:szCs w:val="18"/>
              </w:rPr>
              <w:t>Add-On für Office 365 E3/G3 ohne ProPlus</w:t>
            </w:r>
          </w:p>
        </w:tc>
        <w:tc>
          <w:tcPr>
            <w:tcW w:w="4164" w:type="dxa"/>
            <w:vAlign w:val="center"/>
          </w:tcPr>
          <w:p w:rsidR="00C7319A" w:rsidRPr="002C2E91" w:rsidRDefault="00C7319A" w:rsidP="00A67771">
            <w:pPr>
              <w:rPr>
                <w:rFonts w:cs="Tahoma"/>
                <w:szCs w:val="18"/>
              </w:rPr>
            </w:pPr>
            <w:r>
              <w:rPr>
                <w:rFonts w:cs="Tahoma"/>
                <w:szCs w:val="18"/>
              </w:rPr>
              <w:t>Office 365 E3/G3 ohne ProPlus</w:t>
            </w:r>
          </w:p>
        </w:tc>
      </w:tr>
      <w:tr w:rsidR="00C7319A" w:rsidRPr="000D2A2E" w:rsidTr="00A67771">
        <w:tc>
          <w:tcPr>
            <w:tcW w:w="1277" w:type="dxa"/>
            <w:vMerge/>
          </w:tcPr>
          <w:p w:rsidR="00C7319A" w:rsidRPr="000D2A2E" w:rsidRDefault="00C7319A" w:rsidP="00A67771">
            <w:pPr>
              <w:jc w:val="center"/>
              <w:rPr>
                <w:rFonts w:cs="Tahoma"/>
                <w:szCs w:val="18"/>
              </w:rPr>
            </w:pPr>
          </w:p>
        </w:tc>
        <w:tc>
          <w:tcPr>
            <w:tcW w:w="3412" w:type="dxa"/>
            <w:vAlign w:val="center"/>
          </w:tcPr>
          <w:p w:rsidR="00C7319A" w:rsidRPr="002C2E91" w:rsidRDefault="00C7319A" w:rsidP="00A67771">
            <w:pPr>
              <w:rPr>
                <w:rFonts w:cs="Tahoma"/>
                <w:szCs w:val="18"/>
              </w:rPr>
            </w:pPr>
            <w:r>
              <w:rPr>
                <w:rFonts w:cs="Tahoma"/>
                <w:szCs w:val="18"/>
              </w:rPr>
              <w:t>Add-On für Office 365 E3/G3</w:t>
            </w:r>
          </w:p>
        </w:tc>
        <w:tc>
          <w:tcPr>
            <w:tcW w:w="4164" w:type="dxa"/>
            <w:vAlign w:val="center"/>
          </w:tcPr>
          <w:p w:rsidR="00C7319A" w:rsidRPr="002C2E91" w:rsidRDefault="00C7319A" w:rsidP="00A67771">
            <w:pPr>
              <w:rPr>
                <w:rFonts w:cs="Tahoma"/>
                <w:szCs w:val="18"/>
              </w:rPr>
            </w:pPr>
            <w:r>
              <w:rPr>
                <w:rFonts w:cs="Tahoma"/>
                <w:szCs w:val="18"/>
              </w:rPr>
              <w:t>Add-On für Office 365 E3/G3</w:t>
            </w:r>
          </w:p>
        </w:tc>
      </w:tr>
      <w:tr w:rsidR="00C7319A" w:rsidRPr="000D2A2E" w:rsidTr="00A67771">
        <w:tc>
          <w:tcPr>
            <w:tcW w:w="1277" w:type="dxa"/>
            <w:vMerge/>
          </w:tcPr>
          <w:p w:rsidR="00C7319A" w:rsidRPr="000D2A2E" w:rsidRDefault="00C7319A" w:rsidP="00A67771">
            <w:pPr>
              <w:jc w:val="center"/>
              <w:rPr>
                <w:rFonts w:cs="Tahoma"/>
                <w:szCs w:val="18"/>
              </w:rPr>
            </w:pPr>
          </w:p>
        </w:tc>
        <w:tc>
          <w:tcPr>
            <w:tcW w:w="3412" w:type="dxa"/>
            <w:vAlign w:val="center"/>
          </w:tcPr>
          <w:p w:rsidR="00C7319A" w:rsidRPr="002C2E91" w:rsidRDefault="00C7319A" w:rsidP="00A67771">
            <w:pPr>
              <w:rPr>
                <w:rFonts w:cs="Tahoma"/>
                <w:szCs w:val="18"/>
              </w:rPr>
            </w:pPr>
            <w:r>
              <w:rPr>
                <w:rFonts w:cs="Tahoma"/>
                <w:szCs w:val="18"/>
              </w:rPr>
              <w:t>Add-On für Office 365 E4/G4 ohne ProPlus</w:t>
            </w:r>
          </w:p>
        </w:tc>
        <w:tc>
          <w:tcPr>
            <w:tcW w:w="4164" w:type="dxa"/>
            <w:vAlign w:val="center"/>
          </w:tcPr>
          <w:p w:rsidR="00C7319A" w:rsidRPr="002C2E91" w:rsidRDefault="00C7319A" w:rsidP="00A67771">
            <w:pPr>
              <w:rPr>
                <w:rFonts w:cs="Tahoma"/>
                <w:szCs w:val="18"/>
              </w:rPr>
            </w:pPr>
            <w:r>
              <w:rPr>
                <w:rFonts w:cs="Tahoma"/>
                <w:szCs w:val="18"/>
              </w:rPr>
              <w:t>Office 365 E4/G4 ohne ProPlus</w:t>
            </w:r>
          </w:p>
        </w:tc>
      </w:tr>
      <w:tr w:rsidR="00C7319A" w:rsidRPr="000D2A2E" w:rsidTr="00A67771">
        <w:tc>
          <w:tcPr>
            <w:tcW w:w="1277" w:type="dxa"/>
            <w:vMerge/>
          </w:tcPr>
          <w:p w:rsidR="00C7319A" w:rsidRPr="000D2A2E" w:rsidRDefault="00C7319A" w:rsidP="00A67771">
            <w:pPr>
              <w:jc w:val="center"/>
              <w:rPr>
                <w:rFonts w:cs="Tahoma"/>
                <w:szCs w:val="18"/>
              </w:rPr>
            </w:pPr>
          </w:p>
        </w:tc>
        <w:tc>
          <w:tcPr>
            <w:tcW w:w="3412" w:type="dxa"/>
            <w:vAlign w:val="center"/>
          </w:tcPr>
          <w:p w:rsidR="00C7319A" w:rsidRDefault="00C7319A" w:rsidP="00A67771">
            <w:pPr>
              <w:rPr>
                <w:rFonts w:cs="Tahoma"/>
                <w:szCs w:val="18"/>
              </w:rPr>
            </w:pPr>
            <w:r>
              <w:rPr>
                <w:rFonts w:cs="Tahoma"/>
                <w:szCs w:val="18"/>
              </w:rPr>
              <w:t>Add-On für Office 365 E4/G4</w:t>
            </w:r>
          </w:p>
        </w:tc>
        <w:tc>
          <w:tcPr>
            <w:tcW w:w="4164" w:type="dxa"/>
            <w:vAlign w:val="center"/>
          </w:tcPr>
          <w:p w:rsidR="00C7319A" w:rsidRDefault="00C7319A" w:rsidP="00A67771">
            <w:pPr>
              <w:rPr>
                <w:rFonts w:cs="Tahoma"/>
                <w:szCs w:val="18"/>
              </w:rPr>
            </w:pPr>
            <w:r>
              <w:rPr>
                <w:rFonts w:cs="Tahoma"/>
                <w:szCs w:val="18"/>
              </w:rPr>
              <w:t>Office 365 E4/G4</w:t>
            </w:r>
          </w:p>
        </w:tc>
      </w:tr>
    </w:tbl>
    <w:p w:rsidR="00C7319A" w:rsidRPr="0062435A" w:rsidRDefault="00C7319A" w:rsidP="00C7319A">
      <w:pPr>
        <w:ind w:left="720"/>
      </w:pPr>
    </w:p>
    <w:p w:rsidR="00C7319A" w:rsidRPr="009123CB" w:rsidRDefault="00C7319A" w:rsidP="00C7319A">
      <w:pPr>
        <w:ind w:left="720"/>
        <w:rPr>
          <w:lang w:val="de-DE"/>
        </w:rPr>
      </w:pPr>
      <w:r w:rsidRPr="009123CB">
        <w:rPr>
          <w:rFonts w:cs="Tahoma"/>
          <w:szCs w:val="24"/>
          <w:vertAlign w:val="superscript"/>
          <w:lang w:val="de-DE"/>
        </w:rPr>
        <w:t>1</w:t>
      </w:r>
      <w:r w:rsidRPr="009123CB">
        <w:rPr>
          <w:rFonts w:cs="Tahoma"/>
          <w:sz w:val="16"/>
          <w:szCs w:val="24"/>
          <w:lang w:val="de-DE"/>
        </w:rPr>
        <w:t>In der obenstehenden Tabelle ist die Verwendung des Buchstabens „E“ in den Bezeichnungen von Add-On-Nutzer-ALs und Nutzer-AL(s) für Entsprechende Onlinedienste kein Hinweis darauf, dass die Produkte als Konzernprodukte angeboten werden</w:t>
      </w:r>
      <w:r w:rsidR="006257A7">
        <w:rPr>
          <w:rFonts w:cs="Tahoma"/>
          <w:sz w:val="16"/>
          <w:szCs w:val="24"/>
          <w:lang w:val="de-DE"/>
        </w:rPr>
        <w:t xml:space="preserve">. </w:t>
      </w:r>
      <w:r w:rsidRPr="009123CB">
        <w:rPr>
          <w:rFonts w:cs="Tahoma"/>
          <w:sz w:val="16"/>
          <w:szCs w:val="24"/>
          <w:lang w:val="de-DE"/>
        </w:rPr>
        <w:t>Vielmehr ist dies als Abkürzung der Bezeichnungen von Office 365-Produkten zu verstehen, wobei „E“ für das Wort „Enterprise“ und „G“ für das Wort „Government“ steht</w:t>
      </w:r>
      <w:r w:rsidR="006257A7">
        <w:rPr>
          <w:rFonts w:cs="Tahoma"/>
          <w:sz w:val="16"/>
          <w:szCs w:val="24"/>
          <w:lang w:val="de-DE"/>
        </w:rPr>
        <w:t xml:space="preserve">. </w:t>
      </w:r>
    </w:p>
    <w:p w:rsidR="00C7319A" w:rsidRPr="009123CB" w:rsidRDefault="00C7319A" w:rsidP="00C7319A">
      <w:pPr>
        <w:ind w:left="720"/>
        <w:rPr>
          <w:lang w:val="de-DE"/>
        </w:rPr>
      </w:pPr>
    </w:p>
    <w:p w:rsidR="00C7319A" w:rsidRPr="009123CB" w:rsidRDefault="00C7319A" w:rsidP="00C7319A">
      <w:pPr>
        <w:ind w:left="720"/>
        <w:rPr>
          <w:lang w:val="de-DE"/>
        </w:rPr>
      </w:pPr>
      <w:r w:rsidRPr="009123CB">
        <w:rPr>
          <w:rFonts w:cs="Tahoma"/>
          <w:szCs w:val="24"/>
          <w:lang w:val="de-DE"/>
        </w:rPr>
        <w:t>Die folgenden Bestimmungen gelten für die in der obenstehenden Tabelle aufgelisteten Add-On-Nutzer-ALs</w:t>
      </w:r>
      <w:r w:rsidR="006257A7">
        <w:rPr>
          <w:rFonts w:cs="Tahoma"/>
          <w:szCs w:val="24"/>
          <w:lang w:val="de-DE"/>
        </w:rPr>
        <w:t xml:space="preserve">. </w:t>
      </w:r>
    </w:p>
    <w:p w:rsidR="00C7319A" w:rsidRPr="009123CB" w:rsidRDefault="00C7319A" w:rsidP="00C7319A">
      <w:pPr>
        <w:ind w:left="900"/>
        <w:rPr>
          <w:lang w:val="de-DE"/>
        </w:rPr>
      </w:pPr>
    </w:p>
    <w:p w:rsidR="00C7319A" w:rsidRPr="009123CB" w:rsidRDefault="00C7319A" w:rsidP="00C7319A">
      <w:pPr>
        <w:keepNext/>
        <w:spacing w:after="60"/>
        <w:ind w:left="720"/>
        <w:rPr>
          <w:lang w:val="de-DE"/>
        </w:rPr>
      </w:pPr>
      <w:r w:rsidRPr="009123CB">
        <w:rPr>
          <w:rFonts w:eastAsia="Calibri" w:cs="Tahoma"/>
          <w:b/>
          <w:color w:val="000000"/>
          <w:szCs w:val="18"/>
          <w:lang w:val="de-DE"/>
        </w:rPr>
        <w:t>Kaufberechtigung</w:t>
      </w:r>
    </w:p>
    <w:p w:rsidR="00C7319A" w:rsidRPr="009123CB" w:rsidRDefault="00C7319A" w:rsidP="00C7319A">
      <w:pPr>
        <w:spacing w:after="60"/>
        <w:ind w:left="720"/>
        <w:rPr>
          <w:lang w:val="de-DE"/>
        </w:rPr>
      </w:pPr>
      <w:r w:rsidRPr="009123CB">
        <w:rPr>
          <w:rFonts w:cs="Tahoma"/>
          <w:szCs w:val="24"/>
          <w:lang w:val="de-DE"/>
        </w:rPr>
        <w:t xml:space="preserve">Erwerb von Add-On-Nutzer-ALs: </w:t>
      </w:r>
    </w:p>
    <w:p w:rsidR="00C7319A" w:rsidRPr="009123CB" w:rsidRDefault="00C7319A" w:rsidP="00C7319A">
      <w:pPr>
        <w:pStyle w:val="ListParagraph"/>
        <w:numPr>
          <w:ilvl w:val="0"/>
          <w:numId w:val="141"/>
        </w:numPr>
        <w:spacing w:after="60"/>
        <w:rPr>
          <w:lang w:val="de-DE"/>
        </w:rPr>
      </w:pPr>
      <w:r w:rsidRPr="009123CB">
        <w:rPr>
          <w:rFonts w:ascii="Tahoma" w:hAnsi="Tahoma" w:cs="Tahoma"/>
          <w:sz w:val="18"/>
          <w:lang w:val="de-DE"/>
        </w:rPr>
        <w:t>Kunden müssen über einen aktiven Konzernbeitritt mit aktiver Software Assurance für die entsprechende(n) Qualifizierende(n) Lizenz(en) verfügen</w:t>
      </w:r>
      <w:r w:rsidR="006257A7">
        <w:rPr>
          <w:rFonts w:ascii="Tahoma" w:hAnsi="Tahoma" w:cs="Tahoma"/>
          <w:sz w:val="18"/>
          <w:lang w:val="de-DE"/>
        </w:rPr>
        <w:t xml:space="preserve">. </w:t>
      </w:r>
      <w:r w:rsidRPr="009123CB">
        <w:rPr>
          <w:rFonts w:ascii="Tahoma" w:hAnsi="Tahoma" w:cs="Tahoma"/>
          <w:sz w:val="18"/>
          <w:lang w:val="de-DE"/>
        </w:rPr>
        <w:t>Die Qualifizierend(en) Lizenz(en) können nutzer- oder gerätebasiert sein</w:t>
      </w:r>
      <w:r w:rsidR="006257A7">
        <w:rPr>
          <w:rFonts w:ascii="Tahoma" w:hAnsi="Tahoma" w:cs="Tahoma"/>
          <w:sz w:val="18"/>
          <w:lang w:val="de-DE"/>
        </w:rPr>
        <w:t xml:space="preserve">. </w:t>
      </w:r>
    </w:p>
    <w:p w:rsidR="00C7319A" w:rsidRPr="009123CB" w:rsidRDefault="00C7319A" w:rsidP="00C7319A">
      <w:pPr>
        <w:pStyle w:val="ListParagraph"/>
        <w:numPr>
          <w:ilvl w:val="0"/>
          <w:numId w:val="141"/>
        </w:numPr>
        <w:spacing w:after="60"/>
        <w:rPr>
          <w:lang w:val="de-DE"/>
        </w:rPr>
      </w:pPr>
      <w:r w:rsidRPr="009123CB">
        <w:rPr>
          <w:rFonts w:ascii="Tahoma" w:hAnsi="Tahoma" w:cs="Tahoma"/>
          <w:sz w:val="18"/>
          <w:lang w:val="de-DE"/>
        </w:rPr>
        <w:t>Kunden mit einer MBSA-Version, die älter als 2010 ist, müssen die Ergänzende Bestimmungen zu Onlinediensten unterzeichnen</w:t>
      </w:r>
      <w:r w:rsidR="006257A7">
        <w:rPr>
          <w:rFonts w:ascii="Tahoma" w:hAnsi="Tahoma" w:cs="Tahoma"/>
          <w:sz w:val="18"/>
          <w:lang w:val="de-DE"/>
        </w:rPr>
        <w:t xml:space="preserve">. </w:t>
      </w:r>
    </w:p>
    <w:p w:rsidR="00C7319A" w:rsidRPr="009123CB" w:rsidRDefault="00C7319A" w:rsidP="00C7319A">
      <w:pPr>
        <w:pStyle w:val="ListParagraph"/>
        <w:tabs>
          <w:tab w:val="left" w:pos="1440"/>
        </w:tabs>
        <w:spacing w:after="60"/>
        <w:ind w:left="1800"/>
        <w:rPr>
          <w:lang w:val="de-DE"/>
        </w:rPr>
      </w:pPr>
    </w:p>
    <w:p w:rsidR="00C7319A" w:rsidRPr="009123CB" w:rsidRDefault="00C7319A" w:rsidP="00C7319A">
      <w:pPr>
        <w:keepNext/>
        <w:spacing w:after="60"/>
        <w:ind w:left="720"/>
        <w:rPr>
          <w:lang w:val="de-DE"/>
        </w:rPr>
      </w:pPr>
      <w:r w:rsidRPr="009123CB">
        <w:rPr>
          <w:rFonts w:eastAsia="Calibri" w:cs="Tahoma"/>
          <w:b/>
          <w:color w:val="000000"/>
          <w:szCs w:val="18"/>
          <w:lang w:val="de-DE"/>
        </w:rPr>
        <w:t>Kaufeinschränkungen</w:t>
      </w:r>
    </w:p>
    <w:p w:rsidR="00C7319A" w:rsidRPr="009123CB" w:rsidRDefault="00C7319A" w:rsidP="00C7319A">
      <w:pPr>
        <w:spacing w:after="60"/>
        <w:ind w:left="720"/>
        <w:rPr>
          <w:lang w:val="de-DE"/>
        </w:rPr>
      </w:pPr>
      <w:r w:rsidRPr="009123CB">
        <w:rPr>
          <w:rFonts w:cs="Tahoma"/>
          <w:szCs w:val="24"/>
          <w:lang w:val="de-DE"/>
        </w:rPr>
        <w:t>Für jede Qualifizierende Lizenz (oder jedes Set von Qualifizierenden Lizenzen) kann nur eine Add-On-Nutzer-AL erworben werden</w:t>
      </w:r>
      <w:r w:rsidR="006257A7">
        <w:rPr>
          <w:rFonts w:cs="Tahoma"/>
          <w:szCs w:val="24"/>
          <w:lang w:val="de-DE"/>
        </w:rPr>
        <w:t xml:space="preserve">. </w:t>
      </w:r>
    </w:p>
    <w:p w:rsidR="00C7319A" w:rsidRPr="009123CB" w:rsidRDefault="00C7319A" w:rsidP="00C7319A">
      <w:pPr>
        <w:spacing w:after="60"/>
        <w:ind w:left="720"/>
        <w:rPr>
          <w:lang w:val="de-DE"/>
        </w:rPr>
      </w:pPr>
    </w:p>
    <w:p w:rsidR="00C7319A" w:rsidRPr="009123CB" w:rsidRDefault="00C7319A" w:rsidP="00C7319A">
      <w:pPr>
        <w:keepNext/>
        <w:spacing w:after="60"/>
        <w:ind w:left="720"/>
        <w:rPr>
          <w:lang w:val="de-DE"/>
        </w:rPr>
      </w:pPr>
      <w:r w:rsidRPr="009123CB">
        <w:rPr>
          <w:rFonts w:eastAsia="Calibri" w:cs="Tahoma"/>
          <w:b/>
          <w:color w:val="000000"/>
          <w:szCs w:val="18"/>
          <w:lang w:val="de-DE"/>
        </w:rPr>
        <w:t>Zuweisung von Lizenzen</w:t>
      </w:r>
    </w:p>
    <w:p w:rsidR="00C7319A" w:rsidRPr="009123CB" w:rsidRDefault="00C7319A" w:rsidP="00C7319A">
      <w:pPr>
        <w:ind w:left="720"/>
        <w:rPr>
          <w:lang w:val="de-DE"/>
        </w:rPr>
      </w:pPr>
      <w:r w:rsidRPr="009123CB">
        <w:rPr>
          <w:rFonts w:cs="Tahoma"/>
          <w:szCs w:val="24"/>
          <w:lang w:val="de-DE"/>
        </w:rPr>
        <w:t>Jede Add-On-Nutzer-AL muss einem einzigen Qualifizierten Nutzer (wie jeweils im Konzernbeitritt des Kunden definiert) zugewiesen werden</w:t>
      </w:r>
      <w:r w:rsidR="006257A7">
        <w:rPr>
          <w:rFonts w:cs="Tahoma"/>
          <w:szCs w:val="24"/>
          <w:lang w:val="de-DE"/>
        </w:rPr>
        <w:t xml:space="preserve">. </w:t>
      </w:r>
      <w:r w:rsidRPr="009123CB">
        <w:rPr>
          <w:rFonts w:cs="Tahoma"/>
          <w:szCs w:val="24"/>
          <w:lang w:val="de-DE"/>
        </w:rPr>
        <w:t>Add-On-Nutzer-ALs können in Übereinstimmung mit den Produktbenutzungsrechten (PUR) für Microsoft-Volumenlizenzen und den universellen Lizenzbestimmungen, denen die Neuzuweisung von Lizenzen von Nutzer-ALs unterliegt, an andere Qualifizierte Nutzer neu zugewiesen werden</w:t>
      </w:r>
      <w:r w:rsidR="006257A7">
        <w:rPr>
          <w:rFonts w:cs="Tahoma"/>
          <w:szCs w:val="24"/>
          <w:lang w:val="de-DE"/>
        </w:rPr>
        <w:t xml:space="preserve">. </w:t>
      </w:r>
    </w:p>
    <w:p w:rsidR="00C7319A" w:rsidRPr="009123CB" w:rsidRDefault="00C7319A" w:rsidP="00C7319A">
      <w:pPr>
        <w:spacing w:after="60"/>
        <w:ind w:left="720"/>
        <w:rPr>
          <w:lang w:val="de-DE"/>
        </w:rPr>
      </w:pPr>
    </w:p>
    <w:p w:rsidR="00C7319A" w:rsidRPr="009123CB" w:rsidRDefault="00C7319A" w:rsidP="00C7319A">
      <w:pPr>
        <w:keepNext/>
        <w:spacing w:after="60"/>
        <w:ind w:left="720"/>
        <w:rPr>
          <w:lang w:val="de-DE"/>
        </w:rPr>
      </w:pPr>
      <w:r w:rsidRPr="009123CB">
        <w:rPr>
          <w:rFonts w:eastAsia="Calibri" w:cs="Tahoma"/>
          <w:b/>
          <w:color w:val="000000"/>
          <w:szCs w:val="18"/>
          <w:lang w:val="de-DE"/>
        </w:rPr>
        <w:t>Nutzungsrechte</w:t>
      </w:r>
    </w:p>
    <w:p w:rsidR="00C7319A" w:rsidRPr="009123CB" w:rsidRDefault="00C7319A" w:rsidP="00C7319A">
      <w:pPr>
        <w:ind w:left="720"/>
        <w:rPr>
          <w:lang w:val="de-DE"/>
        </w:rPr>
      </w:pPr>
      <w:r w:rsidRPr="009123CB">
        <w:rPr>
          <w:rFonts w:eastAsia="Calibri" w:cs="Tahoma"/>
          <w:color w:val="000000"/>
          <w:szCs w:val="18"/>
          <w:lang w:val="de-DE"/>
        </w:rPr>
        <w:t>Durch jede Add-On-Nutzer-AL werden Nutzungsrechte gewährt, die der Nutzer-AL für Entsprechende Onlinedienste entsprechen</w:t>
      </w:r>
      <w:r w:rsidR="006257A7">
        <w:rPr>
          <w:rFonts w:eastAsia="Calibri" w:cs="Tahoma"/>
          <w:color w:val="000000"/>
          <w:szCs w:val="18"/>
          <w:lang w:val="de-DE"/>
        </w:rPr>
        <w:t xml:space="preserve">. </w:t>
      </w:r>
      <w:r w:rsidRPr="009123CB">
        <w:rPr>
          <w:rFonts w:eastAsia="Calibri" w:cs="Tahoma"/>
          <w:color w:val="000000"/>
          <w:szCs w:val="18"/>
          <w:lang w:val="de-DE"/>
        </w:rPr>
        <w:t>Die</w:t>
      </w:r>
      <w:r w:rsidRPr="009123CB">
        <w:rPr>
          <w:rFonts w:cs="Tahoma"/>
          <w:szCs w:val="24"/>
          <w:lang w:val="de-DE"/>
        </w:rPr>
        <w:t xml:space="preserve"> Nutzungsrechte für jede Nutzer-AL für Entsprechende Onlinedienste werden in den PUR dargelegt</w:t>
      </w:r>
      <w:r w:rsidR="006257A7">
        <w:rPr>
          <w:rFonts w:cs="Tahoma"/>
          <w:szCs w:val="24"/>
          <w:lang w:val="de-DE"/>
        </w:rPr>
        <w:t xml:space="preserve">. </w:t>
      </w:r>
      <w:r w:rsidRPr="009123CB">
        <w:rPr>
          <w:rFonts w:cs="Tahoma"/>
          <w:szCs w:val="24"/>
          <w:lang w:val="de-DE"/>
        </w:rPr>
        <w:t>Nutzungsrechte, die über den Kauf dieser Add-On-Nutzer-ALs erworben werden, laufen zusammen mit dem Ablauf der Software Assurance für die Qualifizierende(n) Lizenz(en) oder am Ende der Abonnementlaufzeit für die Add-On-Nutzer-AL ab, je nachdem, welches Datum früher eintritt</w:t>
      </w:r>
      <w:r w:rsidR="006257A7">
        <w:rPr>
          <w:rFonts w:cs="Tahoma"/>
          <w:szCs w:val="24"/>
          <w:lang w:val="de-DE"/>
        </w:rPr>
        <w:t xml:space="preserve">. </w:t>
      </w:r>
      <w:r w:rsidRPr="009123CB">
        <w:rPr>
          <w:rFonts w:cs="Tahoma"/>
          <w:szCs w:val="24"/>
          <w:lang w:val="de-DE"/>
        </w:rPr>
        <w:t>Der Erwerb dieser Add-On-Nutzer-ALs hat keine Auswirkungen auf die Nutzungsrechte für die Qualifizierende(n) Lizenz(en)</w:t>
      </w:r>
      <w:r w:rsidR="006257A7">
        <w:rPr>
          <w:rFonts w:cs="Tahoma"/>
          <w:szCs w:val="24"/>
          <w:lang w:val="de-DE"/>
        </w:rPr>
        <w:t xml:space="preserve">. </w:t>
      </w:r>
    </w:p>
    <w:p w:rsidR="00C7319A" w:rsidRPr="009123CB" w:rsidRDefault="00C7319A" w:rsidP="00C7319A">
      <w:pPr>
        <w:spacing w:after="60"/>
        <w:ind w:left="720"/>
        <w:rPr>
          <w:lang w:val="de-DE"/>
        </w:rPr>
      </w:pPr>
    </w:p>
    <w:p w:rsidR="00C7319A" w:rsidRPr="009123CB" w:rsidRDefault="00C7319A" w:rsidP="00C7319A">
      <w:pPr>
        <w:keepNext/>
        <w:spacing w:after="60"/>
        <w:ind w:left="720"/>
        <w:rPr>
          <w:lang w:val="de-DE"/>
        </w:rPr>
      </w:pPr>
      <w:r w:rsidRPr="009123CB">
        <w:rPr>
          <w:rFonts w:eastAsia="Calibri" w:cs="Tahoma"/>
          <w:b/>
          <w:color w:val="000000"/>
          <w:szCs w:val="18"/>
          <w:lang w:val="de-DE"/>
        </w:rPr>
        <w:t>True Ups</w:t>
      </w:r>
    </w:p>
    <w:p w:rsidR="00C7319A" w:rsidRPr="009123CB" w:rsidRDefault="00C7319A" w:rsidP="00C7319A">
      <w:pPr>
        <w:spacing w:after="60"/>
        <w:ind w:left="720"/>
        <w:rPr>
          <w:lang w:val="de-DE"/>
        </w:rPr>
      </w:pPr>
      <w:r w:rsidRPr="009123CB">
        <w:rPr>
          <w:rFonts w:eastAsia="Calibri" w:cs="Tahoma"/>
          <w:color w:val="000000"/>
          <w:szCs w:val="18"/>
          <w:lang w:val="de-DE"/>
        </w:rPr>
        <w:t>Add-On-Nutzer-ALs sind keine Konzernprodukte oder Konzern-Onlinedienste</w:t>
      </w:r>
      <w:r w:rsidR="006257A7">
        <w:rPr>
          <w:rFonts w:eastAsia="Calibri" w:cs="Tahoma"/>
          <w:color w:val="000000"/>
          <w:szCs w:val="18"/>
          <w:lang w:val="de-DE"/>
        </w:rPr>
        <w:t xml:space="preserve">. </w:t>
      </w:r>
      <w:r w:rsidRPr="009123CB">
        <w:rPr>
          <w:rFonts w:eastAsia="Calibri" w:cs="Tahoma"/>
          <w:color w:val="000000"/>
          <w:szCs w:val="18"/>
          <w:lang w:val="de-DE"/>
        </w:rPr>
        <w:t>Sie können nicht verwendet werden, um die konzernweiten Anforderungen an einen Konzernbeitritt zu erfüllen</w:t>
      </w:r>
      <w:r w:rsidR="006257A7">
        <w:rPr>
          <w:rFonts w:eastAsia="Calibri" w:cs="Tahoma"/>
          <w:color w:val="000000"/>
          <w:szCs w:val="18"/>
          <w:lang w:val="de-DE"/>
        </w:rPr>
        <w:t xml:space="preserve">. </w:t>
      </w:r>
      <w:r w:rsidRPr="009123CB">
        <w:rPr>
          <w:rFonts w:eastAsia="Calibri" w:cs="Tahoma"/>
          <w:color w:val="000000"/>
          <w:szCs w:val="18"/>
          <w:lang w:val="de-DE"/>
        </w:rPr>
        <w:t>Beispielsweise muss ein Kunde, wenn er Office Professional Plus als Konzernprodukt im Rahmen seines Konzernbeitritts wählt und eine Add-On-Nutzer-AL verwendet, um Office 365 ProPlus auf einem Qualifizierten Gerät ohne Office Professional Plus zu installieren, dennoch eine True Up-Bestellung für Office Professional Plus auf diesem Qualifizierten Gerät – zusammen mit allen anderen möglicherweise für dieses Qualifizierte Gerät erforderlichen Konzernprodukten – aufgeben</w:t>
      </w:r>
      <w:r w:rsidR="006257A7">
        <w:rPr>
          <w:rFonts w:eastAsia="Calibri" w:cs="Tahoma"/>
          <w:color w:val="000000"/>
          <w:szCs w:val="18"/>
          <w:lang w:val="de-DE"/>
        </w:rPr>
        <w:t xml:space="preserve">. </w:t>
      </w:r>
    </w:p>
    <w:p w:rsidR="00C7319A" w:rsidRPr="009123CB" w:rsidRDefault="00C7319A" w:rsidP="00C7319A">
      <w:pPr>
        <w:pStyle w:val="Heading2"/>
        <w:ind w:left="0"/>
        <w:rPr>
          <w:lang w:val="de-DE"/>
        </w:rPr>
      </w:pPr>
    </w:p>
    <w:p w:rsidR="00C7319A" w:rsidRPr="009123CB" w:rsidRDefault="00C7319A" w:rsidP="00C7319A">
      <w:pPr>
        <w:pStyle w:val="Heading2"/>
        <w:ind w:left="0"/>
        <w:rPr>
          <w:lang w:val="de-DE"/>
        </w:rPr>
      </w:pPr>
    </w:p>
    <w:p w:rsidR="00C7319A" w:rsidRPr="009123CB" w:rsidRDefault="00C7319A" w:rsidP="00C7319A">
      <w:pPr>
        <w:pStyle w:val="Heading2"/>
        <w:ind w:left="0"/>
        <w:rPr>
          <w:lang w:val="de-DE"/>
        </w:rPr>
      </w:pPr>
      <w:bookmarkStart w:id="991" w:name="_7_Office_365_1"/>
      <w:bookmarkStart w:id="992" w:name="_8_Office_365"/>
      <w:bookmarkStart w:id="993" w:name="_Toc363999003"/>
      <w:bookmarkEnd w:id="991"/>
      <w:bookmarkEnd w:id="992"/>
      <w:r w:rsidRPr="009123CB">
        <w:rPr>
          <w:rFonts w:ascii="Tahoma" w:hAnsi="Tahoma" w:cs="Tahoma"/>
          <w:caps/>
          <w:color w:val="FF6600"/>
          <w:sz w:val="22"/>
          <w:szCs w:val="22"/>
          <w:vertAlign w:val="superscript"/>
          <w:lang w:val="de-DE"/>
        </w:rPr>
        <w:t>8</w:t>
      </w:r>
      <w:r w:rsidRPr="006672FD">
        <w:rPr>
          <w:rFonts w:ascii="Tahoma" w:hAnsi="Tahoma" w:cs="Tahoma"/>
          <w:caps/>
          <w:color w:val="FF6600"/>
          <w:sz w:val="22"/>
          <w:szCs w:val="22"/>
          <w:lang w:val="de-DE"/>
        </w:rPr>
        <w:t xml:space="preserve"> </w:t>
      </w:r>
      <w:r w:rsidRPr="009123CB">
        <w:rPr>
          <w:rFonts w:ascii="Tahoma" w:hAnsi="Tahoma" w:cs="Tahoma"/>
          <w:color w:val="FF6600"/>
          <w:sz w:val="22"/>
          <w:szCs w:val="22"/>
          <w:lang w:val="de-DE"/>
        </w:rPr>
        <w:t>Office 365 Enterprise E3-E4</w:t>
      </w:r>
      <w:bookmarkEnd w:id="987"/>
      <w:bookmarkEnd w:id="993"/>
    </w:p>
    <w:p w:rsidR="00C7319A" w:rsidRPr="009123CB" w:rsidRDefault="00C7319A" w:rsidP="00C7319A">
      <w:pPr>
        <w:rPr>
          <w:lang w:val="de-DE"/>
        </w:rPr>
      </w:pPr>
    </w:p>
    <w:p w:rsidR="00C7319A" w:rsidRPr="009123CB" w:rsidRDefault="00C7319A" w:rsidP="00C7319A">
      <w:pPr>
        <w:ind w:left="720"/>
        <w:rPr>
          <w:lang w:val="de-DE"/>
        </w:rPr>
      </w:pPr>
      <w:r w:rsidRPr="009123CB">
        <w:rPr>
          <w:color w:val="000000"/>
          <w:lang w:val="de-DE"/>
        </w:rPr>
        <w:t>Office 365 Plan E3 - E4 bietet Zugriff auf die folgenden Onlinedienste:</w:t>
      </w:r>
    </w:p>
    <w:p w:rsidR="00C7319A" w:rsidRPr="009123CB" w:rsidRDefault="00C7319A" w:rsidP="00C7319A">
      <w:pPr>
        <w:rPr>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C7319A" w:rsidRPr="00723859" w:rsidTr="00A67771">
        <w:tc>
          <w:tcPr>
            <w:tcW w:w="3977" w:type="dxa"/>
            <w:shd w:val="clear" w:color="auto" w:fill="FABF8F"/>
          </w:tcPr>
          <w:p w:rsidR="00C7319A" w:rsidRPr="00723859" w:rsidRDefault="00C7319A" w:rsidP="00A67771">
            <w:pPr>
              <w:jc w:val="center"/>
              <w:rPr>
                <w:rFonts w:eastAsia="Calibri"/>
                <w:b/>
                <w:color w:val="000000"/>
                <w:sz w:val="20"/>
              </w:rPr>
            </w:pPr>
            <w:r>
              <w:rPr>
                <w:rFonts w:eastAsia="Calibri"/>
                <w:b/>
                <w:color w:val="000000"/>
                <w:sz w:val="20"/>
              </w:rPr>
              <w:t>Office 365 Enterprise E3</w:t>
            </w:r>
          </w:p>
        </w:tc>
        <w:tc>
          <w:tcPr>
            <w:tcW w:w="4230" w:type="dxa"/>
            <w:shd w:val="clear" w:color="auto" w:fill="FABF8F"/>
          </w:tcPr>
          <w:p w:rsidR="00C7319A" w:rsidRPr="00723859" w:rsidRDefault="00C7319A" w:rsidP="00A67771">
            <w:pPr>
              <w:jc w:val="center"/>
              <w:rPr>
                <w:rFonts w:eastAsia="Calibri"/>
                <w:b/>
                <w:color w:val="000000"/>
                <w:sz w:val="20"/>
              </w:rPr>
            </w:pPr>
            <w:r>
              <w:rPr>
                <w:rFonts w:eastAsia="Calibri"/>
                <w:b/>
                <w:color w:val="000000"/>
                <w:sz w:val="20"/>
              </w:rPr>
              <w:t>Office 365 Enterprise E4</w:t>
            </w:r>
          </w:p>
        </w:tc>
      </w:tr>
      <w:tr w:rsidR="00C7319A" w:rsidRPr="00723859" w:rsidTr="00A67771">
        <w:tc>
          <w:tcPr>
            <w:tcW w:w="3977" w:type="dxa"/>
            <w:shd w:val="clear" w:color="auto" w:fill="auto"/>
          </w:tcPr>
          <w:p w:rsidR="00C7319A" w:rsidRPr="00723859" w:rsidRDefault="00C7319A" w:rsidP="00A67771">
            <w:pPr>
              <w:ind w:left="138" w:right="138"/>
              <w:rPr>
                <w:rFonts w:eastAsia="Calibri"/>
                <w:color w:val="000000"/>
              </w:rPr>
            </w:pPr>
            <w:r>
              <w:rPr>
                <w:rFonts w:eastAsia="Calibri"/>
                <w:color w:val="000000"/>
              </w:rPr>
              <w:t>Exchange Online Plan 2</w:t>
            </w:r>
          </w:p>
        </w:tc>
        <w:tc>
          <w:tcPr>
            <w:tcW w:w="4230" w:type="dxa"/>
            <w:shd w:val="clear" w:color="auto" w:fill="auto"/>
          </w:tcPr>
          <w:p w:rsidR="00C7319A" w:rsidRPr="00723859" w:rsidRDefault="00C7319A" w:rsidP="00A67771">
            <w:pPr>
              <w:ind w:left="186" w:right="180"/>
              <w:rPr>
                <w:rFonts w:eastAsia="Calibri"/>
                <w:color w:val="000000"/>
              </w:rPr>
            </w:pPr>
            <w:r>
              <w:rPr>
                <w:rFonts w:eastAsia="Calibri"/>
                <w:color w:val="000000"/>
              </w:rPr>
              <w:t>Exchange Online Plan 2</w:t>
            </w:r>
          </w:p>
        </w:tc>
      </w:tr>
      <w:tr w:rsidR="00C7319A" w:rsidRPr="00723859" w:rsidTr="00A67771">
        <w:tc>
          <w:tcPr>
            <w:tcW w:w="3977" w:type="dxa"/>
            <w:shd w:val="clear" w:color="auto" w:fill="auto"/>
          </w:tcPr>
          <w:p w:rsidR="00C7319A" w:rsidRPr="00723859" w:rsidRDefault="00C7319A" w:rsidP="00A67771">
            <w:pPr>
              <w:ind w:left="138" w:right="138"/>
              <w:rPr>
                <w:rFonts w:eastAsia="Calibri"/>
                <w:color w:val="000000"/>
              </w:rPr>
            </w:pPr>
            <w:r>
              <w:rPr>
                <w:rFonts w:eastAsia="Calibri"/>
                <w:color w:val="000000"/>
              </w:rPr>
              <w:t>SharePoint Online Plan 2</w:t>
            </w:r>
          </w:p>
        </w:tc>
        <w:tc>
          <w:tcPr>
            <w:tcW w:w="4230" w:type="dxa"/>
            <w:shd w:val="clear" w:color="auto" w:fill="auto"/>
          </w:tcPr>
          <w:p w:rsidR="00C7319A" w:rsidRPr="00723859" w:rsidRDefault="00C7319A" w:rsidP="00A67771">
            <w:pPr>
              <w:ind w:left="186" w:right="180"/>
              <w:rPr>
                <w:rFonts w:eastAsia="Calibri"/>
                <w:color w:val="000000"/>
              </w:rPr>
            </w:pPr>
            <w:r>
              <w:rPr>
                <w:rFonts w:eastAsia="Calibri"/>
                <w:color w:val="000000"/>
              </w:rPr>
              <w:t>SharePoint Online Plan 2</w:t>
            </w:r>
          </w:p>
        </w:tc>
      </w:tr>
      <w:tr w:rsidR="00C7319A" w:rsidRPr="00723859" w:rsidTr="00A67771">
        <w:tc>
          <w:tcPr>
            <w:tcW w:w="3977" w:type="dxa"/>
            <w:shd w:val="clear" w:color="auto" w:fill="auto"/>
          </w:tcPr>
          <w:p w:rsidR="00C7319A" w:rsidRPr="00723859" w:rsidRDefault="00C7319A" w:rsidP="00A67771">
            <w:pPr>
              <w:ind w:left="138" w:right="138"/>
              <w:rPr>
                <w:rFonts w:eastAsia="Calibri"/>
                <w:color w:val="000000"/>
              </w:rPr>
            </w:pPr>
            <w:r>
              <w:rPr>
                <w:rFonts w:eastAsia="Calibri"/>
                <w:color w:val="000000"/>
              </w:rPr>
              <w:t>Lync Online Plan 2</w:t>
            </w:r>
          </w:p>
        </w:tc>
        <w:tc>
          <w:tcPr>
            <w:tcW w:w="4230" w:type="dxa"/>
            <w:shd w:val="clear" w:color="auto" w:fill="auto"/>
          </w:tcPr>
          <w:p w:rsidR="00C7319A" w:rsidRPr="00723859" w:rsidRDefault="00C7319A" w:rsidP="00A67771">
            <w:pPr>
              <w:ind w:left="186" w:right="180"/>
              <w:rPr>
                <w:rFonts w:eastAsia="Calibri"/>
                <w:color w:val="000000"/>
              </w:rPr>
            </w:pPr>
            <w:r>
              <w:rPr>
                <w:rFonts w:eastAsia="Calibri"/>
                <w:color w:val="000000"/>
              </w:rPr>
              <w:t>Lync Online Plan 3*</w:t>
            </w:r>
          </w:p>
        </w:tc>
      </w:tr>
      <w:tr w:rsidR="00C7319A" w:rsidRPr="00FB51BA" w:rsidTr="00A67771">
        <w:tc>
          <w:tcPr>
            <w:tcW w:w="3977" w:type="dxa"/>
            <w:shd w:val="clear" w:color="auto" w:fill="auto"/>
          </w:tcPr>
          <w:p w:rsidR="00C7319A" w:rsidRPr="009123CB" w:rsidRDefault="00C7319A" w:rsidP="00A67771">
            <w:pPr>
              <w:ind w:left="138" w:right="138"/>
              <w:rPr>
                <w:rFonts w:eastAsia="Calibri"/>
                <w:color w:val="000000"/>
                <w:lang w:val="de-DE"/>
              </w:rPr>
            </w:pPr>
            <w:r w:rsidRPr="009123CB">
              <w:rPr>
                <w:rFonts w:eastAsia="Calibri"/>
                <w:color w:val="000000"/>
                <w:lang w:val="de-DE"/>
              </w:rPr>
              <w:t>Office-Webanwendungen (von Microsoft gehostet)</w:t>
            </w:r>
          </w:p>
        </w:tc>
        <w:tc>
          <w:tcPr>
            <w:tcW w:w="4230" w:type="dxa"/>
            <w:shd w:val="clear" w:color="auto" w:fill="auto"/>
          </w:tcPr>
          <w:p w:rsidR="00C7319A" w:rsidRPr="009123CB" w:rsidRDefault="00C7319A" w:rsidP="00A67771">
            <w:pPr>
              <w:ind w:left="186" w:right="180"/>
              <w:rPr>
                <w:rFonts w:eastAsia="Calibri"/>
                <w:color w:val="000000"/>
                <w:lang w:val="de-DE"/>
              </w:rPr>
            </w:pPr>
            <w:r w:rsidRPr="009123CB">
              <w:rPr>
                <w:rFonts w:eastAsia="Calibri"/>
                <w:color w:val="000000"/>
                <w:lang w:val="de-DE"/>
              </w:rPr>
              <w:t>Office-Webanwendungen (von Microsoft gehostet)</w:t>
            </w:r>
          </w:p>
        </w:tc>
      </w:tr>
      <w:tr w:rsidR="00C7319A" w:rsidRPr="00723859" w:rsidTr="00A67771">
        <w:tc>
          <w:tcPr>
            <w:tcW w:w="3977" w:type="dxa"/>
            <w:shd w:val="clear" w:color="auto" w:fill="auto"/>
          </w:tcPr>
          <w:p w:rsidR="00C7319A" w:rsidRPr="00723859" w:rsidRDefault="00C7319A" w:rsidP="00A67771">
            <w:pPr>
              <w:ind w:left="138" w:right="138"/>
              <w:rPr>
                <w:rFonts w:eastAsia="Calibri"/>
                <w:color w:val="000000"/>
              </w:rPr>
            </w:pPr>
            <w:r>
              <w:rPr>
                <w:rFonts w:eastAsia="Calibri"/>
                <w:color w:val="000000"/>
              </w:rPr>
              <w:t>Office 365 ProPlus</w:t>
            </w:r>
          </w:p>
        </w:tc>
        <w:tc>
          <w:tcPr>
            <w:tcW w:w="4230" w:type="dxa"/>
            <w:shd w:val="clear" w:color="auto" w:fill="auto"/>
          </w:tcPr>
          <w:p w:rsidR="00C7319A" w:rsidRPr="00723859" w:rsidRDefault="00C7319A" w:rsidP="00A67771">
            <w:pPr>
              <w:ind w:left="186" w:right="180"/>
              <w:rPr>
                <w:rFonts w:eastAsia="Calibri"/>
                <w:color w:val="000000"/>
              </w:rPr>
            </w:pPr>
            <w:r>
              <w:rPr>
                <w:rFonts w:eastAsia="Calibri"/>
                <w:color w:val="000000"/>
              </w:rPr>
              <w:t>Office 365 ProPlus</w:t>
            </w:r>
          </w:p>
        </w:tc>
      </w:tr>
      <w:tr w:rsidR="00C7319A" w:rsidRPr="00723859" w:rsidTr="00A67771">
        <w:tc>
          <w:tcPr>
            <w:tcW w:w="3977" w:type="dxa"/>
            <w:shd w:val="clear" w:color="auto" w:fill="auto"/>
          </w:tcPr>
          <w:p w:rsidR="00C7319A" w:rsidRDefault="00C7319A" w:rsidP="00A67771">
            <w:pPr>
              <w:ind w:left="138" w:right="138"/>
              <w:rPr>
                <w:rFonts w:eastAsia="Calibri"/>
                <w:color w:val="000000"/>
              </w:rPr>
            </w:pPr>
            <w:r>
              <w:rPr>
                <w:rFonts w:eastAsia="Calibri"/>
                <w:color w:val="000000"/>
              </w:rPr>
              <w:t>Windows Azure Active Directory-Rechteverwaltung</w:t>
            </w:r>
          </w:p>
        </w:tc>
        <w:tc>
          <w:tcPr>
            <w:tcW w:w="4230" w:type="dxa"/>
            <w:shd w:val="clear" w:color="auto" w:fill="auto"/>
          </w:tcPr>
          <w:p w:rsidR="00C7319A" w:rsidRDefault="00C7319A" w:rsidP="00A67771">
            <w:pPr>
              <w:ind w:left="186" w:right="180"/>
              <w:rPr>
                <w:rFonts w:eastAsia="Calibri"/>
                <w:color w:val="000000"/>
              </w:rPr>
            </w:pPr>
            <w:r>
              <w:rPr>
                <w:rFonts w:eastAsia="Calibri"/>
                <w:color w:val="000000"/>
              </w:rPr>
              <w:t>Windows Azure Active Directory-Rechteverwaltung</w:t>
            </w:r>
          </w:p>
        </w:tc>
      </w:tr>
      <w:tr w:rsidR="00C7319A" w:rsidRPr="00723859" w:rsidTr="00A67771">
        <w:tc>
          <w:tcPr>
            <w:tcW w:w="3977" w:type="dxa"/>
            <w:shd w:val="clear" w:color="auto" w:fill="auto"/>
          </w:tcPr>
          <w:p w:rsidR="00C7319A" w:rsidRDefault="00C7319A" w:rsidP="00A67771">
            <w:pPr>
              <w:ind w:left="138" w:right="138"/>
              <w:rPr>
                <w:rFonts w:eastAsia="Calibri"/>
                <w:color w:val="000000"/>
              </w:rPr>
            </w:pPr>
            <w:r>
              <w:rPr>
                <w:rFonts w:eastAsia="Calibri"/>
                <w:color w:val="000000"/>
              </w:rPr>
              <w:t>Yammer Enterprise</w:t>
            </w:r>
          </w:p>
        </w:tc>
        <w:tc>
          <w:tcPr>
            <w:tcW w:w="4230" w:type="dxa"/>
            <w:shd w:val="clear" w:color="auto" w:fill="auto"/>
          </w:tcPr>
          <w:p w:rsidR="00C7319A" w:rsidRDefault="00C7319A" w:rsidP="00A67771">
            <w:pPr>
              <w:ind w:left="186" w:right="180"/>
              <w:rPr>
                <w:rFonts w:eastAsia="Calibri"/>
                <w:color w:val="000000"/>
              </w:rPr>
            </w:pPr>
            <w:r>
              <w:rPr>
                <w:rFonts w:eastAsia="Calibri"/>
                <w:color w:val="000000"/>
              </w:rPr>
              <w:t>Yammer Enterprise</w:t>
            </w:r>
          </w:p>
        </w:tc>
      </w:tr>
    </w:tbl>
    <w:p w:rsidR="00C7319A" w:rsidRPr="009123CB" w:rsidRDefault="00C7319A" w:rsidP="00C7319A">
      <w:pPr>
        <w:pStyle w:val="PURBody"/>
        <w:spacing w:after="0"/>
        <w:ind w:left="720"/>
        <w:rPr>
          <w:lang w:val="de-DE"/>
        </w:rPr>
      </w:pPr>
      <w:r w:rsidRPr="009123CB">
        <w:rPr>
          <w:rFonts w:ascii="Tahoma" w:hAnsi="Tahoma" w:cs="Tahoma"/>
          <w:i/>
          <w:sz w:val="16"/>
          <w:lang w:val="de-DE"/>
        </w:rPr>
        <w:t>*Kunden, die aus anderen Ländern als den USA oder Großbritannien kaufen, erhalten Lync Online Plan 2 anstelle von Lync Online Plan 3</w:t>
      </w:r>
    </w:p>
    <w:p w:rsidR="00C7319A" w:rsidRPr="009123CB" w:rsidRDefault="00C7319A" w:rsidP="00C7319A">
      <w:pPr>
        <w:ind w:left="720"/>
        <w:rPr>
          <w:lang w:val="de-DE"/>
        </w:rPr>
      </w:pPr>
      <w:r w:rsidRPr="009123CB">
        <w:rPr>
          <w:color w:val="000000"/>
          <w:lang w:val="de-DE"/>
        </w:rPr>
        <w:br/>
      </w:r>
      <w:r w:rsidRPr="009123CB">
        <w:rPr>
          <w:rFonts w:cs="Tahoma"/>
          <w:color w:val="000000"/>
          <w:szCs w:val="18"/>
          <w:lang w:val="de-DE"/>
        </w:rPr>
        <w:t>Änderungen an dieser Liste sind vorbehalten</w:t>
      </w:r>
      <w:r w:rsidR="006257A7">
        <w:rPr>
          <w:rFonts w:cs="Tahoma"/>
          <w:color w:val="000000"/>
          <w:szCs w:val="18"/>
          <w:lang w:val="de-DE"/>
        </w:rPr>
        <w:t xml:space="preserve">. </w:t>
      </w:r>
      <w:r w:rsidRPr="009123CB">
        <w:rPr>
          <w:rFonts w:cs="Tahoma"/>
          <w:color w:val="000000"/>
          <w:szCs w:val="18"/>
          <w:lang w:val="de-DE"/>
        </w:rPr>
        <w:t>Die aktuellen Produktbenutzungsrechte finden bei Widersprüchen zwischen den Lizenzbestimmungen für Office 365 Enterprise E3 – E4 und diesem Hinweis Anwendung</w:t>
      </w:r>
      <w:r w:rsidR="006257A7">
        <w:rPr>
          <w:rFonts w:cs="Tahoma"/>
          <w:color w:val="000000"/>
          <w:szCs w:val="18"/>
          <w:lang w:val="de-DE"/>
        </w:rPr>
        <w:t xml:space="preserve">. </w:t>
      </w:r>
      <w:r w:rsidRPr="009123CB">
        <w:rPr>
          <w:rFonts w:cs="Tahoma"/>
          <w:color w:val="000000"/>
          <w:szCs w:val="18"/>
          <w:lang w:val="de-DE"/>
        </w:rPr>
        <w:t>Zusätzliche Zugriffsrechte auf separat lizenzierte Vor-Ort-Software sind gegebenenfalls in den Produktbenutzungsrechten angegeben</w:t>
      </w:r>
      <w:r w:rsidR="006257A7">
        <w:rPr>
          <w:rFonts w:cs="Tahoma"/>
          <w:color w:val="000000"/>
          <w:szCs w:val="18"/>
          <w:lang w:val="de-DE"/>
        </w:rPr>
        <w:t xml:space="preserve">. </w:t>
      </w:r>
    </w:p>
    <w:p w:rsidR="00C7319A" w:rsidRPr="009123CB" w:rsidRDefault="00C7319A" w:rsidP="00C7319A">
      <w:pPr>
        <w:ind w:left="720"/>
        <w:rPr>
          <w:lang w:val="de-DE"/>
        </w:rPr>
      </w:pPr>
    </w:p>
    <w:p w:rsidR="00C7319A" w:rsidRPr="009123CB" w:rsidRDefault="00C7319A" w:rsidP="00965A6F">
      <w:pPr>
        <w:pStyle w:val="FootnoteBulletLevel1"/>
        <w:tabs>
          <w:tab w:val="clear" w:pos="900"/>
        </w:tabs>
        <w:spacing w:before="0" w:after="0"/>
        <w:ind w:left="720" w:firstLine="0"/>
        <w:rPr>
          <w:lang w:val="de-DE"/>
        </w:rPr>
      </w:pPr>
      <w:r w:rsidRPr="009123CB">
        <w:rPr>
          <w:rFonts w:ascii="Tahoma" w:hAnsi="Tahoma" w:cs="Tahoma"/>
          <w:color w:val="000000"/>
          <w:sz w:val="18"/>
          <w:szCs w:val="18"/>
          <w:lang w:val="de-DE"/>
        </w:rPr>
        <w:t>Für Lync Online Plan 1 und Plan 2 muss Microsoft Lync 2013 (oder Lync für Mac 2011) separat erworben und installiert werden, damit alle Features von Lync Online Plan 1 und Plan 2 zur Verfügung stehen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Als</w:t>
      </w:r>
      <w:r w:rsidR="00965A6F">
        <w:rPr>
          <w:rFonts w:ascii="Tahoma" w:hAnsi="Tahoma" w:cs="Tahoma"/>
          <w:color w:val="000000"/>
          <w:sz w:val="18"/>
          <w:szCs w:val="18"/>
          <w:lang w:val="de-DE"/>
        </w:rPr>
        <w:t> </w:t>
      </w:r>
      <w:r w:rsidRPr="009123CB">
        <w:rPr>
          <w:rFonts w:ascii="Tahoma" w:hAnsi="Tahoma" w:cs="Tahoma"/>
          <w:color w:val="000000"/>
          <w:sz w:val="18"/>
          <w:szCs w:val="18"/>
          <w:lang w:val="de-DE"/>
        </w:rPr>
        <w:t>zeitlich beschränktes Angebot erhalten Kunden, die für Lync Online lizenziert sind, mit jeder Testversion oder bezahlten Abonnementlizenz für Lync Online eine lizenzierte Kopie von Lync 2010 (oder Lync für Mac</w:t>
      </w:r>
      <w:r w:rsidR="00965A6F">
        <w:rPr>
          <w:rFonts w:ascii="Tahoma" w:hAnsi="Tahoma" w:cs="Tahoma"/>
          <w:color w:val="000000"/>
          <w:sz w:val="18"/>
          <w:szCs w:val="18"/>
          <w:lang w:val="de-DE"/>
        </w:rPr>
        <w:t> </w:t>
      </w:r>
      <w:r w:rsidRPr="009123CB">
        <w:rPr>
          <w:rFonts w:ascii="Tahoma" w:hAnsi="Tahoma" w:cs="Tahoma"/>
          <w:color w:val="000000"/>
          <w:sz w:val="18"/>
          <w:szCs w:val="18"/>
          <w:lang w:val="de-DE"/>
        </w:rPr>
        <w:t>2011) kostenlos</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Kunden sind berechtigt, den kostenlosen Lync Basic 2013-Client für ihre Windows-basierten Endbenutzer zu nutzen</w:t>
      </w:r>
      <w:r w:rsidR="006257A7">
        <w:rPr>
          <w:rFonts w:ascii="Tahoma" w:hAnsi="Tahoma" w:cs="Tahoma"/>
          <w:color w:val="000000"/>
          <w:sz w:val="18"/>
          <w:szCs w:val="18"/>
          <w:lang w:val="de-DE"/>
        </w:rPr>
        <w:t xml:space="preserve">. </w:t>
      </w:r>
    </w:p>
    <w:p w:rsidR="00C7319A" w:rsidRPr="0062435A" w:rsidRDefault="00C7319A" w:rsidP="00C7319A">
      <w:pPr>
        <w:pStyle w:val="Heading3"/>
      </w:pPr>
      <w:bookmarkStart w:id="994" w:name="_76_Office_for"/>
      <w:bookmarkStart w:id="995" w:name="_8_Office_for"/>
      <w:bookmarkStart w:id="996" w:name="_9_Office_für"/>
      <w:bookmarkStart w:id="997" w:name="_Toc336338264"/>
      <w:bookmarkStart w:id="998" w:name="_Toc363999004"/>
      <w:bookmarkStart w:id="999" w:name="Srv_4OfficeMacStandard2011"/>
      <w:bookmarkEnd w:id="962"/>
      <w:bookmarkEnd w:id="994"/>
      <w:bookmarkEnd w:id="995"/>
      <w:bookmarkEnd w:id="996"/>
      <w:r>
        <w:rPr>
          <w:rFonts w:ascii="Tahoma" w:hAnsi="Tahoma"/>
          <w:caps/>
          <w:color w:val="F66400"/>
          <w:sz w:val="22"/>
          <w:vertAlign w:val="superscript"/>
        </w:rPr>
        <w:t>9</w:t>
      </w:r>
      <w:r w:rsidRPr="006672FD">
        <w:rPr>
          <w:rFonts w:ascii="Tahoma" w:hAnsi="Tahoma"/>
          <w:caps/>
          <w:color w:val="F66400"/>
          <w:sz w:val="22"/>
        </w:rPr>
        <w:t xml:space="preserve"> </w:t>
      </w:r>
      <w:r>
        <w:rPr>
          <w:rFonts w:ascii="Tahoma" w:hAnsi="Tahoma"/>
          <w:color w:val="F66400"/>
          <w:sz w:val="22"/>
        </w:rPr>
        <w:t>Office für Mac Standard 2011</w:t>
      </w:r>
      <w:bookmarkEnd w:id="997"/>
      <w:bookmarkEnd w:id="998"/>
      <w:r>
        <w:rPr>
          <w:rFonts w:ascii="Tahoma" w:hAnsi="Tahoma"/>
          <w:color w:val="F66400"/>
          <w:sz w:val="22"/>
        </w:rPr>
        <w:t xml:space="preserve"> </w:t>
      </w:r>
      <w:bookmarkEnd w:id="999"/>
    </w:p>
    <w:p w:rsidR="00C7319A" w:rsidRPr="0062435A" w:rsidRDefault="00C7319A" w:rsidP="00C7319A"/>
    <w:p w:rsidR="00C7319A" w:rsidRPr="009123CB" w:rsidRDefault="00C7319A" w:rsidP="00C7319A">
      <w:pPr>
        <w:pStyle w:val="EndnoteText"/>
        <w:numPr>
          <w:ilvl w:val="0"/>
          <w:numId w:val="114"/>
        </w:numPr>
        <w:ind w:left="990"/>
        <w:rPr>
          <w:lang w:val="de-DE"/>
        </w:rPr>
      </w:pPr>
      <w:r w:rsidRPr="009123CB">
        <w:rPr>
          <w:rFonts w:ascii="Tahoma" w:hAnsi="Tahoma" w:cs="Tahoma"/>
          <w:sz w:val="18"/>
          <w:szCs w:val="20"/>
          <w:lang w:val="de-DE"/>
        </w:rPr>
        <w:t xml:space="preserve">Work at Home(WAH)-Lizenz für Kunden von Select </w:t>
      </w:r>
      <w:r w:rsidRPr="009123CB">
        <w:rPr>
          <w:rFonts w:ascii="Tahoma" w:hAnsi="Tahoma" w:cs="Tahoma"/>
          <w:sz w:val="18"/>
          <w:szCs w:val="18"/>
          <w:lang w:val="de-DE"/>
        </w:rPr>
        <w:t>und Select Plus</w:t>
      </w:r>
      <w:r w:rsidRPr="009123CB">
        <w:rPr>
          <w:rFonts w:ascii="Tahoma" w:hAnsi="Tahoma" w:cs="Tahoma"/>
          <w:sz w:val="18"/>
          <w:szCs w:val="20"/>
          <w:lang w:val="de-DE"/>
        </w:rPr>
        <w:t xml:space="preserve"> verfügbar </w:t>
      </w:r>
    </w:p>
    <w:p w:rsidR="00C7319A" w:rsidRPr="009123CB" w:rsidRDefault="00C7319A" w:rsidP="00C7319A">
      <w:pPr>
        <w:adjustRightInd w:val="0"/>
        <w:ind w:left="720"/>
        <w:textAlignment w:val="baseline"/>
        <w:rPr>
          <w:lang w:val="de-DE"/>
        </w:rPr>
      </w:pPr>
    </w:p>
    <w:p w:rsidR="00C7319A" w:rsidRPr="009123CB" w:rsidRDefault="00C7319A" w:rsidP="00C7319A">
      <w:pPr>
        <w:spacing w:after="60"/>
        <w:ind w:left="720"/>
        <w:rPr>
          <w:lang w:val="de-DE"/>
        </w:rPr>
      </w:pPr>
      <w:r w:rsidRPr="009123CB">
        <w:rPr>
          <w:rFonts w:cs="Tahoma"/>
          <w:b/>
          <w:szCs w:val="20"/>
          <w:lang w:val="de-DE"/>
        </w:rPr>
        <w:t>Office für Mac Standard 2011</w:t>
      </w:r>
    </w:p>
    <w:p w:rsidR="00C7319A" w:rsidRPr="009123CB" w:rsidRDefault="00C7319A" w:rsidP="00C7319A">
      <w:pPr>
        <w:spacing w:after="60"/>
        <w:ind w:left="720"/>
        <w:rPr>
          <w:lang w:val="de-DE"/>
        </w:rPr>
      </w:pPr>
      <w:r w:rsidRPr="009123CB">
        <w:rPr>
          <w:rFonts w:cs="Tahoma"/>
          <w:szCs w:val="20"/>
          <w:lang w:val="de-DE"/>
        </w:rPr>
        <w:t xml:space="preserve">Eine Lizenz für Office für Mac Standard 2011 besteht aus Folgendem: Lync für Mac 2011, Excel für Mac 2011, Outlook für Mac 2011, </w:t>
      </w:r>
      <w:r w:rsidRPr="009123CB">
        <w:rPr>
          <w:rFonts w:cs="Tahoma"/>
          <w:lang w:val="de-DE"/>
        </w:rPr>
        <w:t>Office Home and Student RT 2013 Commercial Use,</w:t>
      </w:r>
      <w:r w:rsidRPr="009123CB">
        <w:rPr>
          <w:rFonts w:cs="Tahoma"/>
          <w:szCs w:val="20"/>
          <w:lang w:val="de-DE"/>
        </w:rPr>
        <w:t xml:space="preserve"> Office Web Apps 2010, PowerPoint für Mac 2011 und Word für Mac 2011</w:t>
      </w:r>
      <w:r w:rsidR="006257A7">
        <w:rPr>
          <w:rFonts w:cs="Tahoma"/>
          <w:szCs w:val="20"/>
          <w:lang w:val="de-DE"/>
        </w:rPr>
        <w:t xml:space="preserve">. </w:t>
      </w:r>
    </w:p>
    <w:p w:rsidR="00C7319A" w:rsidRPr="009123CB" w:rsidRDefault="00C7319A" w:rsidP="00C7319A">
      <w:pPr>
        <w:adjustRightInd w:val="0"/>
        <w:ind w:left="720"/>
        <w:textAlignment w:val="baseline"/>
        <w:rPr>
          <w:lang w:val="de-DE"/>
        </w:rPr>
      </w:pPr>
    </w:p>
    <w:p w:rsidR="00C7319A" w:rsidRPr="009123CB" w:rsidRDefault="00C7319A" w:rsidP="00C7319A">
      <w:pPr>
        <w:spacing w:after="60"/>
        <w:ind w:left="720"/>
        <w:rPr>
          <w:lang w:val="de-DE"/>
        </w:rPr>
      </w:pPr>
      <w:r w:rsidRPr="009123CB">
        <w:rPr>
          <w:rFonts w:cs="Tahoma"/>
          <w:b/>
          <w:szCs w:val="20"/>
          <w:lang w:val="de-DE"/>
        </w:rPr>
        <w:t>Untrennbarkeit von Microsoft Office für Mac Standard 2011</w:t>
      </w:r>
    </w:p>
    <w:p w:rsidR="00C7319A" w:rsidRPr="009123CB" w:rsidRDefault="00C7319A" w:rsidP="006672FD">
      <w:pPr>
        <w:spacing w:after="60"/>
        <w:ind w:left="720"/>
        <w:rPr>
          <w:lang w:val="de-DE"/>
        </w:rPr>
      </w:pPr>
      <w:r w:rsidRPr="009123CB">
        <w:rPr>
          <w:rFonts w:cs="Tahoma"/>
          <w:szCs w:val="20"/>
          <w:lang w:val="de-DE"/>
        </w:rPr>
        <w:t>Office für Mac Standard 2011 besteht aus mehreren Produkten, die in einer Lizenz angeboten werden</w:t>
      </w:r>
      <w:r w:rsidR="006257A7">
        <w:rPr>
          <w:rFonts w:cs="Tahoma"/>
          <w:szCs w:val="20"/>
          <w:lang w:val="de-DE"/>
        </w:rPr>
        <w:t xml:space="preserve">. </w:t>
      </w:r>
      <w:r w:rsidRPr="009123CB">
        <w:rPr>
          <w:rFonts w:cs="Tahoma"/>
          <w:szCs w:val="20"/>
          <w:lang w:val="de-DE"/>
        </w:rPr>
        <w:t>Die</w:t>
      </w:r>
      <w:r w:rsidR="006672FD">
        <w:rPr>
          <w:rFonts w:cs="Tahoma"/>
          <w:szCs w:val="20"/>
          <w:lang w:val="de-DE"/>
        </w:rPr>
        <w:t> </w:t>
      </w:r>
      <w:r w:rsidRPr="009123CB">
        <w:rPr>
          <w:rFonts w:cs="Tahoma"/>
          <w:szCs w:val="20"/>
          <w:lang w:val="de-DE"/>
        </w:rPr>
        <w:t>Software darf nicht zur Verwendung auf mehr als einem Computer getrennt werden</w:t>
      </w:r>
      <w:r w:rsidR="006257A7">
        <w:rPr>
          <w:rFonts w:cs="Tahoma"/>
          <w:szCs w:val="20"/>
          <w:lang w:val="de-DE"/>
        </w:rPr>
        <w:t xml:space="preserve">. </w:t>
      </w:r>
    </w:p>
    <w:p w:rsidR="00C7319A" w:rsidRPr="009123CB" w:rsidRDefault="00C7319A" w:rsidP="00C7319A">
      <w:pPr>
        <w:adjustRightInd w:val="0"/>
        <w:ind w:left="720"/>
        <w:textAlignment w:val="baseline"/>
        <w:rPr>
          <w:lang w:val="de-DE"/>
        </w:rPr>
      </w:pPr>
    </w:p>
    <w:p w:rsidR="00C7319A" w:rsidRPr="009123CB" w:rsidRDefault="00C7319A" w:rsidP="00C7319A">
      <w:pPr>
        <w:spacing w:after="60"/>
        <w:ind w:left="720"/>
        <w:rPr>
          <w:lang w:val="de-DE"/>
        </w:rPr>
      </w:pPr>
      <w:r w:rsidRPr="009123CB">
        <w:rPr>
          <w:rFonts w:cs="Tahoma"/>
          <w:b/>
          <w:szCs w:val="20"/>
          <w:lang w:val="de-DE"/>
        </w:rPr>
        <w:t>Rechte zur Verwendung von Lync für Mac 2011</w:t>
      </w:r>
    </w:p>
    <w:p w:rsidR="00C7319A" w:rsidRPr="009123CB" w:rsidRDefault="00C7319A" w:rsidP="00C7319A">
      <w:pPr>
        <w:adjustRightInd w:val="0"/>
        <w:ind w:left="720"/>
        <w:textAlignment w:val="baseline"/>
        <w:rPr>
          <w:lang w:val="de-DE"/>
        </w:rPr>
      </w:pPr>
      <w:r w:rsidRPr="009123CB">
        <w:rPr>
          <w:rFonts w:cs="Tahoma"/>
          <w:szCs w:val="20"/>
          <w:lang w:val="de-DE"/>
        </w:rPr>
        <w:t>Kunden, die Office für Mac Standard 2011 am oder nach dem 1</w:t>
      </w:r>
      <w:r w:rsidR="006257A7">
        <w:rPr>
          <w:rFonts w:cs="Tahoma"/>
          <w:szCs w:val="20"/>
          <w:lang w:val="de-DE"/>
        </w:rPr>
        <w:t xml:space="preserve">. </w:t>
      </w:r>
      <w:r w:rsidRPr="009123CB">
        <w:rPr>
          <w:rFonts w:cs="Tahoma"/>
          <w:szCs w:val="20"/>
          <w:lang w:val="de-DE"/>
        </w:rPr>
        <w:t>Oktober 2011 erwerben, verfügen über eine Office-Suite, die Lync für Mac 2011 anstelle von Communicator für Mac 2011 enthält</w:t>
      </w:r>
      <w:r w:rsidR="006257A7">
        <w:rPr>
          <w:rFonts w:cs="Tahoma"/>
          <w:szCs w:val="20"/>
          <w:lang w:val="de-DE"/>
        </w:rPr>
        <w:t xml:space="preserve">. </w:t>
      </w:r>
      <w:r w:rsidRPr="009123CB">
        <w:rPr>
          <w:rFonts w:cs="Tahoma"/>
          <w:szCs w:val="20"/>
          <w:lang w:val="de-DE"/>
        </w:rPr>
        <w:t>Kunden mit aktiver Software Assurance für Office für Mac Standard 2011 am oder nach dem 1</w:t>
      </w:r>
      <w:r w:rsidR="006257A7">
        <w:rPr>
          <w:rFonts w:cs="Tahoma"/>
          <w:szCs w:val="20"/>
          <w:lang w:val="de-DE"/>
        </w:rPr>
        <w:t xml:space="preserve">. </w:t>
      </w:r>
      <w:r w:rsidRPr="009123CB">
        <w:rPr>
          <w:rFonts w:cs="Tahoma"/>
          <w:szCs w:val="20"/>
          <w:lang w:val="de-DE"/>
        </w:rPr>
        <w:t>Oktober 2011 können entweder Communicator für Mac 2011 verwenden oder auf Lync für Mac 2011 upgraden</w:t>
      </w:r>
      <w:r w:rsidR="006257A7">
        <w:rPr>
          <w:rFonts w:cs="Tahoma"/>
          <w:szCs w:val="20"/>
          <w:lang w:val="de-DE"/>
        </w:rPr>
        <w:t xml:space="preserve">. </w:t>
      </w:r>
    </w:p>
    <w:p w:rsidR="00C7319A" w:rsidRPr="009123CB" w:rsidRDefault="00C7319A" w:rsidP="00C7319A">
      <w:pPr>
        <w:rPr>
          <w:lang w:val="de-DE"/>
        </w:rPr>
      </w:pPr>
    </w:p>
    <w:p w:rsidR="00C7319A" w:rsidRPr="009123CB" w:rsidRDefault="00C7319A" w:rsidP="00C7319A">
      <w:pPr>
        <w:rPr>
          <w:lang w:val="de-DE"/>
        </w:rPr>
      </w:pPr>
      <w:bookmarkStart w:id="1000" w:name="_Toc336338265"/>
    </w:p>
    <w:p w:rsidR="00C7319A" w:rsidRPr="009123CB" w:rsidRDefault="00C7319A" w:rsidP="00C7319A">
      <w:pPr>
        <w:pStyle w:val="Heading3"/>
        <w:rPr>
          <w:lang w:val="de-DE"/>
        </w:rPr>
      </w:pPr>
      <w:bookmarkStart w:id="1001" w:name="_5_Office_Multi-Language"/>
      <w:bookmarkStart w:id="1002" w:name="_7_Office_Multi-Language"/>
      <w:bookmarkStart w:id="1003" w:name="_87_Office_Multi-Language"/>
      <w:bookmarkStart w:id="1004" w:name="_9_Office_Multi-Language"/>
      <w:bookmarkStart w:id="1005" w:name="_10_Office_Multi-Language"/>
      <w:bookmarkStart w:id="1006" w:name="Aps_8OffMultiLangPack07"/>
      <w:bookmarkStart w:id="1007" w:name="Aps_6OfficeMultiLangPack2010"/>
      <w:bookmarkStart w:id="1008" w:name="Aps_5OfficeMultiLangPack2010"/>
      <w:bookmarkStart w:id="1009" w:name="_Toc363999005"/>
      <w:bookmarkEnd w:id="1001"/>
      <w:bookmarkEnd w:id="1002"/>
      <w:bookmarkEnd w:id="1003"/>
      <w:bookmarkEnd w:id="1004"/>
      <w:bookmarkEnd w:id="1005"/>
      <w:r w:rsidRPr="009123CB">
        <w:rPr>
          <w:rFonts w:ascii="Tahoma" w:hAnsi="Tahoma"/>
          <w:caps/>
          <w:color w:val="F66400"/>
          <w:sz w:val="22"/>
          <w:vertAlign w:val="superscript"/>
          <w:lang w:val="de-DE"/>
        </w:rPr>
        <w:t>10</w:t>
      </w:r>
      <w:r w:rsidRPr="009123CB">
        <w:rPr>
          <w:rFonts w:ascii="Tahoma" w:hAnsi="Tahoma"/>
          <w:color w:val="F66400"/>
          <w:sz w:val="22"/>
          <w:lang w:val="de-DE"/>
        </w:rPr>
        <w:t xml:space="preserve"> Office Multi-Language Pack </w:t>
      </w:r>
      <w:bookmarkEnd w:id="1000"/>
      <w:bookmarkEnd w:id="1006"/>
      <w:bookmarkEnd w:id="1007"/>
      <w:bookmarkEnd w:id="1008"/>
      <w:r w:rsidRPr="009123CB">
        <w:rPr>
          <w:rFonts w:ascii="Tahoma" w:hAnsi="Tahoma"/>
          <w:color w:val="F66400"/>
          <w:sz w:val="22"/>
          <w:lang w:val="de-DE"/>
        </w:rPr>
        <w:t>2013</w:t>
      </w:r>
      <w:bookmarkEnd w:id="1009"/>
    </w:p>
    <w:p w:rsidR="00C7319A" w:rsidRPr="009123CB" w:rsidRDefault="00C7319A" w:rsidP="00C7319A">
      <w:pPr>
        <w:rPr>
          <w:lang w:val="de-DE"/>
        </w:rPr>
      </w:pPr>
    </w:p>
    <w:p w:rsidR="00C7319A" w:rsidRPr="009123CB" w:rsidRDefault="00C7319A" w:rsidP="00C7319A">
      <w:pPr>
        <w:spacing w:after="60"/>
        <w:ind w:left="720"/>
        <w:rPr>
          <w:lang w:val="de-DE"/>
        </w:rPr>
      </w:pPr>
      <w:r w:rsidRPr="009123CB">
        <w:rPr>
          <w:rFonts w:cs="Tahoma"/>
          <w:b/>
          <w:szCs w:val="20"/>
          <w:lang w:val="de-DE"/>
        </w:rPr>
        <w:t>Downgraderecht für Office Multi-Language Pack 2013</w:t>
      </w:r>
    </w:p>
    <w:p w:rsidR="00C7319A" w:rsidRPr="009123CB" w:rsidRDefault="00C7319A" w:rsidP="00C7319A">
      <w:pPr>
        <w:ind w:left="720"/>
        <w:rPr>
          <w:lang w:val="de-DE"/>
        </w:rPr>
      </w:pPr>
      <w:r w:rsidRPr="009123CB">
        <w:rPr>
          <w:rFonts w:cs="Tahoma"/>
          <w:szCs w:val="18"/>
          <w:lang w:val="de-DE"/>
        </w:rPr>
        <w:t>Kunden mit Volumenlizenzverträgen, die eine Lizenz für Office Multi-Language Pack 2013 sowie eine Lizenz für eines der folgenden Produkte umfassen:</w:t>
      </w:r>
    </w:p>
    <w:p w:rsidR="00C7319A" w:rsidRPr="009123CB" w:rsidRDefault="00C7319A" w:rsidP="00C7319A">
      <w:pPr>
        <w:ind w:left="900"/>
        <w:rPr>
          <w:lang w:val="de-DE"/>
        </w:rPr>
      </w:pPr>
    </w:p>
    <w:p w:rsidR="00C7319A" w:rsidRPr="0062435A" w:rsidRDefault="00C7319A" w:rsidP="00C7319A">
      <w:pPr>
        <w:numPr>
          <w:ilvl w:val="0"/>
          <w:numId w:val="9"/>
        </w:numPr>
        <w:spacing w:after="60"/>
        <w:ind w:left="1440"/>
      </w:pPr>
      <w:r>
        <w:rPr>
          <w:rFonts w:cs="Tahoma"/>
          <w:szCs w:val="18"/>
        </w:rPr>
        <w:t>Office Standard 2013</w:t>
      </w:r>
    </w:p>
    <w:p w:rsidR="00C7319A" w:rsidRPr="0062435A" w:rsidRDefault="00C7319A" w:rsidP="00C7319A">
      <w:pPr>
        <w:numPr>
          <w:ilvl w:val="0"/>
          <w:numId w:val="9"/>
        </w:numPr>
        <w:spacing w:after="60"/>
        <w:ind w:left="1440"/>
      </w:pPr>
      <w:r>
        <w:rPr>
          <w:rFonts w:cs="Tahoma"/>
          <w:szCs w:val="18"/>
        </w:rPr>
        <w:t>Office Professional Plus 2013</w:t>
      </w:r>
    </w:p>
    <w:p w:rsidR="00C7319A" w:rsidRPr="0062435A" w:rsidRDefault="00C7319A" w:rsidP="00C7319A">
      <w:pPr>
        <w:numPr>
          <w:ilvl w:val="0"/>
          <w:numId w:val="9"/>
        </w:numPr>
        <w:spacing w:after="60"/>
        <w:ind w:left="1440"/>
      </w:pPr>
      <w:r>
        <w:rPr>
          <w:rFonts w:cs="Tahoma"/>
          <w:szCs w:val="18"/>
        </w:rPr>
        <w:t>Project Standard 2013</w:t>
      </w:r>
    </w:p>
    <w:p w:rsidR="00C7319A" w:rsidRPr="0062435A" w:rsidRDefault="00C7319A" w:rsidP="00C7319A">
      <w:pPr>
        <w:numPr>
          <w:ilvl w:val="0"/>
          <w:numId w:val="9"/>
        </w:numPr>
        <w:spacing w:after="60"/>
        <w:ind w:left="1440"/>
      </w:pPr>
      <w:r>
        <w:rPr>
          <w:rFonts w:cs="Tahoma"/>
          <w:szCs w:val="18"/>
        </w:rPr>
        <w:t>Project Professional 2013</w:t>
      </w:r>
    </w:p>
    <w:p w:rsidR="00C7319A" w:rsidRPr="0062435A" w:rsidRDefault="00C7319A" w:rsidP="00C7319A">
      <w:pPr>
        <w:numPr>
          <w:ilvl w:val="0"/>
          <w:numId w:val="9"/>
        </w:numPr>
        <w:spacing w:after="60"/>
        <w:ind w:left="1440"/>
      </w:pPr>
      <w:r>
        <w:rPr>
          <w:rFonts w:cs="Tahoma"/>
          <w:szCs w:val="18"/>
        </w:rPr>
        <w:t>Visio Standard 2013</w:t>
      </w:r>
    </w:p>
    <w:p w:rsidR="00C7319A" w:rsidRPr="0062435A" w:rsidRDefault="00C7319A" w:rsidP="00C7319A">
      <w:pPr>
        <w:numPr>
          <w:ilvl w:val="0"/>
          <w:numId w:val="9"/>
        </w:numPr>
        <w:spacing w:after="60"/>
        <w:ind w:left="1440"/>
      </w:pPr>
      <w:r>
        <w:rPr>
          <w:rFonts w:cs="Tahoma"/>
          <w:szCs w:val="18"/>
        </w:rPr>
        <w:t>Visio Professional 2013</w:t>
      </w:r>
    </w:p>
    <w:p w:rsidR="00C7319A" w:rsidRPr="0062435A" w:rsidRDefault="00C7319A" w:rsidP="00C7319A">
      <w:pPr>
        <w:ind w:left="1260"/>
      </w:pPr>
    </w:p>
    <w:p w:rsidR="00C7319A" w:rsidRPr="009123CB" w:rsidRDefault="00C7319A" w:rsidP="00C7319A">
      <w:pPr>
        <w:ind w:left="720"/>
        <w:rPr>
          <w:lang w:val="de-DE"/>
        </w:rPr>
      </w:pPr>
      <w:r w:rsidRPr="009123CB">
        <w:rPr>
          <w:rFonts w:cs="Tahoma"/>
          <w:szCs w:val="18"/>
          <w:lang w:val="de-DE"/>
        </w:rPr>
        <w:t>besitzen, sind berechtigt, die englische/mehrsprachige Version einer Downgradeversion des Produktes anstatt der lizenzierten Version zu nutzen</w:t>
      </w:r>
      <w:r w:rsidR="006257A7">
        <w:rPr>
          <w:rFonts w:cs="Tahoma"/>
          <w:i/>
          <w:iCs/>
          <w:szCs w:val="18"/>
          <w:lang w:val="de-DE"/>
        </w:rPr>
        <w:t xml:space="preserve">. </w:t>
      </w:r>
      <w:r w:rsidRPr="009123CB">
        <w:rPr>
          <w:rFonts w:cs="Tahoma"/>
          <w:szCs w:val="18"/>
          <w:lang w:val="de-DE"/>
        </w:rPr>
        <w:t>Die Verwendung der Downgradeversion des Produktes unterliegt den Nutzungsrechten der 2013-Version</w:t>
      </w:r>
      <w:r w:rsidR="006257A7">
        <w:rPr>
          <w:rFonts w:cs="Tahoma"/>
          <w:szCs w:val="18"/>
          <w:lang w:val="de-DE"/>
        </w:rPr>
        <w:t xml:space="preserve">. </w:t>
      </w:r>
      <w:r w:rsidRPr="009123CB">
        <w:rPr>
          <w:rFonts w:cs="Tahoma"/>
          <w:szCs w:val="18"/>
          <w:lang w:val="de-DE"/>
        </w:rPr>
        <w:t>Diese Rechte gelten bis zum Ablauf der Rechte des Kunden am Office Multi-Language Pack 2013 oder dem oben genannten 2013-Produkt</w:t>
      </w:r>
      <w:r w:rsidR="006257A7">
        <w:rPr>
          <w:rFonts w:cs="Tahoma"/>
          <w:szCs w:val="18"/>
          <w:lang w:val="de-DE"/>
        </w:rPr>
        <w:t xml:space="preserve">. </w:t>
      </w:r>
    </w:p>
    <w:p w:rsidR="00C7319A" w:rsidRPr="009123CB" w:rsidRDefault="00C7319A" w:rsidP="00C7319A">
      <w:pPr>
        <w:pStyle w:val="Heading3"/>
        <w:rPr>
          <w:lang w:val="de-DE"/>
        </w:rPr>
      </w:pPr>
      <w:bookmarkStart w:id="1010" w:name="_Toc336338266"/>
      <w:bookmarkStart w:id="1011" w:name="Aps_9OffProPlus07forWin"/>
      <w:bookmarkStart w:id="1012" w:name="Aps_7OfficeProPlus2010"/>
      <w:bookmarkStart w:id="1013" w:name="Aps_6OfficeProPlus2010"/>
    </w:p>
    <w:p w:rsidR="00C7319A" w:rsidRPr="009123CB" w:rsidRDefault="00C7319A" w:rsidP="00C7319A">
      <w:pPr>
        <w:pStyle w:val="Heading3"/>
        <w:rPr>
          <w:lang w:val="de-DE"/>
        </w:rPr>
      </w:pPr>
    </w:p>
    <w:p w:rsidR="00C7319A" w:rsidRPr="0062435A" w:rsidRDefault="00C7319A" w:rsidP="00C7319A">
      <w:pPr>
        <w:pStyle w:val="Heading3"/>
      </w:pPr>
      <w:bookmarkStart w:id="1014" w:name="_98_Office_Professional"/>
      <w:bookmarkStart w:id="1015" w:name="_10_Office_Professional"/>
      <w:bookmarkStart w:id="1016" w:name="_11_Office_Professional"/>
      <w:bookmarkStart w:id="1017" w:name="_Toc363999006"/>
      <w:bookmarkEnd w:id="1014"/>
      <w:bookmarkEnd w:id="1015"/>
      <w:bookmarkEnd w:id="1016"/>
      <w:r>
        <w:rPr>
          <w:rFonts w:ascii="Tahoma" w:hAnsi="Tahoma"/>
          <w:caps/>
          <w:color w:val="F66400"/>
          <w:sz w:val="22"/>
          <w:vertAlign w:val="superscript"/>
        </w:rPr>
        <w:t>11</w:t>
      </w:r>
      <w:r>
        <w:rPr>
          <w:rFonts w:ascii="Tahoma" w:hAnsi="Tahoma"/>
          <w:color w:val="F66400"/>
          <w:sz w:val="22"/>
        </w:rPr>
        <w:t xml:space="preserve"> Office Professional Plus </w:t>
      </w:r>
      <w:bookmarkEnd w:id="1010"/>
      <w:r>
        <w:rPr>
          <w:rFonts w:ascii="Tahoma" w:hAnsi="Tahoma"/>
          <w:color w:val="F66400"/>
          <w:sz w:val="22"/>
        </w:rPr>
        <w:t>2013</w:t>
      </w:r>
      <w:bookmarkEnd w:id="1017"/>
    </w:p>
    <w:bookmarkEnd w:id="1011"/>
    <w:bookmarkEnd w:id="1012"/>
    <w:bookmarkEnd w:id="1013"/>
    <w:p w:rsidR="00C7319A" w:rsidRPr="0062435A" w:rsidRDefault="00C7319A" w:rsidP="00C7319A"/>
    <w:p w:rsidR="00C7319A" w:rsidRPr="009123CB" w:rsidRDefault="00C7319A" w:rsidP="00C7319A">
      <w:pPr>
        <w:pStyle w:val="EndnoteText"/>
        <w:numPr>
          <w:ilvl w:val="0"/>
          <w:numId w:val="114"/>
        </w:numPr>
        <w:ind w:left="1080"/>
        <w:rPr>
          <w:lang w:val="de-DE"/>
        </w:rPr>
      </w:pPr>
      <w:r w:rsidRPr="009123CB">
        <w:rPr>
          <w:rFonts w:ascii="Tahoma" w:hAnsi="Tahoma" w:cs="Tahoma"/>
          <w:sz w:val="18"/>
          <w:szCs w:val="20"/>
          <w:lang w:val="de-DE"/>
        </w:rPr>
        <w:t xml:space="preserve">Work at Home(WAH)-Lizenz für Kunden von Select </w:t>
      </w:r>
      <w:r w:rsidRPr="009123CB">
        <w:rPr>
          <w:rFonts w:ascii="Tahoma" w:hAnsi="Tahoma" w:cs="Tahoma"/>
          <w:sz w:val="18"/>
          <w:szCs w:val="18"/>
          <w:lang w:val="de-DE"/>
        </w:rPr>
        <w:t>und Select Plus</w:t>
      </w:r>
      <w:r w:rsidRPr="009123CB">
        <w:rPr>
          <w:rFonts w:ascii="Tahoma" w:hAnsi="Tahoma" w:cs="Tahoma"/>
          <w:sz w:val="18"/>
          <w:szCs w:val="20"/>
          <w:lang w:val="de-DE"/>
        </w:rPr>
        <w:t xml:space="preserve"> verfügbar </w:t>
      </w:r>
    </w:p>
    <w:p w:rsidR="00C7319A" w:rsidRPr="009123CB" w:rsidRDefault="00C7319A" w:rsidP="00C7319A">
      <w:pPr>
        <w:pStyle w:val="EndnoteText"/>
        <w:numPr>
          <w:ilvl w:val="0"/>
          <w:numId w:val="114"/>
        </w:numPr>
        <w:ind w:left="1080"/>
        <w:rPr>
          <w:lang w:val="de-DE"/>
        </w:rPr>
      </w:pPr>
      <w:r w:rsidRPr="009123CB">
        <w:rPr>
          <w:rFonts w:ascii="Tahoma" w:hAnsi="Tahoma" w:cs="Tahoma"/>
          <w:sz w:val="18"/>
          <w:szCs w:val="20"/>
          <w:lang w:val="de-DE"/>
        </w:rPr>
        <w:t>Work-at-Home-(WAH)-Lizenz für Kunden mit Konzernvertrag verfügbar</w:t>
      </w:r>
    </w:p>
    <w:p w:rsidR="00C7319A" w:rsidRPr="009123CB" w:rsidRDefault="00C7319A" w:rsidP="00C7319A">
      <w:pPr>
        <w:pStyle w:val="FootnoteBulletLevel1"/>
        <w:tabs>
          <w:tab w:val="clear" w:pos="900"/>
        </w:tabs>
        <w:spacing w:before="0" w:after="0"/>
        <w:ind w:left="720" w:firstLine="0"/>
        <w:rPr>
          <w:lang w:val="de-DE"/>
        </w:rPr>
      </w:pPr>
    </w:p>
    <w:p w:rsidR="00C7319A" w:rsidRPr="009123CB" w:rsidRDefault="00C7319A" w:rsidP="00C7319A">
      <w:pPr>
        <w:spacing w:after="60"/>
        <w:ind w:left="720"/>
        <w:rPr>
          <w:lang w:val="de-DE"/>
        </w:rPr>
      </w:pPr>
      <w:r w:rsidRPr="009123CB">
        <w:rPr>
          <w:rFonts w:cs="Tahoma"/>
          <w:b/>
          <w:lang w:val="de-DE"/>
        </w:rPr>
        <w:t>Office Professional Plus 2013</w:t>
      </w:r>
    </w:p>
    <w:p w:rsidR="00C7319A" w:rsidRPr="009123CB" w:rsidRDefault="00C7319A" w:rsidP="00C7319A">
      <w:pPr>
        <w:spacing w:after="60"/>
        <w:ind w:left="720"/>
        <w:rPr>
          <w:lang w:val="de-DE"/>
        </w:rPr>
      </w:pPr>
      <w:r w:rsidRPr="009123CB">
        <w:rPr>
          <w:rFonts w:cs="Tahoma"/>
          <w:lang w:val="de-DE"/>
        </w:rPr>
        <w:t>Eine Lizenz für Office Professional Plus 2013 besteht aus Folgendem: Access 2013, Lync 2013, Excel 2013,</w:t>
      </w:r>
      <w:r w:rsidRPr="009123CB">
        <w:rPr>
          <w:rFonts w:cs="Tahoma"/>
          <w:highlight w:val="yellow"/>
          <w:lang w:val="de-DE"/>
        </w:rPr>
        <w:t xml:space="preserve"> </w:t>
      </w:r>
      <w:r w:rsidRPr="009123CB">
        <w:rPr>
          <w:rFonts w:cs="Tahoma"/>
          <w:lang w:val="de-DE"/>
        </w:rPr>
        <w:t>InfoPath 2013, OneNote 2013, Outlook 2013, Office Home and Student RT 2013 Commercial Use, Office Web Apps, PowerPoint 2013, Publisher 2013 und Word 2013</w:t>
      </w:r>
      <w:r w:rsidR="006257A7">
        <w:rPr>
          <w:rFonts w:cs="Tahoma"/>
          <w:lang w:val="de-DE"/>
        </w:rPr>
        <w:t xml:space="preserve">. </w:t>
      </w:r>
    </w:p>
    <w:p w:rsidR="00C7319A" w:rsidRPr="009123CB" w:rsidRDefault="00C7319A" w:rsidP="00C7319A">
      <w:pPr>
        <w:rPr>
          <w:lang w:val="de-DE"/>
        </w:rPr>
      </w:pPr>
    </w:p>
    <w:p w:rsidR="00C7319A" w:rsidRPr="009123CB" w:rsidRDefault="00C7319A" w:rsidP="00C7319A">
      <w:pPr>
        <w:keepNext/>
        <w:spacing w:after="60"/>
        <w:ind w:left="720"/>
        <w:rPr>
          <w:lang w:val="de-DE"/>
        </w:rPr>
      </w:pPr>
      <w:r w:rsidRPr="009123CB">
        <w:rPr>
          <w:rFonts w:cs="Tahoma"/>
          <w:b/>
          <w:lang w:val="de-DE"/>
        </w:rPr>
        <w:t>Untrennbarkeit von Office Professional Plus 2013</w:t>
      </w:r>
    </w:p>
    <w:p w:rsidR="00C7319A" w:rsidRPr="009123CB" w:rsidRDefault="00C7319A" w:rsidP="00C7319A">
      <w:pPr>
        <w:pStyle w:val="FootnoteBulletLevel1"/>
        <w:tabs>
          <w:tab w:val="clear" w:pos="900"/>
        </w:tabs>
        <w:spacing w:before="0" w:after="0"/>
        <w:ind w:left="720" w:firstLine="0"/>
        <w:rPr>
          <w:lang w:val="de-DE"/>
        </w:rPr>
      </w:pPr>
      <w:r w:rsidRPr="009123CB">
        <w:rPr>
          <w:rFonts w:ascii="Tahoma" w:hAnsi="Tahoma" w:cs="Tahoma"/>
          <w:sz w:val="18"/>
          <w:lang w:val="de-DE"/>
        </w:rPr>
        <w:t>Microsoft Office Professional Plus 2013 besteht aus mehreren Produkten, die in einer Lizenz angeboten werden</w:t>
      </w:r>
      <w:r w:rsidR="006257A7">
        <w:rPr>
          <w:rFonts w:ascii="Tahoma" w:hAnsi="Tahoma" w:cs="Tahoma"/>
          <w:sz w:val="18"/>
          <w:lang w:val="de-DE"/>
        </w:rPr>
        <w:t xml:space="preserve">. </w:t>
      </w:r>
      <w:r w:rsidRPr="009123CB">
        <w:rPr>
          <w:rFonts w:ascii="Tahoma" w:hAnsi="Tahoma" w:cs="Tahoma"/>
          <w:sz w:val="18"/>
          <w:lang w:val="de-DE"/>
        </w:rPr>
        <w:t>Die Software darf nicht zur Verwendung auf mehr als einem Computer getrennt werden</w:t>
      </w:r>
      <w:r w:rsidR="006257A7">
        <w:rPr>
          <w:rFonts w:ascii="Tahoma" w:hAnsi="Tahoma" w:cs="Tahoma"/>
          <w:sz w:val="18"/>
          <w:lang w:val="de-DE"/>
        </w:rPr>
        <w:t xml:space="preserve">. </w:t>
      </w:r>
    </w:p>
    <w:p w:rsidR="00C7319A" w:rsidRDefault="00C7319A" w:rsidP="00C7319A">
      <w:pPr>
        <w:ind w:left="720"/>
        <w:rPr>
          <w:lang w:val="de-DE"/>
        </w:rPr>
      </w:pPr>
    </w:p>
    <w:p w:rsidR="006672FD" w:rsidRPr="009123CB" w:rsidRDefault="006672FD" w:rsidP="00C7319A">
      <w:pPr>
        <w:ind w:left="720"/>
        <w:rPr>
          <w:lang w:val="de-DE"/>
        </w:rPr>
      </w:pPr>
    </w:p>
    <w:p w:rsidR="00C7319A" w:rsidRPr="009123CB" w:rsidRDefault="00C7319A" w:rsidP="00C7319A">
      <w:pPr>
        <w:spacing w:after="60"/>
        <w:ind w:left="720"/>
        <w:rPr>
          <w:lang w:val="de-DE"/>
        </w:rPr>
      </w:pPr>
      <w:r w:rsidRPr="009123CB">
        <w:rPr>
          <w:rFonts w:cs="Tahoma"/>
          <w:b/>
          <w:lang w:val="de-DE"/>
        </w:rPr>
        <w:t>Campus- und School-Vertrag</w:t>
      </w:r>
    </w:p>
    <w:p w:rsidR="00C7319A" w:rsidRPr="009123CB" w:rsidRDefault="00C7319A" w:rsidP="00C7319A">
      <w:pPr>
        <w:ind w:left="720"/>
        <w:rPr>
          <w:lang w:val="de-DE"/>
        </w:rPr>
      </w:pPr>
      <w:r w:rsidRPr="009123CB">
        <w:rPr>
          <w:rFonts w:eastAsia="Calibri" w:cs="Tahoma"/>
          <w:iCs/>
          <w:color w:val="000000"/>
          <w:szCs w:val="18"/>
          <w:lang w:val="de-DE"/>
        </w:rPr>
        <w:t>Einrichtungen, bei denen allen wissenschaftlichen und sonstigen Mitarbeitern Nutzer-ALs für Office Professional Plus-Abonnement zugewiesen wurden, sind berechtigt, Office Professional Plus 2013-Software in frei zugänglichen Räumlichkeiten oder Bibliotheken innerhalb der Organisation der Einrichtung zu installieren</w:t>
      </w:r>
      <w:r w:rsidR="006257A7">
        <w:rPr>
          <w:rFonts w:eastAsia="Calibri" w:cs="Tahoma"/>
          <w:iCs/>
          <w:color w:val="000000"/>
          <w:szCs w:val="18"/>
          <w:lang w:val="de-DE"/>
        </w:rPr>
        <w:t xml:space="preserve">. </w:t>
      </w:r>
      <w:r w:rsidRPr="009123CB">
        <w:rPr>
          <w:rFonts w:eastAsia="Calibri" w:cs="Tahoma"/>
          <w:iCs/>
          <w:color w:val="000000"/>
          <w:szCs w:val="18"/>
          <w:lang w:val="de-DE"/>
        </w:rPr>
        <w:t>Nutzer der Software unterliegen ansonsten den Lizenzbestimmungen für Office Pro Plus 2013</w:t>
      </w:r>
      <w:r w:rsidR="006257A7">
        <w:rPr>
          <w:rFonts w:eastAsia="Calibri" w:cs="Tahoma"/>
          <w:iCs/>
          <w:color w:val="000000"/>
          <w:szCs w:val="18"/>
          <w:lang w:val="de-DE"/>
        </w:rPr>
        <w:t xml:space="preserve">. </w:t>
      </w:r>
    </w:p>
    <w:p w:rsidR="00C7319A" w:rsidRPr="009123CB" w:rsidRDefault="00C7319A" w:rsidP="00C7319A">
      <w:pPr>
        <w:rPr>
          <w:lang w:val="de-DE"/>
        </w:rPr>
      </w:pPr>
    </w:p>
    <w:p w:rsidR="00C7319A" w:rsidRPr="009123CB" w:rsidRDefault="00C7319A" w:rsidP="00C7319A">
      <w:pPr>
        <w:rPr>
          <w:lang w:val="de-DE"/>
        </w:rPr>
      </w:pPr>
    </w:p>
    <w:p w:rsidR="00C7319A" w:rsidRPr="0062435A" w:rsidRDefault="00C7319A" w:rsidP="00C7319A">
      <w:pPr>
        <w:pStyle w:val="Heading3"/>
      </w:pPr>
      <w:bookmarkStart w:id="1018" w:name="_109_Office_Standard"/>
      <w:bookmarkStart w:id="1019" w:name="_11_Office_Standard"/>
      <w:bookmarkStart w:id="1020" w:name="_12_Office_Standard"/>
      <w:bookmarkStart w:id="1021" w:name="Aps_OfficeStandard2010"/>
      <w:bookmarkStart w:id="1022" w:name="_Toc254806115"/>
      <w:bookmarkStart w:id="1023" w:name="_Toc328146032"/>
      <w:bookmarkStart w:id="1024" w:name="_Toc363999007"/>
      <w:bookmarkStart w:id="1025" w:name="Aps_7OfficeStandard2010"/>
      <w:bookmarkStart w:id="1026" w:name="_Toc336338268"/>
      <w:bookmarkEnd w:id="1018"/>
      <w:bookmarkEnd w:id="1019"/>
      <w:bookmarkEnd w:id="1020"/>
      <w:r>
        <w:rPr>
          <w:rFonts w:ascii="Tahoma" w:hAnsi="Tahoma"/>
          <w:caps/>
          <w:color w:val="F66400"/>
          <w:sz w:val="22"/>
          <w:vertAlign w:val="superscript"/>
        </w:rPr>
        <w:t>12</w:t>
      </w:r>
      <w:r>
        <w:rPr>
          <w:rFonts w:ascii="Tahoma" w:hAnsi="Tahoma"/>
          <w:color w:val="F66400"/>
          <w:sz w:val="22"/>
        </w:rPr>
        <w:t xml:space="preserve"> Office Standard </w:t>
      </w:r>
      <w:bookmarkEnd w:id="1021"/>
      <w:bookmarkEnd w:id="1022"/>
      <w:bookmarkEnd w:id="1023"/>
      <w:r>
        <w:rPr>
          <w:rFonts w:ascii="Tahoma" w:hAnsi="Tahoma"/>
          <w:color w:val="F66400"/>
          <w:sz w:val="22"/>
        </w:rPr>
        <w:t>2013</w:t>
      </w:r>
      <w:bookmarkEnd w:id="1024"/>
    </w:p>
    <w:bookmarkEnd w:id="1025"/>
    <w:p w:rsidR="00C7319A" w:rsidRPr="0062435A" w:rsidRDefault="00C7319A" w:rsidP="00C7319A"/>
    <w:p w:rsidR="00C7319A" w:rsidRPr="009123CB" w:rsidRDefault="00C7319A" w:rsidP="00C7319A">
      <w:pPr>
        <w:pStyle w:val="EndnoteText"/>
        <w:numPr>
          <w:ilvl w:val="3"/>
          <w:numId w:val="81"/>
        </w:numPr>
        <w:ind w:left="990"/>
        <w:rPr>
          <w:lang w:val="de-DE"/>
        </w:rPr>
      </w:pPr>
      <w:r w:rsidRPr="009123CB">
        <w:rPr>
          <w:rFonts w:ascii="Tahoma" w:hAnsi="Tahoma" w:cs="Tahoma"/>
          <w:sz w:val="18"/>
          <w:szCs w:val="20"/>
          <w:lang w:val="de-DE"/>
        </w:rPr>
        <w:t>Work at Home(WAH)-Lize</w:t>
      </w:r>
      <w:r w:rsidRPr="009123CB">
        <w:rPr>
          <w:rFonts w:ascii="Tahoma" w:hAnsi="Tahoma" w:cs="Tahoma"/>
          <w:sz w:val="18"/>
          <w:lang w:val="de-DE"/>
        </w:rPr>
        <w:t xml:space="preserve">nz für Kunden von Select </w:t>
      </w:r>
      <w:r w:rsidRPr="009123CB">
        <w:rPr>
          <w:rFonts w:ascii="Tahoma" w:hAnsi="Tahoma" w:cs="Tahoma"/>
          <w:lang w:val="de-DE"/>
        </w:rPr>
        <w:t>und Select Plus</w:t>
      </w:r>
      <w:r w:rsidRPr="009123CB">
        <w:rPr>
          <w:rFonts w:ascii="Tahoma" w:hAnsi="Tahoma" w:cs="Tahoma"/>
          <w:sz w:val="18"/>
          <w:lang w:val="de-DE"/>
        </w:rPr>
        <w:t xml:space="preserve"> verfügbar </w:t>
      </w:r>
    </w:p>
    <w:p w:rsidR="00C7319A" w:rsidRPr="009123CB" w:rsidRDefault="00C7319A" w:rsidP="00C7319A">
      <w:pPr>
        <w:pStyle w:val="EndnoteText"/>
        <w:numPr>
          <w:ilvl w:val="3"/>
          <w:numId w:val="81"/>
        </w:numPr>
        <w:ind w:left="990"/>
        <w:rPr>
          <w:lang w:val="de-DE"/>
        </w:rPr>
      </w:pPr>
      <w:r w:rsidRPr="009123CB">
        <w:rPr>
          <w:rFonts w:ascii="Tahoma" w:hAnsi="Tahoma" w:cs="Tahoma"/>
          <w:sz w:val="18"/>
          <w:lang w:val="de-DE"/>
        </w:rPr>
        <w:t>Work-at-Home-(WAH)-Lizenz für Kunden mit Konzernvertrag verfügbar</w:t>
      </w:r>
    </w:p>
    <w:p w:rsidR="00C7319A" w:rsidRPr="009123CB" w:rsidRDefault="00C7319A" w:rsidP="00C7319A">
      <w:pPr>
        <w:pStyle w:val="FootnoteBulletLevel1"/>
        <w:tabs>
          <w:tab w:val="clear" w:pos="900"/>
        </w:tabs>
        <w:spacing w:before="0" w:after="0"/>
        <w:ind w:left="720" w:firstLine="0"/>
        <w:rPr>
          <w:lang w:val="de-DE"/>
        </w:rPr>
      </w:pPr>
    </w:p>
    <w:p w:rsidR="00C7319A" w:rsidRPr="00EB2C55" w:rsidRDefault="00C7319A" w:rsidP="00C7319A">
      <w:pPr>
        <w:spacing w:after="60"/>
        <w:ind w:left="720"/>
        <w:rPr>
          <w:lang w:val="de-DE"/>
        </w:rPr>
      </w:pPr>
      <w:r w:rsidRPr="00EB2C55">
        <w:rPr>
          <w:rFonts w:cs="Tahoma"/>
          <w:b/>
          <w:lang w:val="de-DE"/>
        </w:rPr>
        <w:t>Office Standard 2013</w:t>
      </w:r>
    </w:p>
    <w:p w:rsidR="00C7319A" w:rsidRPr="00EB2C55" w:rsidRDefault="00C7319A" w:rsidP="00C7319A">
      <w:pPr>
        <w:pStyle w:val="FootnoteBulletLevel1"/>
        <w:tabs>
          <w:tab w:val="clear" w:pos="900"/>
        </w:tabs>
        <w:spacing w:before="0" w:after="0"/>
        <w:ind w:left="720" w:firstLine="0"/>
        <w:rPr>
          <w:lang w:val="de-DE"/>
        </w:rPr>
      </w:pPr>
      <w:r w:rsidRPr="00EB2C55">
        <w:rPr>
          <w:rFonts w:ascii="Tahoma" w:hAnsi="Tahoma" w:cs="Tahoma"/>
          <w:sz w:val="18"/>
          <w:lang w:val="de-DE"/>
        </w:rPr>
        <w:t>Eine Lizenz für Office Standard 2013 besteht aus Folgendem: Excel 2013, OneNote 2013, Outlook 2013,</w:t>
      </w:r>
      <w:r w:rsidRPr="00EB2C55">
        <w:rPr>
          <w:rFonts w:cs="Tahoma"/>
          <w:lang w:val="de-DE"/>
        </w:rPr>
        <w:t xml:space="preserve"> Office Home and Student RT 2013 Commercial Use,</w:t>
      </w:r>
      <w:r w:rsidRPr="00EB2C55">
        <w:rPr>
          <w:rFonts w:ascii="Tahoma" w:hAnsi="Tahoma" w:cs="Tahoma"/>
          <w:sz w:val="18"/>
          <w:lang w:val="de-DE"/>
        </w:rPr>
        <w:t xml:space="preserve"> Office Web Apps, PowerPoint 2013, Publisher 2013 und Word 2013</w:t>
      </w:r>
      <w:r w:rsidR="006257A7">
        <w:rPr>
          <w:rFonts w:ascii="Tahoma" w:hAnsi="Tahoma" w:cs="Tahoma"/>
          <w:sz w:val="18"/>
          <w:lang w:val="de-DE"/>
        </w:rPr>
        <w:t xml:space="preserve">. </w:t>
      </w:r>
    </w:p>
    <w:p w:rsidR="00C7319A" w:rsidRPr="00EB2C55" w:rsidRDefault="00C7319A" w:rsidP="00C7319A">
      <w:pPr>
        <w:pStyle w:val="FootnoteBulletLevel1"/>
        <w:tabs>
          <w:tab w:val="clear" w:pos="900"/>
        </w:tabs>
        <w:spacing w:before="0" w:after="0"/>
        <w:ind w:left="720" w:firstLine="0"/>
        <w:rPr>
          <w:lang w:val="de-DE"/>
        </w:rPr>
      </w:pPr>
    </w:p>
    <w:p w:rsidR="00C7319A" w:rsidRPr="009123CB" w:rsidRDefault="00C7319A" w:rsidP="00C7319A">
      <w:pPr>
        <w:spacing w:after="60"/>
        <w:ind w:left="720"/>
        <w:rPr>
          <w:lang w:val="de-DE"/>
        </w:rPr>
      </w:pPr>
      <w:r w:rsidRPr="009123CB">
        <w:rPr>
          <w:rFonts w:cs="Tahoma"/>
          <w:b/>
          <w:lang w:val="de-DE"/>
        </w:rPr>
        <w:t>Untrennbarkeit von Microsoft Office Standard 2013</w:t>
      </w:r>
    </w:p>
    <w:p w:rsidR="00C7319A" w:rsidRPr="009123CB" w:rsidRDefault="00C7319A" w:rsidP="00C7319A">
      <w:pPr>
        <w:spacing w:after="60"/>
        <w:ind w:left="720"/>
        <w:rPr>
          <w:lang w:val="de-DE"/>
        </w:rPr>
      </w:pPr>
      <w:r w:rsidRPr="009123CB">
        <w:rPr>
          <w:rFonts w:cs="Tahoma"/>
          <w:lang w:val="de-DE"/>
        </w:rPr>
        <w:t>Office Standard 2013 besteht aus mehreren Produkten, die in einer Lizenz angeboten werden</w:t>
      </w:r>
      <w:r w:rsidR="006257A7">
        <w:rPr>
          <w:rFonts w:cs="Tahoma"/>
          <w:lang w:val="de-DE"/>
        </w:rPr>
        <w:t xml:space="preserve">. </w:t>
      </w:r>
      <w:r w:rsidRPr="009123CB">
        <w:rPr>
          <w:rFonts w:cs="Tahoma"/>
          <w:lang w:val="de-DE"/>
        </w:rPr>
        <w:t>Die Software darf nicht zur Verwendung auf mehr als einem Computer getrennt werden</w:t>
      </w:r>
      <w:r w:rsidR="006257A7">
        <w:rPr>
          <w:rFonts w:cs="Tahoma"/>
          <w:lang w:val="de-DE"/>
        </w:rPr>
        <w:t xml:space="preserve">. </w:t>
      </w:r>
    </w:p>
    <w:p w:rsidR="00C7319A" w:rsidRPr="009123CB" w:rsidRDefault="00C7319A" w:rsidP="00C7319A">
      <w:pPr>
        <w:rPr>
          <w:lang w:val="de-DE"/>
        </w:rPr>
      </w:pPr>
    </w:p>
    <w:p w:rsidR="00C7319A" w:rsidRPr="009123CB" w:rsidRDefault="00C7319A" w:rsidP="00C7319A">
      <w:pPr>
        <w:rPr>
          <w:lang w:val="de-DE"/>
        </w:rPr>
      </w:pPr>
    </w:p>
    <w:p w:rsidR="00C7319A" w:rsidRPr="009123CB" w:rsidRDefault="00C7319A" w:rsidP="00C7319A">
      <w:pPr>
        <w:pStyle w:val="Heading3"/>
        <w:rPr>
          <w:lang w:val="de-DE"/>
        </w:rPr>
      </w:pPr>
      <w:bookmarkStart w:id="1027" w:name="_110_Office_365"/>
      <w:bookmarkStart w:id="1028" w:name="_12_Office_365"/>
      <w:bookmarkStart w:id="1029" w:name="_13_Office_365"/>
      <w:bookmarkStart w:id="1030" w:name="_Toc363999008"/>
      <w:bookmarkStart w:id="1031" w:name="Aps_9OfficeProPlusSubUserSL"/>
      <w:bookmarkEnd w:id="1027"/>
      <w:bookmarkEnd w:id="1028"/>
      <w:bookmarkEnd w:id="1029"/>
      <w:r w:rsidRPr="009123CB">
        <w:rPr>
          <w:rFonts w:ascii="Tahoma" w:hAnsi="Tahoma" w:cs="Tahoma"/>
          <w:caps/>
          <w:color w:val="F26200"/>
          <w:sz w:val="22"/>
          <w:vertAlign w:val="superscript"/>
          <w:lang w:val="de-DE"/>
        </w:rPr>
        <w:t>13</w:t>
      </w:r>
      <w:r w:rsidRPr="009123CB">
        <w:rPr>
          <w:rFonts w:ascii="Tahoma" w:hAnsi="Tahoma" w:cs="Tahoma"/>
          <w:color w:val="F26200"/>
          <w:sz w:val="22"/>
          <w:lang w:val="de-DE"/>
        </w:rPr>
        <w:t xml:space="preserve"> Office 365 ProPlus (Nutzer-AL)</w:t>
      </w:r>
      <w:bookmarkEnd w:id="1026"/>
      <w:bookmarkEnd w:id="1030"/>
    </w:p>
    <w:bookmarkEnd w:id="1031"/>
    <w:p w:rsidR="00C7319A" w:rsidRPr="009123CB" w:rsidRDefault="00C7319A" w:rsidP="00C7319A">
      <w:pPr>
        <w:rPr>
          <w:lang w:val="de-DE"/>
        </w:rPr>
      </w:pPr>
    </w:p>
    <w:p w:rsidR="00C7319A" w:rsidRPr="009123CB" w:rsidRDefault="00C7319A" w:rsidP="00C7319A">
      <w:pPr>
        <w:spacing w:after="60"/>
        <w:ind w:left="720"/>
        <w:rPr>
          <w:lang w:val="de-DE"/>
        </w:rPr>
      </w:pPr>
      <w:r w:rsidRPr="009123CB">
        <w:rPr>
          <w:b/>
          <w:bCs/>
          <w:lang w:val="de-DE"/>
        </w:rPr>
        <w:t>Kaufberechtigung</w:t>
      </w:r>
    </w:p>
    <w:p w:rsidR="00C7319A" w:rsidRPr="009123CB" w:rsidRDefault="00C7319A" w:rsidP="00C7319A">
      <w:pPr>
        <w:ind w:left="720"/>
        <w:rPr>
          <w:lang w:val="de-DE"/>
        </w:rPr>
      </w:pPr>
      <w:r w:rsidRPr="009123CB">
        <w:rPr>
          <w:lang w:val="de-DE"/>
        </w:rPr>
        <w:t>Sie können nur eine Lizenz für den Office 365 ProPlus SA-Übergang erwerben, wenn Sie über eine zugrunde liegende Lizenz für Office Professional Plus Software Assurance auf einem aktiven Konzernvertrag verfügen</w:t>
      </w:r>
      <w:r w:rsidR="006257A7">
        <w:rPr>
          <w:lang w:val="de-DE"/>
        </w:rPr>
        <w:t xml:space="preserve">. </w:t>
      </w:r>
    </w:p>
    <w:p w:rsidR="00C7319A" w:rsidRPr="009123CB" w:rsidRDefault="00C7319A" w:rsidP="00C7319A">
      <w:pPr>
        <w:spacing w:after="60"/>
        <w:ind w:left="720"/>
        <w:rPr>
          <w:lang w:val="de-DE"/>
        </w:rPr>
      </w:pPr>
    </w:p>
    <w:p w:rsidR="00C7319A" w:rsidRPr="009123CB" w:rsidRDefault="00C7319A" w:rsidP="00C7319A">
      <w:pPr>
        <w:spacing w:after="60"/>
        <w:ind w:left="720"/>
        <w:rPr>
          <w:lang w:val="de-DE"/>
        </w:rPr>
      </w:pPr>
      <w:r w:rsidRPr="009123CB">
        <w:rPr>
          <w:rFonts w:cs="Tahoma"/>
          <w:b/>
          <w:lang w:val="de-DE"/>
        </w:rPr>
        <w:t>Campus und School</w:t>
      </w:r>
    </w:p>
    <w:p w:rsidR="00C7319A" w:rsidRPr="009123CB" w:rsidRDefault="00C7319A" w:rsidP="00C7319A">
      <w:pPr>
        <w:ind w:left="720"/>
        <w:rPr>
          <w:lang w:val="de-DE"/>
        </w:rPr>
      </w:pPr>
      <w:r w:rsidRPr="009123CB">
        <w:rPr>
          <w:color w:val="000000"/>
          <w:lang w:val="de-DE"/>
        </w:rPr>
        <w:t>Wenn die Einrichtung ein Office Professional-Plus-Abonnement abschließt, muss sie eine Lizenz für jeden Qualifizierten Nutzer in der Organisation der Einrichtung erwerben</w:t>
      </w:r>
      <w:r w:rsidR="006257A7">
        <w:rPr>
          <w:color w:val="000000"/>
          <w:lang w:val="de-DE"/>
        </w:rPr>
        <w:t xml:space="preserve">. </w:t>
      </w:r>
      <w:r w:rsidRPr="009123CB">
        <w:rPr>
          <w:color w:val="000000"/>
          <w:lang w:val="de-DE"/>
        </w:rPr>
        <w:t>Wenn sich die Einrichtung für die Studentenoption des Office Professional-Plus-Abonnements anmeldet, muss sie eine Lizenz für jeden Studenten in der Organisation erwerben</w:t>
      </w:r>
      <w:r w:rsidR="006257A7">
        <w:rPr>
          <w:color w:val="000000"/>
          <w:lang w:val="de-DE"/>
        </w:rPr>
        <w:t xml:space="preserve">. </w:t>
      </w:r>
    </w:p>
    <w:p w:rsidR="00C7319A" w:rsidRPr="009123CB" w:rsidRDefault="00C7319A" w:rsidP="00C7319A">
      <w:pPr>
        <w:ind w:left="720"/>
        <w:rPr>
          <w:lang w:val="de-DE"/>
        </w:rPr>
      </w:pPr>
    </w:p>
    <w:p w:rsidR="00C7319A" w:rsidRPr="009123CB" w:rsidRDefault="00C7319A" w:rsidP="00C7319A">
      <w:pPr>
        <w:ind w:left="720"/>
        <w:rPr>
          <w:lang w:val="de-DE"/>
        </w:rPr>
      </w:pPr>
      <w:r w:rsidRPr="009123CB">
        <w:rPr>
          <w:rFonts w:cs="Tahoma"/>
          <w:b/>
          <w:bCs/>
          <w:szCs w:val="18"/>
          <w:lang w:val="de-DE"/>
        </w:rPr>
        <w:t>Nutzung von Office Professional Plus 2010 oder Office für Mac Standard 2011</w:t>
      </w:r>
    </w:p>
    <w:p w:rsidR="00C7319A" w:rsidRPr="009123CB" w:rsidRDefault="00C7319A" w:rsidP="00C7319A">
      <w:pPr>
        <w:ind w:left="720"/>
        <w:rPr>
          <w:lang w:val="de-DE"/>
        </w:rPr>
      </w:pPr>
      <w:r w:rsidRPr="009123CB">
        <w:rPr>
          <w:rFonts w:cs="Tahoma"/>
          <w:bCs/>
          <w:szCs w:val="18"/>
          <w:lang w:val="de-DE"/>
        </w:rPr>
        <w:t>Mit der Freigabe des aktualisierten Services für Office 365 ProPlus erlischt Ihr Medienberechtigungs-Nutzungsrecht für Office Professional Plus 2010 oder Office für Mac Standard 2011 anstatt für Office 365 ProPlus-Software im Rahmen von aktiven Abonnements</w:t>
      </w:r>
      <w:r w:rsidR="006257A7">
        <w:rPr>
          <w:rFonts w:cs="Tahoma"/>
          <w:bCs/>
          <w:szCs w:val="18"/>
          <w:lang w:val="de-DE"/>
        </w:rPr>
        <w:t xml:space="preserve">. </w:t>
      </w:r>
      <w:r w:rsidRPr="009123CB">
        <w:rPr>
          <w:rFonts w:cs="Tahoma"/>
          <w:bCs/>
          <w:szCs w:val="18"/>
          <w:lang w:val="de-DE"/>
        </w:rPr>
        <w:t>Für das Upgrade Ihrer Geräte auf die Office 365 ProPlus-Medien haben Sie ein Jahr, d</w:t>
      </w:r>
      <w:r w:rsidR="006257A7">
        <w:rPr>
          <w:rFonts w:cs="Tahoma"/>
          <w:bCs/>
          <w:szCs w:val="18"/>
          <w:lang w:val="de-DE"/>
        </w:rPr>
        <w:t xml:space="preserve">. </w:t>
      </w:r>
      <w:r w:rsidRPr="009123CB">
        <w:rPr>
          <w:rFonts w:cs="Tahoma"/>
          <w:bCs/>
          <w:szCs w:val="18"/>
          <w:lang w:val="de-DE"/>
        </w:rPr>
        <w:t>h</w:t>
      </w:r>
      <w:r w:rsidR="006257A7">
        <w:rPr>
          <w:rFonts w:cs="Tahoma"/>
          <w:bCs/>
          <w:szCs w:val="18"/>
          <w:lang w:val="de-DE"/>
        </w:rPr>
        <w:t xml:space="preserve">. </w:t>
      </w:r>
      <w:r w:rsidRPr="009123CB">
        <w:rPr>
          <w:rFonts w:cs="Tahoma"/>
          <w:bCs/>
          <w:szCs w:val="18"/>
          <w:lang w:val="de-DE"/>
        </w:rPr>
        <w:t>bis zum 28</w:t>
      </w:r>
      <w:r w:rsidR="006257A7">
        <w:rPr>
          <w:rFonts w:cs="Tahoma"/>
          <w:bCs/>
          <w:szCs w:val="18"/>
          <w:lang w:val="de-DE"/>
        </w:rPr>
        <w:t xml:space="preserve">. </w:t>
      </w:r>
      <w:r w:rsidRPr="009123CB">
        <w:rPr>
          <w:rFonts w:cs="Tahoma"/>
          <w:bCs/>
          <w:szCs w:val="18"/>
          <w:lang w:val="de-DE"/>
        </w:rPr>
        <w:t>Februar 2014, Zeit</w:t>
      </w:r>
      <w:r w:rsidR="006257A7">
        <w:rPr>
          <w:rFonts w:cs="Tahoma"/>
          <w:bCs/>
          <w:szCs w:val="18"/>
          <w:lang w:val="de-DE"/>
        </w:rPr>
        <w:t xml:space="preserve">. </w:t>
      </w:r>
    </w:p>
    <w:p w:rsidR="00C7319A" w:rsidRPr="009123CB" w:rsidRDefault="00C7319A" w:rsidP="00C7319A">
      <w:pPr>
        <w:ind w:left="720"/>
        <w:rPr>
          <w:lang w:val="de-DE"/>
        </w:rPr>
      </w:pPr>
      <w:r w:rsidRPr="009123CB">
        <w:rPr>
          <w:rFonts w:cs="Tahoma"/>
          <w:bCs/>
          <w:szCs w:val="18"/>
          <w:lang w:val="de-DE"/>
        </w:rPr>
        <w:t>* In der Produktliste für Februar 2013 finden Sie die vollständigen Bestimmungen zu Medienberechtigungen für das Office Professional Plus-Abonnement</w:t>
      </w:r>
    </w:p>
    <w:p w:rsidR="00C7319A" w:rsidRPr="009123CB" w:rsidRDefault="00C7319A" w:rsidP="00C7319A">
      <w:pPr>
        <w:ind w:left="720"/>
        <w:rPr>
          <w:lang w:val="de-DE"/>
        </w:rPr>
      </w:pPr>
    </w:p>
    <w:p w:rsidR="00C7319A" w:rsidRPr="009123CB" w:rsidRDefault="00C7319A" w:rsidP="00C7319A">
      <w:pPr>
        <w:spacing w:after="60"/>
        <w:ind w:left="720"/>
        <w:rPr>
          <w:lang w:val="de-DE"/>
        </w:rPr>
      </w:pPr>
      <w:r w:rsidRPr="009123CB">
        <w:rPr>
          <w:rFonts w:cs="Tahoma"/>
          <w:b/>
          <w:lang w:val="de-DE"/>
        </w:rPr>
        <w:t>Medienberechtigung mit Remotedesktopdiensten (RDS)</w:t>
      </w:r>
    </w:p>
    <w:p w:rsidR="00C7319A" w:rsidRPr="009123CB" w:rsidRDefault="00C7319A" w:rsidP="006672FD">
      <w:pPr>
        <w:ind w:left="720"/>
        <w:rPr>
          <w:lang w:val="de-DE"/>
        </w:rPr>
      </w:pPr>
      <w:r w:rsidRPr="009123CB">
        <w:rPr>
          <w:rFonts w:cs="Tahoma"/>
          <w:szCs w:val="18"/>
          <w:lang w:val="de-DE"/>
        </w:rPr>
        <w:t>Wenn der Nutzer, dem Sie eine Office 365 ProPlus-Lizenz zugewiesen haben, die Software bei aktivierter RDS-Rolle auf einem Netzwerkserver nutzt, ist dieser Nutzer berechtigt, 1) eine Kopie der Office Professional Plus 2013-Software auf einem Netzwerkserver zu installieren und 2) auf die Office Professional Plus 2013-Software von jedem beliebigen Gerät aus zuzugreifen, anstatt eine Kopie der Software, die mit Office 365 ProPlus bereitgestellt wurde, auf einem der fünf gemäß den Produktbenutzungsrechten für Office 365 ProPlus zulässigen Geräte zu installieren</w:t>
      </w:r>
      <w:r w:rsidR="006257A7">
        <w:rPr>
          <w:rFonts w:cs="Tahoma"/>
          <w:szCs w:val="18"/>
          <w:lang w:val="de-DE"/>
        </w:rPr>
        <w:t xml:space="preserve">. </w:t>
      </w:r>
      <w:r w:rsidRPr="009123CB">
        <w:rPr>
          <w:rFonts w:cs="Tahoma"/>
          <w:szCs w:val="18"/>
          <w:lang w:val="de-DE"/>
        </w:rPr>
        <w:t>Nach Kündigung Ihres Office 365 ProPlus-Abonnements müssen Sie</w:t>
      </w:r>
      <w:r w:rsidR="006672FD">
        <w:rPr>
          <w:rFonts w:cs="Tahoma"/>
          <w:szCs w:val="18"/>
          <w:lang w:val="de-DE"/>
        </w:rPr>
        <w:t> </w:t>
      </w:r>
      <w:r w:rsidRPr="009123CB">
        <w:rPr>
          <w:rFonts w:cs="Tahoma"/>
          <w:szCs w:val="18"/>
          <w:lang w:val="de-DE"/>
        </w:rPr>
        <w:t>die Software für Office Professional Plus 2013 vom Netzwerkserver deinstallieren</w:t>
      </w:r>
      <w:r w:rsidR="006257A7">
        <w:rPr>
          <w:rFonts w:cs="Tahoma"/>
          <w:szCs w:val="18"/>
          <w:lang w:val="de-DE"/>
        </w:rPr>
        <w:t xml:space="preserve">. </w:t>
      </w:r>
    </w:p>
    <w:p w:rsidR="00C7319A" w:rsidRPr="009123CB" w:rsidRDefault="00C7319A" w:rsidP="00C7319A">
      <w:pPr>
        <w:ind w:left="720"/>
        <w:rPr>
          <w:lang w:val="de-DE"/>
        </w:rPr>
      </w:pPr>
    </w:p>
    <w:p w:rsidR="00C7319A" w:rsidRPr="009123CB" w:rsidRDefault="00C7319A" w:rsidP="00C7319A">
      <w:pPr>
        <w:spacing w:after="60"/>
        <w:ind w:left="720"/>
        <w:rPr>
          <w:lang w:val="de-DE"/>
        </w:rPr>
      </w:pPr>
      <w:r w:rsidRPr="009123CB">
        <w:rPr>
          <w:rFonts w:cs="Tahoma"/>
          <w:b/>
          <w:lang w:val="de-DE"/>
        </w:rPr>
        <w:t>Medienberechtigung mit Windows To Go-Rechten</w:t>
      </w:r>
    </w:p>
    <w:p w:rsidR="00C7319A" w:rsidRPr="009123CB" w:rsidRDefault="00C7319A" w:rsidP="00C7319A">
      <w:pPr>
        <w:ind w:left="720"/>
        <w:rPr>
          <w:lang w:val="de-DE"/>
        </w:rPr>
      </w:pPr>
      <w:r w:rsidRPr="009123CB">
        <w:rPr>
          <w:rFonts w:cs="Tahoma"/>
          <w:szCs w:val="18"/>
          <w:lang w:val="de-DE"/>
        </w:rPr>
        <w:t xml:space="preserve">Im Rahmen der Einführung von Windows To Go-Rechten gilt Folgendes: Wenn der Nutzer, dem Sie eine Office 365 ProPlus-Lizenz zugewiesen haben, das Recht zur Nutzung von Software unter Windows To Go-Rechten in Anspruch nimmt, ist dieser Nutzer berechtigt, 1) eine Kopie der Office Professional </w:t>
      </w:r>
      <w:r w:rsidRPr="009123CB">
        <w:rPr>
          <w:rFonts w:cs="Tahoma"/>
          <w:color w:val="000000" w:themeColor="text1"/>
          <w:szCs w:val="18"/>
          <w:lang w:val="de-DE"/>
        </w:rPr>
        <w:t>Plus 2013-Software auf dem USB-Laufwerk, das für Windows To Go-Rechte verwendet wurde, zu installieren und 2) die Office Professional Plus 2013-</w:t>
      </w:r>
      <w:r w:rsidRPr="009123CB">
        <w:rPr>
          <w:rFonts w:cs="Tahoma"/>
          <w:szCs w:val="18"/>
          <w:lang w:val="de-DE"/>
        </w:rPr>
        <w:t>Software auf diesem USB-Laufwerk auf einem beliebigen Gerät zu verwenden, anstatt eine Kopie der Software, die mit Office 365 ProPlus bereitgestellt wurde, auf einem der fünf gemäß den Produktbenutzungsrechten für Office 365 ProPlus zulässigen Geräte zu installieren</w:t>
      </w:r>
      <w:r w:rsidR="006257A7">
        <w:rPr>
          <w:rFonts w:cs="Tahoma"/>
          <w:szCs w:val="18"/>
          <w:lang w:val="de-DE"/>
        </w:rPr>
        <w:t xml:space="preserve">. </w:t>
      </w:r>
      <w:r w:rsidRPr="009123CB">
        <w:rPr>
          <w:rFonts w:cs="Tahoma"/>
          <w:szCs w:val="18"/>
          <w:lang w:val="de-DE"/>
        </w:rPr>
        <w:t>Nach Kündigung Ihres Office 365 ProPlus-Abonnements müssen Sie die Software für Office Professional Plus 2013 vom USB-Laufwerk deinstallieren</w:t>
      </w:r>
      <w:r w:rsidR="006257A7">
        <w:rPr>
          <w:rFonts w:cs="Tahoma"/>
          <w:szCs w:val="18"/>
          <w:lang w:val="de-DE"/>
        </w:rPr>
        <w:t xml:space="preserve">. </w:t>
      </w:r>
    </w:p>
    <w:p w:rsidR="00C7319A" w:rsidRPr="009123CB" w:rsidRDefault="00C7319A" w:rsidP="00C7319A">
      <w:pPr>
        <w:ind w:left="720"/>
        <w:rPr>
          <w:lang w:val="de-DE"/>
        </w:rPr>
      </w:pPr>
    </w:p>
    <w:p w:rsidR="00C7319A" w:rsidRPr="009123CB" w:rsidRDefault="00C7319A" w:rsidP="00C7319A">
      <w:pPr>
        <w:spacing w:after="60"/>
        <w:ind w:left="720"/>
        <w:rPr>
          <w:lang w:val="de-DE"/>
        </w:rPr>
      </w:pPr>
      <w:r w:rsidRPr="009123CB">
        <w:rPr>
          <w:rFonts w:cs="Tahoma"/>
          <w:b/>
          <w:lang w:val="de-DE"/>
        </w:rPr>
        <w:t>Downgraderechte</w:t>
      </w:r>
    </w:p>
    <w:p w:rsidR="00C7319A" w:rsidRPr="009123CB" w:rsidRDefault="00C7319A" w:rsidP="00E869D6">
      <w:pPr>
        <w:ind w:left="720"/>
        <w:rPr>
          <w:lang w:val="de-DE"/>
        </w:rPr>
      </w:pPr>
      <w:r w:rsidRPr="009123CB">
        <w:rPr>
          <w:rFonts w:cs="Tahoma"/>
          <w:bCs/>
          <w:szCs w:val="18"/>
          <w:lang w:val="de-DE"/>
        </w:rPr>
        <w:t>Der Office 365 ProPlus-Service umfasst keine Downgraderechte</w:t>
      </w:r>
      <w:r w:rsidR="006257A7">
        <w:rPr>
          <w:rFonts w:cs="Tahoma"/>
          <w:bCs/>
          <w:szCs w:val="18"/>
          <w:lang w:val="de-DE"/>
        </w:rPr>
        <w:t xml:space="preserve">. </w:t>
      </w:r>
      <w:r w:rsidRPr="009123CB">
        <w:rPr>
          <w:rFonts w:cs="Tahoma"/>
          <w:bCs/>
          <w:szCs w:val="18"/>
          <w:lang w:val="de-DE"/>
        </w:rPr>
        <w:t xml:space="preserve">Weitere Informationen zu Onlinedienste-Upgradeanforderungen finden Sie in den Produktbenutzungsrechten (PUR) von Microsoft unter </w:t>
      </w:r>
      <w:hyperlink r:id="rId36" w:history="1">
        <w:r w:rsidR="00E869D6" w:rsidRPr="00420E1C">
          <w:rPr>
            <w:rStyle w:val="Hyperlink"/>
            <w:rFonts w:cs="Tahoma"/>
            <w:bCs/>
            <w:szCs w:val="18"/>
            <w:lang w:val="de-DE"/>
          </w:rPr>
          <w:t>www.microsoftvolumelicensing.com/userights/PUR.aspx</w:t>
        </w:r>
      </w:hyperlink>
    </w:p>
    <w:p w:rsidR="00C7319A" w:rsidRPr="009123CB" w:rsidRDefault="00C7319A" w:rsidP="00C7319A">
      <w:pPr>
        <w:rPr>
          <w:lang w:val="de-DE"/>
        </w:rPr>
      </w:pPr>
      <w:bookmarkStart w:id="1032" w:name="Srv_9OutlookMac2011"/>
    </w:p>
    <w:p w:rsidR="00C7319A" w:rsidRPr="009123CB" w:rsidRDefault="00C7319A" w:rsidP="00C7319A">
      <w:pPr>
        <w:rPr>
          <w:lang w:val="de-DE"/>
        </w:rPr>
      </w:pPr>
    </w:p>
    <w:p w:rsidR="00C7319A" w:rsidRPr="009123CB" w:rsidRDefault="00C7319A" w:rsidP="00C7319A">
      <w:pPr>
        <w:pStyle w:val="Heading3"/>
        <w:rPr>
          <w:lang w:val="de-DE"/>
        </w:rPr>
      </w:pPr>
      <w:bookmarkStart w:id="1033" w:name="_121_Outlook_for"/>
      <w:bookmarkStart w:id="1034" w:name="_13_Outlook_for"/>
      <w:bookmarkStart w:id="1035" w:name="_14_Outlook_für"/>
      <w:bookmarkStart w:id="1036" w:name="_Toc336338270"/>
      <w:bookmarkStart w:id="1037" w:name="_Toc363999009"/>
      <w:bookmarkEnd w:id="1033"/>
      <w:bookmarkEnd w:id="1034"/>
      <w:bookmarkEnd w:id="1035"/>
      <w:r w:rsidRPr="009123CB">
        <w:rPr>
          <w:rFonts w:ascii="Tahoma" w:hAnsi="Tahoma"/>
          <w:caps/>
          <w:color w:val="F66400"/>
          <w:sz w:val="22"/>
          <w:vertAlign w:val="superscript"/>
          <w:lang w:val="de-DE"/>
        </w:rPr>
        <w:t>14</w:t>
      </w:r>
      <w:r w:rsidRPr="009123CB">
        <w:rPr>
          <w:rFonts w:ascii="Tahoma" w:hAnsi="Tahoma"/>
          <w:color w:val="F66400"/>
          <w:sz w:val="22"/>
          <w:lang w:val="de-DE"/>
        </w:rPr>
        <w:t xml:space="preserve"> Outlook für Mac 2011</w:t>
      </w:r>
      <w:bookmarkEnd w:id="1036"/>
      <w:bookmarkEnd w:id="1037"/>
      <w:r w:rsidRPr="009123CB">
        <w:rPr>
          <w:rFonts w:ascii="Tahoma" w:hAnsi="Tahoma"/>
          <w:color w:val="F66400"/>
          <w:sz w:val="22"/>
          <w:lang w:val="de-DE"/>
        </w:rPr>
        <w:t xml:space="preserve"> </w:t>
      </w:r>
    </w:p>
    <w:bookmarkEnd w:id="1032"/>
    <w:p w:rsidR="00C7319A" w:rsidRPr="009123CB" w:rsidRDefault="00C7319A" w:rsidP="00C7319A">
      <w:pPr>
        <w:rPr>
          <w:lang w:val="de-DE"/>
        </w:rPr>
      </w:pPr>
    </w:p>
    <w:p w:rsidR="00C7319A" w:rsidRPr="009123CB" w:rsidRDefault="00C7319A" w:rsidP="00C7319A">
      <w:pPr>
        <w:spacing w:after="60"/>
        <w:ind w:left="720"/>
        <w:rPr>
          <w:lang w:val="de-DE"/>
        </w:rPr>
      </w:pPr>
      <w:r w:rsidRPr="009123CB">
        <w:rPr>
          <w:rFonts w:cs="Tahoma"/>
          <w:b/>
          <w:lang w:val="de-DE"/>
        </w:rPr>
        <w:t>Software Assurance-Migrationspfad für Entourage für Mac 2008</w:t>
      </w:r>
    </w:p>
    <w:p w:rsidR="00C7319A" w:rsidRPr="009123CB" w:rsidRDefault="00C7319A" w:rsidP="00C7319A">
      <w:pPr>
        <w:adjustRightInd w:val="0"/>
        <w:ind w:left="720"/>
        <w:textAlignment w:val="baseline"/>
        <w:rPr>
          <w:lang w:val="de-DE"/>
        </w:rPr>
      </w:pPr>
      <w:r w:rsidRPr="009123CB">
        <w:rPr>
          <w:rFonts w:cs="Tahoma"/>
          <w:szCs w:val="20"/>
          <w:lang w:val="de-DE"/>
        </w:rPr>
        <w:t>Die Folgeversion von Entourage für Mac</w:t>
      </w:r>
      <w:bookmarkStart w:id="1038" w:name="Srv_8Project2010Pro"/>
      <w:r w:rsidRPr="009123CB">
        <w:rPr>
          <w:rFonts w:cs="Tahoma"/>
          <w:szCs w:val="20"/>
          <w:lang w:val="de-DE"/>
        </w:rPr>
        <w:t xml:space="preserve"> 2008 ist Outlook für Mac 2011</w:t>
      </w:r>
      <w:r w:rsidR="006257A7">
        <w:rPr>
          <w:rFonts w:cs="Tahoma"/>
          <w:szCs w:val="20"/>
          <w:lang w:val="de-DE"/>
        </w:rPr>
        <w:t xml:space="preserve">. </w:t>
      </w:r>
    </w:p>
    <w:p w:rsidR="00C7319A" w:rsidRPr="009123CB" w:rsidRDefault="00C7319A" w:rsidP="00C7319A">
      <w:pPr>
        <w:adjustRightInd w:val="0"/>
        <w:textAlignment w:val="baseline"/>
        <w:rPr>
          <w:lang w:val="de-DE"/>
        </w:rPr>
      </w:pPr>
    </w:p>
    <w:p w:rsidR="00C7319A" w:rsidRPr="009123CB" w:rsidRDefault="00C7319A" w:rsidP="00C7319A">
      <w:pPr>
        <w:adjustRightInd w:val="0"/>
        <w:textAlignment w:val="baseline"/>
        <w:rPr>
          <w:lang w:val="de-DE"/>
        </w:rPr>
      </w:pPr>
    </w:p>
    <w:p w:rsidR="00C7319A" w:rsidRPr="008849B7" w:rsidRDefault="00C7319A" w:rsidP="00C7319A">
      <w:pPr>
        <w:pStyle w:val="Heading3"/>
        <w:rPr>
          <w:lang w:val="de-DE"/>
        </w:rPr>
      </w:pPr>
      <w:bookmarkStart w:id="1039" w:name="_132_Project_2013"/>
      <w:bookmarkStart w:id="1040" w:name="_14_Project_Professional"/>
      <w:bookmarkStart w:id="1041" w:name="_15_Project_Professional"/>
      <w:bookmarkStart w:id="1042" w:name="_Toc336338271"/>
      <w:bookmarkStart w:id="1043" w:name="_Toc363999010"/>
      <w:bookmarkStart w:id="1044" w:name="_Toc254806116"/>
      <w:bookmarkStart w:id="1045" w:name="Srv_Project2010Pro"/>
      <w:bookmarkStart w:id="1046" w:name="Aps_8Project2010Pro"/>
      <w:bookmarkEnd w:id="1039"/>
      <w:bookmarkEnd w:id="1040"/>
      <w:bookmarkEnd w:id="1041"/>
      <w:r w:rsidRPr="008849B7">
        <w:rPr>
          <w:rFonts w:ascii="Tahoma" w:hAnsi="Tahoma"/>
          <w:caps/>
          <w:color w:val="F66400"/>
          <w:sz w:val="22"/>
          <w:vertAlign w:val="superscript"/>
          <w:lang w:val="de-DE"/>
        </w:rPr>
        <w:t>15</w:t>
      </w:r>
      <w:r w:rsidRPr="008849B7">
        <w:rPr>
          <w:rFonts w:ascii="Tahoma" w:hAnsi="Tahoma"/>
          <w:color w:val="F66400"/>
          <w:sz w:val="22"/>
          <w:lang w:val="de-DE"/>
        </w:rPr>
        <w:t xml:space="preserve"> Project Professional 2013</w:t>
      </w:r>
      <w:bookmarkEnd w:id="1042"/>
      <w:bookmarkEnd w:id="1043"/>
      <w:r w:rsidRPr="008849B7">
        <w:rPr>
          <w:rFonts w:ascii="Tahoma" w:hAnsi="Tahoma"/>
          <w:color w:val="F66400"/>
          <w:sz w:val="22"/>
          <w:lang w:val="de-DE"/>
        </w:rPr>
        <w:t xml:space="preserve"> </w:t>
      </w:r>
      <w:bookmarkEnd w:id="1044"/>
    </w:p>
    <w:bookmarkEnd w:id="1038"/>
    <w:bookmarkEnd w:id="1045"/>
    <w:bookmarkEnd w:id="1046"/>
    <w:p w:rsidR="00C7319A" w:rsidRPr="008849B7" w:rsidRDefault="00C7319A" w:rsidP="00C7319A">
      <w:pPr>
        <w:ind w:left="720"/>
        <w:rPr>
          <w:lang w:val="de-DE"/>
        </w:rPr>
      </w:pPr>
    </w:p>
    <w:p w:rsidR="00C7319A" w:rsidRPr="008849B7" w:rsidRDefault="00C7319A" w:rsidP="00C7319A">
      <w:pPr>
        <w:spacing w:after="60"/>
        <w:ind w:left="720"/>
        <w:rPr>
          <w:lang w:val="de-DE"/>
        </w:rPr>
      </w:pPr>
      <w:r w:rsidRPr="008849B7">
        <w:rPr>
          <w:rFonts w:cs="Tahoma"/>
          <w:b/>
          <w:lang w:val="de-DE"/>
        </w:rPr>
        <w:t>Zusätzliche Project Server-CAL</w:t>
      </w:r>
    </w:p>
    <w:p w:rsidR="00C7319A" w:rsidRPr="009123CB" w:rsidRDefault="00C7319A" w:rsidP="00C7319A">
      <w:pPr>
        <w:pStyle w:val="EndnoteText"/>
        <w:ind w:left="720"/>
        <w:rPr>
          <w:lang w:val="de-DE"/>
        </w:rPr>
      </w:pPr>
      <w:r w:rsidRPr="009123CB">
        <w:rPr>
          <w:rStyle w:val="EndnoteTextChar"/>
          <w:rFonts w:ascii="Tahoma" w:hAnsi="Tahoma" w:cs="Tahoma"/>
          <w:sz w:val="18"/>
          <w:lang w:val="de-DE"/>
        </w:rPr>
        <w:t>Kunden, die Project Professional 2013 lizenzieren, erhalten eine Geräte-CAL für Project Server 2013</w:t>
      </w:r>
      <w:r w:rsidR="006257A7">
        <w:rPr>
          <w:rStyle w:val="EndnoteTextChar"/>
          <w:rFonts w:ascii="Tahoma" w:hAnsi="Tahoma" w:cs="Tahoma"/>
          <w:sz w:val="18"/>
          <w:lang w:val="de-DE"/>
        </w:rPr>
        <w:t xml:space="preserve">. </w:t>
      </w:r>
      <w:r w:rsidRPr="009123CB">
        <w:rPr>
          <w:rStyle w:val="EndnoteTextChar"/>
          <w:rFonts w:ascii="Tahoma" w:hAnsi="Tahoma" w:cs="Tahoma"/>
          <w:sz w:val="18"/>
          <w:lang w:val="de-DE"/>
        </w:rPr>
        <w:t>Das Recht, unter dieser CAL auf Project Server 2013 zuzugreifen, gilt bis zum Ablauf der zugehörigen Project Professional-Lizenz</w:t>
      </w:r>
      <w:r w:rsidR="006257A7">
        <w:rPr>
          <w:rStyle w:val="EndnoteTextChar"/>
          <w:rFonts w:ascii="Tahoma" w:hAnsi="Tahoma" w:cs="Tahoma"/>
          <w:sz w:val="18"/>
          <w:lang w:val="de-DE"/>
        </w:rPr>
        <w:t xml:space="preserve">. </w:t>
      </w:r>
    </w:p>
    <w:p w:rsidR="00C7319A" w:rsidRPr="009123CB" w:rsidRDefault="00C7319A" w:rsidP="00C7319A">
      <w:pPr>
        <w:pStyle w:val="EndnoteText"/>
        <w:ind w:left="720"/>
        <w:rPr>
          <w:lang w:val="de-DE"/>
        </w:rPr>
      </w:pPr>
    </w:p>
    <w:p w:rsidR="00C7319A" w:rsidRPr="009123CB" w:rsidRDefault="00C7319A" w:rsidP="00C7319A">
      <w:pPr>
        <w:pStyle w:val="EndnoteText"/>
        <w:ind w:left="720"/>
        <w:rPr>
          <w:lang w:val="de-DE"/>
        </w:rPr>
      </w:pPr>
      <w:r w:rsidRPr="009123CB">
        <w:rPr>
          <w:rStyle w:val="EndnoteTextChar"/>
          <w:rFonts w:ascii="Tahoma" w:hAnsi="Tahoma" w:cs="Tahoma"/>
          <w:sz w:val="18"/>
          <w:lang w:val="de-DE"/>
        </w:rPr>
        <w:t>Kunden mit aktiver Software Assurance für ihre Project Professional-Lizenz haben damit Software Assurance für die zusätzliche Project Server-CAL</w:t>
      </w:r>
      <w:r w:rsidR="006257A7">
        <w:rPr>
          <w:rStyle w:val="EndnoteTextChar"/>
          <w:rFonts w:ascii="Tahoma" w:hAnsi="Tahoma" w:cs="Tahoma"/>
          <w:sz w:val="18"/>
          <w:lang w:val="de-DE"/>
        </w:rPr>
        <w:t xml:space="preserve">. </w:t>
      </w:r>
      <w:r w:rsidRPr="009123CB">
        <w:rPr>
          <w:rStyle w:val="EndnoteTextChar"/>
          <w:rFonts w:ascii="Tahoma" w:hAnsi="Tahoma" w:cs="Tahoma"/>
          <w:sz w:val="18"/>
          <w:lang w:val="de-DE"/>
        </w:rPr>
        <w:t>Diese gilt bis zum Ablauf von Software Assurance für Project Professional</w:t>
      </w:r>
      <w:r w:rsidR="006257A7">
        <w:rPr>
          <w:rStyle w:val="EndnoteTextChar"/>
          <w:rFonts w:ascii="Tahoma" w:hAnsi="Tahoma" w:cs="Tahoma"/>
          <w:sz w:val="18"/>
          <w:lang w:val="de-DE"/>
        </w:rPr>
        <w:t xml:space="preserve">. </w:t>
      </w:r>
    </w:p>
    <w:p w:rsidR="00C7319A" w:rsidRPr="009123CB" w:rsidRDefault="00C7319A" w:rsidP="00C7319A">
      <w:pPr>
        <w:pStyle w:val="EndnoteText"/>
        <w:ind w:left="720"/>
        <w:rPr>
          <w:lang w:val="de-DE"/>
        </w:rPr>
      </w:pPr>
    </w:p>
    <w:p w:rsidR="00C7319A" w:rsidRPr="009123CB" w:rsidRDefault="00C7319A" w:rsidP="006672FD">
      <w:pPr>
        <w:pStyle w:val="EndnoteText"/>
        <w:ind w:left="720"/>
        <w:rPr>
          <w:lang w:val="de-DE"/>
        </w:rPr>
      </w:pPr>
      <w:r w:rsidRPr="009123CB">
        <w:rPr>
          <w:rStyle w:val="EndnoteTextChar"/>
          <w:rFonts w:ascii="Tahoma" w:hAnsi="Tahoma" w:cs="Tahoma"/>
          <w:sz w:val="18"/>
          <w:lang w:val="de-DE"/>
        </w:rPr>
        <w:t>Zusätzliche Rechte, die für diese CALS gelten, finden Sie im Hinweis auf die Produktbedingungen zu Project</w:t>
      </w:r>
      <w:r w:rsidR="006672FD">
        <w:rPr>
          <w:rStyle w:val="EndnoteTextChar"/>
          <w:rFonts w:ascii="Tahoma" w:hAnsi="Tahoma" w:cs="Tahoma"/>
          <w:sz w:val="18"/>
          <w:lang w:val="de-DE"/>
        </w:rPr>
        <w:t> </w:t>
      </w:r>
      <w:r w:rsidRPr="009123CB">
        <w:rPr>
          <w:rStyle w:val="EndnoteTextChar"/>
          <w:rFonts w:ascii="Tahoma" w:hAnsi="Tahoma" w:cs="Tahoma"/>
          <w:sz w:val="18"/>
          <w:lang w:val="de-DE"/>
        </w:rPr>
        <w:t>Server</w:t>
      </w:r>
      <w:r w:rsidR="006257A7">
        <w:rPr>
          <w:rStyle w:val="EndnoteTextChar"/>
          <w:rFonts w:ascii="Tahoma" w:hAnsi="Tahoma" w:cs="Tahoma"/>
          <w:sz w:val="18"/>
          <w:lang w:val="de-DE"/>
        </w:rPr>
        <w:t xml:space="preserve">. </w:t>
      </w:r>
    </w:p>
    <w:p w:rsidR="00C7319A" w:rsidRPr="009123CB" w:rsidRDefault="00C7319A" w:rsidP="00C7319A">
      <w:pPr>
        <w:rPr>
          <w:lang w:val="de-DE"/>
        </w:rPr>
      </w:pPr>
    </w:p>
    <w:p w:rsidR="00C7319A" w:rsidRPr="009123CB" w:rsidRDefault="00C7319A" w:rsidP="00C7319A">
      <w:pPr>
        <w:rPr>
          <w:lang w:val="de-DE"/>
        </w:rPr>
      </w:pPr>
    </w:p>
    <w:p w:rsidR="00C7319A" w:rsidRPr="009123CB" w:rsidRDefault="00C7319A" w:rsidP="00C7319A">
      <w:pPr>
        <w:pStyle w:val="Heading3"/>
        <w:keepNext/>
        <w:rPr>
          <w:lang w:val="de-DE"/>
        </w:rPr>
      </w:pPr>
      <w:bookmarkStart w:id="1047" w:name="_143_Project_Pro"/>
      <w:bookmarkStart w:id="1048" w:name="_15_Project_Pro"/>
      <w:bookmarkStart w:id="1049" w:name="_16_Project_Pro"/>
      <w:bookmarkStart w:id="1050" w:name="_Toc363999011"/>
      <w:bookmarkEnd w:id="1047"/>
      <w:bookmarkEnd w:id="1048"/>
      <w:bookmarkEnd w:id="1049"/>
      <w:r w:rsidRPr="009123CB">
        <w:rPr>
          <w:rFonts w:ascii="Tahoma" w:hAnsi="Tahoma"/>
          <w:caps/>
          <w:color w:val="F66400"/>
          <w:sz w:val="22"/>
          <w:vertAlign w:val="superscript"/>
          <w:lang w:val="de-DE"/>
        </w:rPr>
        <w:t>16</w:t>
      </w:r>
      <w:r w:rsidRPr="006672FD">
        <w:rPr>
          <w:rFonts w:ascii="Tahoma" w:hAnsi="Tahoma"/>
          <w:caps/>
          <w:color w:val="F66400"/>
          <w:sz w:val="22"/>
          <w:lang w:val="de-DE"/>
        </w:rPr>
        <w:t xml:space="preserve"> </w:t>
      </w:r>
      <w:r w:rsidRPr="009123CB">
        <w:rPr>
          <w:rFonts w:ascii="Tahoma" w:hAnsi="Tahoma"/>
          <w:color w:val="F66400"/>
          <w:sz w:val="22"/>
          <w:lang w:val="de-DE"/>
        </w:rPr>
        <w:t>Project Pro für Office 365</w:t>
      </w:r>
      <w:bookmarkEnd w:id="1050"/>
      <w:r w:rsidRPr="009123CB">
        <w:rPr>
          <w:rFonts w:ascii="Tahoma" w:hAnsi="Tahoma"/>
          <w:color w:val="F66400"/>
          <w:sz w:val="22"/>
          <w:lang w:val="de-DE"/>
        </w:rPr>
        <w:t xml:space="preserve"> </w:t>
      </w:r>
    </w:p>
    <w:p w:rsidR="00C7319A" w:rsidRPr="009123CB" w:rsidRDefault="00C7319A" w:rsidP="00C7319A">
      <w:pPr>
        <w:keepNext/>
        <w:rPr>
          <w:lang w:val="de-DE"/>
        </w:rPr>
      </w:pPr>
    </w:p>
    <w:p w:rsidR="00C7319A" w:rsidRPr="009123CB" w:rsidRDefault="00C7319A" w:rsidP="00C7319A">
      <w:pPr>
        <w:spacing w:after="60"/>
        <w:ind w:left="720"/>
        <w:rPr>
          <w:lang w:val="de-DE"/>
        </w:rPr>
      </w:pPr>
      <w:r w:rsidRPr="009123CB">
        <w:rPr>
          <w:rFonts w:cs="Tahoma"/>
          <w:b/>
          <w:lang w:val="de-DE"/>
        </w:rPr>
        <w:t>Medienberechtigung mit Remotedesktopdiensten (RDS)</w:t>
      </w:r>
    </w:p>
    <w:p w:rsidR="00C7319A" w:rsidRPr="009123CB" w:rsidRDefault="00C7319A" w:rsidP="00C7319A">
      <w:pPr>
        <w:ind w:left="720"/>
        <w:rPr>
          <w:lang w:val="de-DE"/>
        </w:rPr>
      </w:pPr>
      <w:r w:rsidRPr="009123CB">
        <w:rPr>
          <w:rFonts w:cs="Tahoma"/>
          <w:szCs w:val="18"/>
          <w:lang w:val="de-DE"/>
        </w:rPr>
        <w:t>Wenn der Nutzer, dem Sie eine Project Pro für Office 365-Lizenz zugewiesen haben, die Software bei aktivierter RDS-Rolle auf einem Netzwerkserver nutzt, ist dieser Nutzer berechtigt, 1) eine Kopie der Project Professional 2013-Software auf einem Netzwerkserver zu installieren und 2) auf die Project Professional 2013-Software von jedem beliebigen Gerät aus zuzugreifen, anstatt eine Kopie der Software, die mit Project Pro für Office 365 bereitgestellt wurde, auf einem der fünf gemäß den Produktbenutzungsrechten für Project Pro für Office 365 zulässigen Geräte zu installieren</w:t>
      </w:r>
      <w:r w:rsidR="006257A7">
        <w:rPr>
          <w:rFonts w:cs="Tahoma"/>
          <w:szCs w:val="18"/>
          <w:lang w:val="de-DE"/>
        </w:rPr>
        <w:t xml:space="preserve">. </w:t>
      </w:r>
      <w:r w:rsidRPr="009123CB">
        <w:rPr>
          <w:rFonts w:cs="Tahoma"/>
          <w:szCs w:val="18"/>
          <w:lang w:val="de-DE"/>
        </w:rPr>
        <w:t>Nach Kündigung Ihres Project Pro für Office 365-Abonnements müssen Sie die Project Professional 2013-Software vom Netzwerkserver deinstallieren</w:t>
      </w:r>
      <w:r w:rsidR="006257A7">
        <w:rPr>
          <w:rFonts w:cs="Tahoma"/>
          <w:szCs w:val="18"/>
          <w:lang w:val="de-DE"/>
        </w:rPr>
        <w:t xml:space="preserve">. </w:t>
      </w:r>
    </w:p>
    <w:p w:rsidR="00C7319A" w:rsidRPr="009123CB" w:rsidRDefault="00C7319A" w:rsidP="00C7319A">
      <w:pPr>
        <w:ind w:left="720"/>
        <w:rPr>
          <w:lang w:val="de-DE"/>
        </w:rPr>
      </w:pPr>
    </w:p>
    <w:p w:rsidR="00C7319A" w:rsidRPr="009123CB" w:rsidRDefault="00C7319A" w:rsidP="00C7319A">
      <w:pPr>
        <w:spacing w:after="60"/>
        <w:ind w:left="720"/>
        <w:rPr>
          <w:lang w:val="de-DE"/>
        </w:rPr>
      </w:pPr>
      <w:r w:rsidRPr="009123CB">
        <w:rPr>
          <w:rFonts w:cs="Tahoma"/>
          <w:b/>
          <w:lang w:val="de-DE"/>
        </w:rPr>
        <w:t>Downgraderechte</w:t>
      </w:r>
    </w:p>
    <w:p w:rsidR="00C7319A" w:rsidRPr="009123CB" w:rsidRDefault="00C7319A" w:rsidP="00C7319A">
      <w:pPr>
        <w:ind w:left="720"/>
        <w:rPr>
          <w:lang w:val="de-DE"/>
        </w:rPr>
      </w:pPr>
      <w:r w:rsidRPr="009123CB">
        <w:rPr>
          <w:rFonts w:cs="Tahoma"/>
          <w:bCs/>
          <w:szCs w:val="18"/>
          <w:lang w:val="de-DE"/>
        </w:rPr>
        <w:t>Der Project Pro für Office 365-Service umfasst keine Downgraderechte</w:t>
      </w:r>
      <w:r w:rsidR="006257A7">
        <w:rPr>
          <w:rFonts w:cs="Tahoma"/>
          <w:bCs/>
          <w:szCs w:val="18"/>
          <w:lang w:val="de-DE"/>
        </w:rPr>
        <w:t xml:space="preserve">. </w:t>
      </w:r>
      <w:r w:rsidRPr="009123CB">
        <w:rPr>
          <w:rFonts w:cs="Tahoma"/>
          <w:bCs/>
          <w:szCs w:val="18"/>
          <w:lang w:val="de-DE"/>
        </w:rPr>
        <w:t xml:space="preserve">Weitere Informationen zu Onlinedienste-Upgradeanforderungen finden Sie in den Produktbenutzungsrechten (PUR) von Microsoft unter </w:t>
      </w:r>
      <w:hyperlink r:id="rId37" w:history="1">
        <w:r w:rsidR="00E869D6" w:rsidRPr="00420E1C">
          <w:rPr>
            <w:rStyle w:val="Hyperlink"/>
            <w:rFonts w:cs="Tahoma"/>
            <w:bCs/>
            <w:szCs w:val="18"/>
            <w:lang w:val="de-DE"/>
          </w:rPr>
          <w:t>http://www.microsoftvolumelicensing.com/userights/PUR.aspx</w:t>
        </w:r>
      </w:hyperlink>
    </w:p>
    <w:p w:rsidR="00C7319A" w:rsidRPr="009123CB" w:rsidRDefault="00C7319A" w:rsidP="00C7319A">
      <w:pPr>
        <w:rPr>
          <w:lang w:val="de-DE"/>
        </w:rPr>
      </w:pPr>
    </w:p>
    <w:p w:rsidR="00C7319A" w:rsidRPr="009123CB" w:rsidRDefault="00C7319A" w:rsidP="00C7319A">
      <w:pPr>
        <w:rPr>
          <w:lang w:val="de-DE"/>
        </w:rPr>
      </w:pPr>
    </w:p>
    <w:p w:rsidR="00C7319A" w:rsidRPr="008849B7" w:rsidRDefault="00C7319A" w:rsidP="00C7319A">
      <w:pPr>
        <w:pStyle w:val="Heading3"/>
        <w:rPr>
          <w:lang w:val="de-DE"/>
        </w:rPr>
      </w:pPr>
      <w:bookmarkStart w:id="1051" w:name="_145_Rental_Rights"/>
      <w:bookmarkStart w:id="1052" w:name="_16_Rental_Rights"/>
      <w:bookmarkStart w:id="1053" w:name="_17_Vermietungsrechte_für"/>
      <w:bookmarkStart w:id="1054" w:name="_Toc336338272"/>
      <w:bookmarkStart w:id="1055" w:name="_Toc363999012"/>
      <w:bookmarkStart w:id="1056" w:name="Aps_9RentalRightsOffice"/>
      <w:bookmarkStart w:id="1057" w:name="Srv_RentalRightsOffice"/>
      <w:bookmarkStart w:id="1058" w:name="Srv_9RentalRightsOffice"/>
      <w:bookmarkEnd w:id="1051"/>
      <w:bookmarkEnd w:id="1052"/>
      <w:bookmarkEnd w:id="1053"/>
      <w:r w:rsidRPr="008849B7">
        <w:rPr>
          <w:rFonts w:ascii="Tahoma" w:hAnsi="Tahoma" w:cs="Tahoma"/>
          <w:caps/>
          <w:color w:val="E65D08"/>
          <w:sz w:val="22"/>
          <w:szCs w:val="22"/>
          <w:vertAlign w:val="superscript"/>
          <w:lang w:val="de-DE"/>
        </w:rPr>
        <w:t>17</w:t>
      </w:r>
      <w:r w:rsidRPr="008849B7">
        <w:rPr>
          <w:rFonts w:ascii="Tahoma" w:hAnsi="Tahoma" w:cs="Tahoma"/>
          <w:color w:val="E65D08"/>
          <w:sz w:val="22"/>
          <w:szCs w:val="22"/>
          <w:lang w:val="de-DE"/>
        </w:rPr>
        <w:t xml:space="preserve"> Vermietungsrechte für Office</w:t>
      </w:r>
      <w:bookmarkEnd w:id="1054"/>
      <w:bookmarkEnd w:id="1055"/>
    </w:p>
    <w:bookmarkEnd w:id="1056"/>
    <w:p w:rsidR="00C7319A" w:rsidRPr="008849B7" w:rsidRDefault="00C7319A" w:rsidP="00C7319A">
      <w:pPr>
        <w:rPr>
          <w:lang w:val="de-DE"/>
        </w:rPr>
      </w:pPr>
    </w:p>
    <w:bookmarkEnd w:id="1057"/>
    <w:bookmarkEnd w:id="1058"/>
    <w:p w:rsidR="00C7319A" w:rsidRPr="009123CB" w:rsidRDefault="00C7319A" w:rsidP="0092112A">
      <w:pPr>
        <w:pStyle w:val="FootnoteBulletLevel1"/>
        <w:tabs>
          <w:tab w:val="clear" w:pos="900"/>
        </w:tabs>
        <w:spacing w:before="0" w:after="0"/>
        <w:ind w:left="720" w:firstLine="0"/>
        <w:rPr>
          <w:lang w:val="de-DE"/>
        </w:rPr>
      </w:pPr>
      <w:r w:rsidRPr="009123CB">
        <w:rPr>
          <w:rFonts w:ascii="Tahoma" w:hAnsi="Tahoma" w:cs="Tahoma"/>
          <w:color w:val="000000"/>
          <w:sz w:val="18"/>
          <w:szCs w:val="18"/>
          <w:lang w:val="de-DE"/>
        </w:rPr>
        <w:t>Die unter diesen Programmen gewährten Vermietungsrechtelizenzen sind ausschließlich Add-On-Lizenzen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Es handelt sich nicht um volle Produktlizenzen</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Daher muss jeder Desktop, dem ein Kunde eine Vermietungsrechtelizenz zuweist, zur Ausführung einer der unten genannten qualifizierenden Anwendungen</w:t>
      </w:r>
      <w:r w:rsidR="0092112A">
        <w:rPr>
          <w:rFonts w:ascii="Tahoma" w:hAnsi="Tahoma" w:cs="Tahoma"/>
          <w:color w:val="000000"/>
          <w:sz w:val="18"/>
          <w:szCs w:val="18"/>
          <w:lang w:val="de-DE"/>
        </w:rPr>
        <w:t> </w:t>
      </w:r>
      <w:r w:rsidRPr="009123CB">
        <w:rPr>
          <w:rFonts w:ascii="Tahoma" w:hAnsi="Tahoma" w:cs="Tahoma"/>
          <w:color w:val="000000"/>
          <w:sz w:val="18"/>
          <w:szCs w:val="18"/>
          <w:lang w:val="de-DE"/>
        </w:rPr>
        <w:t>lizenziert sein</w:t>
      </w:r>
      <w:r w:rsidR="006257A7">
        <w:rPr>
          <w:rFonts w:ascii="Tahoma" w:hAnsi="Tahoma" w:cs="Tahoma"/>
          <w:color w:val="000000"/>
          <w:sz w:val="18"/>
          <w:szCs w:val="18"/>
          <w:lang w:val="de-DE"/>
        </w:rPr>
        <w:t xml:space="preserve">. </w:t>
      </w:r>
    </w:p>
    <w:p w:rsidR="00C7319A" w:rsidRPr="009123CB" w:rsidRDefault="00C7319A" w:rsidP="00C7319A">
      <w:pPr>
        <w:ind w:left="720"/>
        <w:rPr>
          <w:lang w:val="de-DE"/>
        </w:rPr>
      </w:pPr>
    </w:p>
    <w:p w:rsidR="00C7319A" w:rsidRPr="009123CB" w:rsidRDefault="00C7319A" w:rsidP="00C7319A">
      <w:pPr>
        <w:spacing w:after="60"/>
        <w:ind w:left="720"/>
        <w:rPr>
          <w:lang w:val="de-DE"/>
        </w:rPr>
      </w:pPr>
      <w:r w:rsidRPr="009123CB">
        <w:rPr>
          <w:rFonts w:cs="Tahoma"/>
          <w:b/>
          <w:lang w:val="de-DE"/>
        </w:rPr>
        <w:t>Regeln für qualifizierende Anwendungen</w:t>
      </w:r>
    </w:p>
    <w:p w:rsidR="00C7319A" w:rsidRPr="009123CB" w:rsidRDefault="00C7319A" w:rsidP="00C7319A">
      <w:pPr>
        <w:ind w:left="720"/>
        <w:rPr>
          <w:lang w:val="de-DE"/>
        </w:rPr>
      </w:pPr>
      <w:r w:rsidRPr="009123CB">
        <w:rPr>
          <w:rFonts w:cs="Tahoma"/>
          <w:color w:val="000000"/>
          <w:szCs w:val="18"/>
          <w:lang w:val="de-DE"/>
        </w:rPr>
        <w:t>(Alle Bedingungen müssen erfüllt sein, damit die Basislizenz Sie für die Vermietungsrechtelizenz qualifiziert):</w:t>
      </w:r>
    </w:p>
    <w:p w:rsidR="00C7319A" w:rsidRPr="009123CB" w:rsidRDefault="00C7319A" w:rsidP="00C7319A">
      <w:pPr>
        <w:ind w:left="900"/>
        <w:rPr>
          <w:lang w:val="de-DE"/>
        </w:rPr>
      </w:pPr>
    </w:p>
    <w:p w:rsidR="00C7319A" w:rsidRPr="009123CB" w:rsidRDefault="00C7319A" w:rsidP="00C7319A">
      <w:pPr>
        <w:numPr>
          <w:ilvl w:val="0"/>
          <w:numId w:val="20"/>
        </w:numPr>
        <w:spacing w:after="60"/>
        <w:ind w:left="1440"/>
        <w:rPr>
          <w:lang w:val="de-DE"/>
        </w:rPr>
      </w:pPr>
      <w:r w:rsidRPr="009123CB">
        <w:rPr>
          <w:rFonts w:cs="Tahoma"/>
          <w:color w:val="000000"/>
          <w:szCs w:val="18"/>
          <w:lang w:val="de-DE"/>
        </w:rPr>
        <w:t>Die Lizenz für die qualifizierende Anwendung muss demselben Gerät zugewiesen sein wie die zuzuweisende VL-Vermietungsrechtelizenz</w:t>
      </w:r>
      <w:r w:rsidR="006257A7">
        <w:rPr>
          <w:rFonts w:cs="Tahoma"/>
          <w:color w:val="000000"/>
          <w:szCs w:val="18"/>
          <w:lang w:val="de-DE"/>
        </w:rPr>
        <w:t xml:space="preserve">. </w:t>
      </w:r>
    </w:p>
    <w:p w:rsidR="00C7319A" w:rsidRPr="009123CB" w:rsidRDefault="00C7319A" w:rsidP="00C7319A">
      <w:pPr>
        <w:numPr>
          <w:ilvl w:val="0"/>
          <w:numId w:val="20"/>
        </w:numPr>
        <w:tabs>
          <w:tab w:val="left" w:pos="1440"/>
        </w:tabs>
        <w:spacing w:after="60"/>
        <w:ind w:left="1440"/>
        <w:rPr>
          <w:lang w:val="de-DE"/>
        </w:rPr>
      </w:pPr>
      <w:r w:rsidRPr="009123CB">
        <w:rPr>
          <w:rFonts w:cs="Tahoma"/>
          <w:color w:val="000000"/>
          <w:szCs w:val="18"/>
          <w:lang w:val="de-DE"/>
        </w:rPr>
        <w:t>Die qualifizierende Anwendung muss auf diesem Gerät installiert sein</w:t>
      </w:r>
      <w:r w:rsidR="006257A7">
        <w:rPr>
          <w:rFonts w:cs="Tahoma"/>
          <w:color w:val="000000"/>
          <w:szCs w:val="18"/>
          <w:lang w:val="de-DE"/>
        </w:rPr>
        <w:t xml:space="preserve">. </w:t>
      </w:r>
    </w:p>
    <w:p w:rsidR="00C7319A" w:rsidRPr="009123CB" w:rsidRDefault="00C7319A" w:rsidP="00C7319A">
      <w:pPr>
        <w:pStyle w:val="EndnoteText"/>
        <w:rPr>
          <w:lang w:val="de-DE"/>
        </w:rPr>
      </w:pPr>
    </w:p>
    <w:p w:rsidR="00C7319A" w:rsidRPr="009123CB" w:rsidRDefault="00C7319A" w:rsidP="00C7319A">
      <w:pPr>
        <w:pStyle w:val="EndnoteText"/>
        <w:ind w:left="720"/>
        <w:rPr>
          <w:lang w:val="de-DE"/>
        </w:rPr>
      </w:pPr>
      <w:r w:rsidRPr="009123CB">
        <w:rPr>
          <w:rFonts w:ascii="Tahoma" w:hAnsi="Tahoma" w:cs="Tahoma"/>
          <w:color w:val="000000"/>
          <w:sz w:val="18"/>
          <w:szCs w:val="18"/>
          <w:lang w:val="de-DE"/>
        </w:rPr>
        <w:t>Die qualifizierenden Anwendungen nach Programmart sind:</w:t>
      </w:r>
    </w:p>
    <w:p w:rsidR="00C7319A" w:rsidRPr="009123CB" w:rsidRDefault="00C7319A" w:rsidP="00C7319A">
      <w:pPr>
        <w:rPr>
          <w:lang w:val="de-DE"/>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7319A" w:rsidRPr="00B70B6E" w:rsidTr="006672FD">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7319A" w:rsidRPr="009123CB" w:rsidRDefault="00C7319A" w:rsidP="00A67771">
            <w:pPr>
              <w:jc w:val="center"/>
              <w:rPr>
                <w:rFonts w:eastAsia="MS PGothic" w:cs="Tahoma"/>
                <w:b/>
                <w:bCs/>
                <w:color w:val="000000"/>
                <w:szCs w:val="18"/>
                <w:lang w:val="de-DE"/>
              </w:rPr>
            </w:pPr>
            <w:r w:rsidRPr="009123CB">
              <w:rPr>
                <w:rFonts w:cs="Tahoma"/>
                <w:b/>
                <w:bCs/>
                <w:color w:val="000000"/>
                <w:szCs w:val="18"/>
                <w:lang w:val="de-DE"/>
              </w:rPr>
              <w:t>Qualifizierende Anwendungen für den Erwerb von Vermietungsrechten für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7319A" w:rsidRPr="00B70B6E" w:rsidRDefault="00C7319A" w:rsidP="00A67771">
            <w:pPr>
              <w:jc w:val="center"/>
              <w:rPr>
                <w:rFonts w:cs="Tahoma"/>
                <w:b/>
                <w:bCs/>
                <w:color w:val="000000"/>
                <w:szCs w:val="18"/>
              </w:rPr>
            </w:pPr>
            <w:r>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7319A" w:rsidRPr="0062435A" w:rsidRDefault="00C7319A" w:rsidP="006672FD">
            <w:pPr>
              <w:jc w:val="center"/>
            </w:pPr>
            <w:r>
              <w:rPr>
                <w:rFonts w:cs="Tahoma"/>
                <w:b/>
                <w:bCs/>
                <w:color w:val="000000"/>
                <w:szCs w:val="18"/>
              </w:rPr>
              <w:t>PIPC</w:t>
            </w:r>
          </w:p>
          <w:p w:rsidR="00C7319A" w:rsidRPr="00B70B6E" w:rsidRDefault="00C7319A" w:rsidP="006672FD">
            <w:pPr>
              <w:jc w:val="center"/>
              <w:rPr>
                <w:rFonts w:cs="Tahoma"/>
                <w:b/>
                <w:bCs/>
                <w:color w:val="000000"/>
                <w:szCs w:val="18"/>
              </w:rPr>
            </w:pPr>
            <w:r>
              <w:rPr>
                <w:rFonts w:cs="Tahoma"/>
                <w:b/>
                <w:bCs/>
                <w:color w:val="000000"/>
                <w:szCs w:val="18"/>
              </w:rPr>
              <w:t>(nur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7319A" w:rsidRPr="00B70B6E" w:rsidRDefault="00C7319A" w:rsidP="00A67771">
            <w:pPr>
              <w:jc w:val="center"/>
              <w:rPr>
                <w:rFonts w:cs="Tahoma"/>
                <w:b/>
                <w:bCs/>
                <w:color w:val="000000"/>
                <w:szCs w:val="18"/>
              </w:rPr>
            </w:pPr>
            <w:r>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7319A" w:rsidRPr="00B70B6E" w:rsidRDefault="00C7319A" w:rsidP="00A67771">
            <w:pPr>
              <w:jc w:val="center"/>
              <w:rPr>
                <w:rFonts w:cs="Tahoma"/>
                <w:b/>
                <w:bCs/>
                <w:color w:val="000000"/>
                <w:szCs w:val="18"/>
              </w:rPr>
            </w:pPr>
            <w:r>
              <w:rPr>
                <w:rFonts w:cs="Tahoma"/>
                <w:b/>
                <w:bCs/>
                <w:color w:val="000000"/>
                <w:szCs w:val="18"/>
              </w:rPr>
              <w:t>Open-Lizenz</w:t>
            </w:r>
          </w:p>
        </w:tc>
      </w:tr>
      <w:tr w:rsidR="00C7319A" w:rsidRPr="00B70B6E" w:rsidTr="00A67771">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C7319A" w:rsidRPr="00B70B6E" w:rsidRDefault="00C7319A" w:rsidP="00A67771">
            <w:pPr>
              <w:rPr>
                <w:rFonts w:cs="Tahoma"/>
                <w:b/>
                <w:bCs/>
                <w:color w:val="000000"/>
                <w:szCs w:val="18"/>
              </w:rPr>
            </w:pPr>
            <w:r>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C7319A" w:rsidRPr="00B70B6E" w:rsidRDefault="00C7319A" w:rsidP="00A67771">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C7319A" w:rsidRPr="00B70B6E" w:rsidRDefault="00C7319A" w:rsidP="00A67771">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C7319A" w:rsidRPr="00B70B6E" w:rsidRDefault="00C7319A" w:rsidP="00A67771">
            <w:pPr>
              <w:jc w:val="center"/>
              <w:rPr>
                <w:rFonts w:eastAsia="MS PGothic" w:cs="Tahoma"/>
                <w:color w:val="000000"/>
                <w:sz w:val="21"/>
                <w:szCs w:val="21"/>
              </w:rPr>
            </w:pPr>
            <w:r>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C7319A" w:rsidRPr="00B70B6E" w:rsidRDefault="00C7319A" w:rsidP="00A67771">
            <w:pPr>
              <w:jc w:val="center"/>
              <w:rPr>
                <w:rFonts w:eastAsia="MS PGothic" w:cs="Tahoma"/>
                <w:color w:val="000000"/>
                <w:sz w:val="21"/>
                <w:szCs w:val="21"/>
              </w:rPr>
            </w:pPr>
            <w:r>
              <w:rPr>
                <w:color w:val="000000"/>
              </w:rPr>
              <w:t>x</w:t>
            </w:r>
          </w:p>
        </w:tc>
      </w:tr>
      <w:tr w:rsidR="00C7319A" w:rsidRPr="00B70B6E" w:rsidTr="00A67771">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C7319A" w:rsidRPr="00B70B6E" w:rsidRDefault="00C7319A" w:rsidP="00A67771">
            <w:pPr>
              <w:rPr>
                <w:rFonts w:cs="Tahoma"/>
                <w:b/>
                <w:bCs/>
                <w:color w:val="000000"/>
                <w:szCs w:val="18"/>
              </w:rPr>
            </w:pPr>
            <w:r>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B70B6E" w:rsidRDefault="00C7319A" w:rsidP="00A67771">
            <w:pPr>
              <w:jc w:val="center"/>
              <w:rPr>
                <w:rFonts w:eastAsia="MS PGothic" w:cs="Tahoma"/>
                <w:color w:val="000000"/>
                <w:sz w:val="21"/>
                <w:szCs w:val="21"/>
              </w:rPr>
            </w:pPr>
            <w:r>
              <w:rPr>
                <w:color w:val="000000"/>
              </w:rPr>
              <w:t>x</w:t>
            </w:r>
          </w:p>
        </w:tc>
        <w:tc>
          <w:tcPr>
            <w:tcW w:w="1355" w:type="dxa"/>
            <w:tcBorders>
              <w:top w:val="nil"/>
              <w:left w:val="nil"/>
              <w:bottom w:val="single" w:sz="8" w:space="0" w:color="auto"/>
              <w:right w:val="single" w:sz="8" w:space="0" w:color="auto"/>
            </w:tcBorders>
          </w:tcPr>
          <w:p w:rsidR="00C7319A" w:rsidRPr="00B70B6E" w:rsidRDefault="00C7319A" w:rsidP="00A67771">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B70B6E" w:rsidRDefault="00C7319A" w:rsidP="00A67771">
            <w:pPr>
              <w:jc w:val="center"/>
              <w:rPr>
                <w:rFonts w:eastAsia="MS PGothic" w:cs="Tahoma"/>
                <w:color w:val="000000"/>
                <w:sz w:val="21"/>
                <w:szCs w:val="21"/>
              </w:rPr>
            </w:pPr>
            <w:r>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B70B6E" w:rsidRDefault="00C7319A" w:rsidP="00A67771">
            <w:pPr>
              <w:jc w:val="center"/>
              <w:rPr>
                <w:rFonts w:eastAsia="MS PGothic" w:cs="Tahoma"/>
                <w:color w:val="000000"/>
                <w:sz w:val="21"/>
                <w:szCs w:val="21"/>
              </w:rPr>
            </w:pPr>
            <w:r>
              <w:rPr>
                <w:color w:val="000000"/>
              </w:rPr>
              <w:t>x</w:t>
            </w:r>
          </w:p>
        </w:tc>
      </w:tr>
    </w:tbl>
    <w:p w:rsidR="00C7319A" w:rsidRPr="0062435A" w:rsidRDefault="00C7319A" w:rsidP="00C7319A"/>
    <w:p w:rsidR="00C7319A" w:rsidRPr="0062435A" w:rsidRDefault="00C7319A" w:rsidP="00C7319A"/>
    <w:tbl>
      <w:tblPr>
        <w:tblW w:w="8400" w:type="dxa"/>
        <w:tblInd w:w="680" w:type="dxa"/>
        <w:tblLayout w:type="fixed"/>
        <w:tblCellMar>
          <w:left w:w="0" w:type="dxa"/>
          <w:right w:w="0" w:type="dxa"/>
        </w:tblCellMar>
        <w:tblLook w:val="04A0" w:firstRow="1" w:lastRow="0" w:firstColumn="1" w:lastColumn="0" w:noHBand="0" w:noVBand="1"/>
      </w:tblPr>
      <w:tblGrid>
        <w:gridCol w:w="2993"/>
        <w:gridCol w:w="1332"/>
        <w:gridCol w:w="1355"/>
        <w:gridCol w:w="1455"/>
        <w:gridCol w:w="1265"/>
      </w:tblGrid>
      <w:tr w:rsidR="00C7319A" w:rsidTr="00965A6F">
        <w:trPr>
          <w:cantSplit/>
          <w:trHeight w:val="736"/>
          <w:tblHeader/>
        </w:trPr>
        <w:tc>
          <w:tcPr>
            <w:tcW w:w="2993"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7319A" w:rsidRPr="009123CB" w:rsidRDefault="00C7319A" w:rsidP="00A67771">
            <w:pPr>
              <w:ind w:left="5" w:firstLine="13"/>
              <w:jc w:val="center"/>
              <w:rPr>
                <w:rFonts w:eastAsia="MS PGothic" w:cs="Tahoma"/>
                <w:b/>
                <w:bCs/>
                <w:szCs w:val="18"/>
                <w:lang w:val="de-DE"/>
              </w:rPr>
            </w:pPr>
            <w:r w:rsidRPr="009123CB">
              <w:rPr>
                <w:rFonts w:cs="Tahoma"/>
                <w:b/>
                <w:bCs/>
                <w:szCs w:val="18"/>
                <w:lang w:val="de-DE"/>
              </w:rPr>
              <w:t>Qualifizierende Anwendungen für den Erwerb von Vermietungsrechten für Office Professional Plus</w:t>
            </w:r>
          </w:p>
        </w:tc>
        <w:tc>
          <w:tcPr>
            <w:tcW w:w="1332"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7319A" w:rsidRPr="00F72F89" w:rsidRDefault="00C7319A" w:rsidP="00A67771">
            <w:pPr>
              <w:jc w:val="center"/>
              <w:rPr>
                <w:rFonts w:cs="Tahoma"/>
                <w:b/>
                <w:bCs/>
                <w:szCs w:val="18"/>
              </w:rPr>
            </w:pPr>
            <w:r>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7319A" w:rsidRPr="0062435A" w:rsidRDefault="00C7319A" w:rsidP="00A67771">
            <w:pPr>
              <w:jc w:val="center"/>
            </w:pPr>
            <w:r>
              <w:rPr>
                <w:rFonts w:cs="Tahoma"/>
                <w:b/>
                <w:bCs/>
                <w:szCs w:val="18"/>
              </w:rPr>
              <w:t>PIPC</w:t>
            </w:r>
          </w:p>
          <w:p w:rsidR="00C7319A" w:rsidRPr="00F72F89" w:rsidRDefault="00C7319A" w:rsidP="00A67771">
            <w:pPr>
              <w:jc w:val="center"/>
              <w:rPr>
                <w:rFonts w:cs="Tahoma"/>
                <w:b/>
                <w:bCs/>
                <w:szCs w:val="16"/>
                <w:lang w:eastAsia="ja-JP"/>
              </w:rPr>
            </w:pPr>
            <w:r>
              <w:rPr>
                <w:rFonts w:cs="Tahoma"/>
                <w:b/>
                <w:bCs/>
                <w:szCs w:val="18"/>
              </w:rPr>
              <w:t>(nur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7319A" w:rsidRPr="00F72F89" w:rsidRDefault="00C7319A" w:rsidP="00A67771">
            <w:pPr>
              <w:jc w:val="center"/>
              <w:rPr>
                <w:rFonts w:cs="Tahoma"/>
                <w:b/>
                <w:bCs/>
                <w:szCs w:val="18"/>
              </w:rPr>
            </w:pPr>
            <w:r>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7319A" w:rsidRPr="00F72F89" w:rsidRDefault="00C7319A" w:rsidP="00A67771">
            <w:pPr>
              <w:jc w:val="center"/>
              <w:rPr>
                <w:rFonts w:cs="Tahoma"/>
                <w:b/>
                <w:bCs/>
                <w:szCs w:val="18"/>
              </w:rPr>
            </w:pPr>
            <w:r>
              <w:rPr>
                <w:rFonts w:cs="Tahoma"/>
                <w:b/>
                <w:bCs/>
                <w:szCs w:val="18"/>
              </w:rPr>
              <w:t>Open-Lizenz</w:t>
            </w:r>
          </w:p>
        </w:tc>
      </w:tr>
      <w:tr w:rsidR="00C7319A" w:rsidTr="00965A6F">
        <w:trPr>
          <w:trHeight w:val="255"/>
        </w:trPr>
        <w:tc>
          <w:tcPr>
            <w:tcW w:w="2993"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C7319A" w:rsidRPr="00F72F89" w:rsidRDefault="00C7319A" w:rsidP="00A67771">
            <w:pPr>
              <w:rPr>
                <w:rFonts w:cs="Tahoma"/>
                <w:b/>
                <w:bCs/>
                <w:szCs w:val="18"/>
                <w:lang w:eastAsia="ja-JP"/>
              </w:rPr>
            </w:pPr>
            <w:r>
              <w:rPr>
                <w:rFonts w:cs="Tahoma"/>
                <w:b/>
                <w:bCs/>
                <w:szCs w:val="18"/>
              </w:rPr>
              <w:t>Office Professional Plus 2013</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F72F89" w:rsidRDefault="00C7319A" w:rsidP="00A67771">
            <w:pPr>
              <w:jc w:val="center"/>
              <w:rPr>
                <w:rFonts w:eastAsia="MS PGothic" w:cs="Tahoma"/>
                <w:szCs w:val="18"/>
              </w:rPr>
            </w:pPr>
            <w:r>
              <w:rPr>
                <w:rFonts w:cs="Tahoma"/>
                <w:szCs w:val="18"/>
              </w:rPr>
              <w:t xml:space="preserve"> </w:t>
            </w:r>
          </w:p>
        </w:tc>
        <w:tc>
          <w:tcPr>
            <w:tcW w:w="1355" w:type="dxa"/>
            <w:tcBorders>
              <w:top w:val="nil"/>
              <w:left w:val="nil"/>
              <w:bottom w:val="single" w:sz="8" w:space="0" w:color="auto"/>
              <w:right w:val="single" w:sz="8" w:space="0" w:color="auto"/>
            </w:tcBorders>
          </w:tcPr>
          <w:p w:rsidR="00C7319A" w:rsidRPr="00F72F89" w:rsidRDefault="00C7319A" w:rsidP="00A67771">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F72F89" w:rsidRDefault="00C7319A" w:rsidP="00A67771">
            <w:pPr>
              <w:jc w:val="center"/>
              <w:rPr>
                <w:rFonts w:eastAsia="MS PGothic" w:cs="Tahoma"/>
                <w:szCs w:val="18"/>
              </w:rPr>
            </w:pPr>
            <w:r>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F72F89" w:rsidRDefault="00C7319A" w:rsidP="00A67771">
            <w:pPr>
              <w:jc w:val="center"/>
              <w:rPr>
                <w:rFonts w:eastAsia="MS PGothic" w:cs="Tahoma"/>
                <w:szCs w:val="18"/>
              </w:rPr>
            </w:pPr>
            <w:r>
              <w:rPr>
                <w:rFonts w:cs="Tahoma"/>
                <w:szCs w:val="18"/>
              </w:rPr>
              <w:t>x</w:t>
            </w:r>
          </w:p>
        </w:tc>
      </w:tr>
      <w:tr w:rsidR="00C7319A" w:rsidTr="00965A6F">
        <w:trPr>
          <w:trHeight w:val="255"/>
        </w:trPr>
        <w:tc>
          <w:tcPr>
            <w:tcW w:w="299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C7319A" w:rsidRPr="00F72F89" w:rsidRDefault="00C7319A" w:rsidP="00A67771">
            <w:pPr>
              <w:rPr>
                <w:rFonts w:cs="Tahoma"/>
                <w:b/>
                <w:bCs/>
                <w:szCs w:val="18"/>
                <w:lang w:eastAsia="ja-JP"/>
              </w:rPr>
            </w:pPr>
            <w:r>
              <w:rPr>
                <w:rFonts w:cs="Tahoma"/>
                <w:b/>
                <w:bCs/>
                <w:szCs w:val="18"/>
              </w:rPr>
              <w:t>Office Professional Plus 2010</w:t>
            </w:r>
          </w:p>
        </w:tc>
        <w:tc>
          <w:tcPr>
            <w:tcW w:w="133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F72F89" w:rsidRDefault="00C7319A" w:rsidP="00A67771">
            <w:pPr>
              <w:jc w:val="center"/>
              <w:rPr>
                <w:rFonts w:eastAsia="MS PGothic" w:cs="Tahoma"/>
                <w:szCs w:val="18"/>
              </w:rPr>
            </w:pPr>
            <w:r>
              <w:rPr>
                <w:rFonts w:cs="Tahoma"/>
                <w:szCs w:val="18"/>
              </w:rPr>
              <w:t xml:space="preserve"> </w:t>
            </w:r>
          </w:p>
        </w:tc>
        <w:tc>
          <w:tcPr>
            <w:tcW w:w="1355" w:type="dxa"/>
            <w:tcBorders>
              <w:top w:val="nil"/>
              <w:left w:val="nil"/>
              <w:bottom w:val="single" w:sz="8" w:space="0" w:color="auto"/>
              <w:right w:val="single" w:sz="8" w:space="0" w:color="auto"/>
            </w:tcBorders>
          </w:tcPr>
          <w:p w:rsidR="00C7319A" w:rsidRPr="00F72F89" w:rsidRDefault="00C7319A" w:rsidP="00A67771">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F72F89" w:rsidRDefault="00C7319A" w:rsidP="00A67771">
            <w:pPr>
              <w:jc w:val="center"/>
              <w:rPr>
                <w:rFonts w:eastAsia="MS PGothic" w:cs="Tahoma"/>
                <w:szCs w:val="18"/>
              </w:rPr>
            </w:pPr>
            <w:r>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F72F89" w:rsidRDefault="00C7319A" w:rsidP="00A67771">
            <w:pPr>
              <w:jc w:val="center"/>
              <w:rPr>
                <w:rFonts w:eastAsia="MS PGothic" w:cs="Tahoma"/>
                <w:szCs w:val="18"/>
              </w:rPr>
            </w:pPr>
            <w:r>
              <w:rPr>
                <w:rFonts w:cs="Tahoma"/>
                <w:szCs w:val="18"/>
              </w:rPr>
              <w:t>x</w:t>
            </w:r>
          </w:p>
        </w:tc>
      </w:tr>
      <w:tr w:rsidR="00C7319A" w:rsidTr="00965A6F">
        <w:trPr>
          <w:trHeight w:val="255"/>
        </w:trPr>
        <w:tc>
          <w:tcPr>
            <w:tcW w:w="299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C7319A" w:rsidRPr="00F72F89" w:rsidRDefault="00C7319A" w:rsidP="00A67771">
            <w:pPr>
              <w:rPr>
                <w:rFonts w:cs="Tahoma"/>
                <w:b/>
                <w:bCs/>
                <w:szCs w:val="18"/>
              </w:rPr>
            </w:pPr>
            <w:r>
              <w:rPr>
                <w:rFonts w:cs="Tahoma"/>
                <w:b/>
                <w:bCs/>
                <w:szCs w:val="18"/>
              </w:rPr>
              <w:t>Office Personal 2013</w:t>
            </w:r>
          </w:p>
        </w:tc>
        <w:tc>
          <w:tcPr>
            <w:tcW w:w="133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F72F89" w:rsidRDefault="00C7319A" w:rsidP="00A67771">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C7319A" w:rsidRPr="00F72F89" w:rsidRDefault="00C7319A" w:rsidP="00A67771">
            <w:pPr>
              <w:jc w:val="center"/>
              <w:rPr>
                <w:rFonts w:eastAsia="MS PGothic" w:cs="Tahoma"/>
                <w:color w:val="000000"/>
                <w:szCs w:val="18"/>
              </w:rPr>
            </w:pPr>
            <w:r>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F72F89" w:rsidRDefault="00C7319A" w:rsidP="00A67771">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F72F89" w:rsidRDefault="00C7319A" w:rsidP="00A67771">
            <w:pPr>
              <w:rPr>
                <w:rFonts w:eastAsia="Times New Roman" w:cs="Tahoma"/>
                <w:szCs w:val="18"/>
              </w:rPr>
            </w:pPr>
          </w:p>
        </w:tc>
      </w:tr>
      <w:tr w:rsidR="00C7319A" w:rsidTr="00965A6F">
        <w:trPr>
          <w:trHeight w:val="255"/>
        </w:trPr>
        <w:tc>
          <w:tcPr>
            <w:tcW w:w="299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C7319A" w:rsidRPr="00F72F89" w:rsidRDefault="00C7319A" w:rsidP="00A67771">
            <w:pPr>
              <w:rPr>
                <w:rFonts w:cs="Tahoma"/>
                <w:b/>
                <w:bCs/>
                <w:szCs w:val="18"/>
              </w:rPr>
            </w:pPr>
            <w:r>
              <w:rPr>
                <w:rFonts w:cs="Tahoma"/>
                <w:b/>
                <w:bCs/>
                <w:szCs w:val="18"/>
              </w:rPr>
              <w:t>Office Home &amp; Business 2013</w:t>
            </w:r>
          </w:p>
        </w:tc>
        <w:tc>
          <w:tcPr>
            <w:tcW w:w="133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F72F89" w:rsidRDefault="00C7319A" w:rsidP="00A67771">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C7319A" w:rsidRPr="00F72F89" w:rsidRDefault="00C7319A" w:rsidP="00A67771">
            <w:pPr>
              <w:jc w:val="center"/>
              <w:rPr>
                <w:rFonts w:eastAsia="MS PGothic" w:cs="Tahoma"/>
                <w:color w:val="000000"/>
                <w:szCs w:val="18"/>
              </w:rPr>
            </w:pPr>
            <w:r>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F72F89" w:rsidRDefault="00C7319A" w:rsidP="00A67771">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F72F89" w:rsidRDefault="00C7319A" w:rsidP="00A67771">
            <w:pPr>
              <w:rPr>
                <w:rFonts w:eastAsia="Times New Roman" w:cs="Tahoma"/>
                <w:szCs w:val="18"/>
              </w:rPr>
            </w:pPr>
          </w:p>
        </w:tc>
      </w:tr>
      <w:tr w:rsidR="00C7319A" w:rsidTr="00965A6F">
        <w:trPr>
          <w:trHeight w:val="255"/>
        </w:trPr>
        <w:tc>
          <w:tcPr>
            <w:tcW w:w="299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C7319A" w:rsidRPr="00F72F89" w:rsidRDefault="00C7319A" w:rsidP="00A67771">
            <w:pPr>
              <w:rPr>
                <w:rFonts w:cs="Tahoma"/>
                <w:b/>
                <w:bCs/>
                <w:szCs w:val="18"/>
              </w:rPr>
            </w:pPr>
            <w:r>
              <w:rPr>
                <w:rFonts w:cs="Tahoma"/>
                <w:b/>
                <w:bCs/>
                <w:szCs w:val="18"/>
              </w:rPr>
              <w:t>Office Professional 2013</w:t>
            </w:r>
          </w:p>
        </w:tc>
        <w:tc>
          <w:tcPr>
            <w:tcW w:w="133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C4660F" w:rsidRDefault="00C7319A" w:rsidP="00A67771">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C7319A" w:rsidRPr="00C4660F" w:rsidRDefault="00C7319A" w:rsidP="00A67771">
            <w:pPr>
              <w:jc w:val="center"/>
              <w:rPr>
                <w:rFonts w:eastAsia="MS PGothic" w:cs="Tahoma"/>
                <w:color w:val="000000" w:themeColor="text1"/>
                <w:szCs w:val="18"/>
              </w:rPr>
            </w:pPr>
            <w:r>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C4660F" w:rsidRDefault="00C7319A" w:rsidP="00A67771">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C4660F" w:rsidRDefault="00C7319A" w:rsidP="00A67771">
            <w:pPr>
              <w:rPr>
                <w:rFonts w:eastAsia="Times New Roman" w:cs="Tahoma"/>
                <w:color w:val="000000" w:themeColor="text1"/>
                <w:szCs w:val="18"/>
              </w:rPr>
            </w:pPr>
          </w:p>
        </w:tc>
      </w:tr>
    </w:tbl>
    <w:p w:rsidR="00C7319A" w:rsidRPr="0062435A" w:rsidRDefault="00C7319A" w:rsidP="00C7319A"/>
    <w:p w:rsidR="00C7319A" w:rsidRPr="009123CB" w:rsidRDefault="00C7319A" w:rsidP="00C7319A">
      <w:pPr>
        <w:ind w:left="720"/>
        <w:rPr>
          <w:lang w:val="de-DE"/>
        </w:rPr>
      </w:pPr>
      <w:r w:rsidRPr="009123CB">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w:t>
      </w:r>
      <w:r w:rsidR="006257A7">
        <w:rPr>
          <w:rFonts w:cs="Tahoma"/>
          <w:color w:val="000000"/>
          <w:szCs w:val="18"/>
          <w:lang w:val="de-DE"/>
        </w:rPr>
        <w:t xml:space="preserve">. </w:t>
      </w:r>
      <w:r w:rsidRPr="009123CB">
        <w:rPr>
          <w:rFonts w:cs="Tahoma"/>
          <w:color w:val="000000"/>
          <w:szCs w:val="18"/>
          <w:lang w:val="de-DE"/>
        </w:rPr>
        <w:t>Die Vermietungsrechtelizenz ist keine Step Up-Lizenz für eine höhere Edition des Produktes</w:t>
      </w:r>
      <w:r w:rsidR="006257A7">
        <w:rPr>
          <w:rFonts w:cs="Tahoma"/>
          <w:color w:val="000000"/>
          <w:szCs w:val="18"/>
          <w:lang w:val="de-DE"/>
        </w:rPr>
        <w:t xml:space="preserve">. </w:t>
      </w:r>
    </w:p>
    <w:p w:rsidR="00C7319A" w:rsidRPr="009123CB" w:rsidRDefault="00C7319A" w:rsidP="00C7319A">
      <w:pPr>
        <w:ind w:left="720"/>
        <w:rPr>
          <w:lang w:val="de-DE"/>
        </w:rPr>
      </w:pPr>
    </w:p>
    <w:p w:rsidR="00C7319A" w:rsidRPr="009123CB" w:rsidRDefault="00C7319A" w:rsidP="00C7319A">
      <w:pPr>
        <w:spacing w:after="60"/>
        <w:ind w:left="720"/>
        <w:rPr>
          <w:lang w:val="de-DE"/>
        </w:rPr>
      </w:pPr>
      <w:r w:rsidRPr="009123CB">
        <w:rPr>
          <w:rFonts w:cs="Tahoma"/>
          <w:b/>
          <w:lang w:val="de-DE"/>
        </w:rPr>
        <w:t>Software Assurance-Ausnahme</w:t>
      </w:r>
    </w:p>
    <w:p w:rsidR="00C7319A" w:rsidRPr="009123CB" w:rsidRDefault="00C7319A" w:rsidP="00C7319A">
      <w:pPr>
        <w:ind w:left="720"/>
        <w:rPr>
          <w:lang w:val="de-DE"/>
        </w:rPr>
      </w:pPr>
      <w:r w:rsidRPr="009123CB">
        <w:rPr>
          <w:rFonts w:cs="Tahoma"/>
          <w:color w:val="000000"/>
          <w:szCs w:val="18"/>
          <w:lang w:val="de-DE"/>
        </w:rPr>
        <w:t>Kunden, die Vermietungsrechtelizenzen erwerben, sind nicht berechtigt, Software Assurance für die Vermietungsrechtelizenzen oder die zugrunde liegenden qualifizierenden Softwarelizenzen abzuschließen</w:t>
      </w:r>
      <w:r w:rsidR="006257A7">
        <w:rPr>
          <w:rFonts w:cs="Tahoma"/>
          <w:color w:val="000000"/>
          <w:szCs w:val="18"/>
          <w:lang w:val="de-DE"/>
        </w:rPr>
        <w:t xml:space="preserve">. </w:t>
      </w:r>
    </w:p>
    <w:p w:rsidR="00C7319A" w:rsidRPr="009123CB" w:rsidRDefault="00C7319A" w:rsidP="00C7319A">
      <w:pPr>
        <w:rPr>
          <w:lang w:val="de-DE"/>
        </w:rPr>
      </w:pPr>
    </w:p>
    <w:p w:rsidR="00C7319A" w:rsidRPr="009123CB" w:rsidRDefault="00C7319A" w:rsidP="00C7319A">
      <w:pPr>
        <w:rPr>
          <w:lang w:val="de-DE"/>
        </w:rPr>
      </w:pPr>
    </w:p>
    <w:p w:rsidR="00C7319A" w:rsidRPr="009123CB" w:rsidRDefault="00C7319A" w:rsidP="00C7319A">
      <w:pPr>
        <w:pStyle w:val="Heading3"/>
        <w:rPr>
          <w:lang w:val="de-DE"/>
        </w:rPr>
      </w:pPr>
      <w:bookmarkStart w:id="1059" w:name="_15_Visio_Professional"/>
      <w:bookmarkStart w:id="1060" w:name="_17_Visio_Professional"/>
      <w:bookmarkStart w:id="1061" w:name="_18_Visio_Professional"/>
      <w:bookmarkStart w:id="1062" w:name="_Toc363999013"/>
      <w:bookmarkEnd w:id="1059"/>
      <w:bookmarkEnd w:id="1060"/>
      <w:bookmarkEnd w:id="1061"/>
      <w:r w:rsidRPr="009123CB">
        <w:rPr>
          <w:rFonts w:ascii="Tahoma" w:hAnsi="Tahoma"/>
          <w:caps/>
          <w:color w:val="F66400"/>
          <w:sz w:val="22"/>
          <w:vertAlign w:val="superscript"/>
          <w:lang w:val="de-DE"/>
        </w:rPr>
        <w:t>18</w:t>
      </w:r>
      <w:r w:rsidRPr="009123CB">
        <w:rPr>
          <w:rFonts w:ascii="Tahoma" w:hAnsi="Tahoma"/>
          <w:color w:val="F66400"/>
          <w:sz w:val="22"/>
          <w:lang w:val="de-DE"/>
        </w:rPr>
        <w:t xml:space="preserve"> Visio Professional 2013</w:t>
      </w:r>
      <w:bookmarkEnd w:id="1062"/>
    </w:p>
    <w:p w:rsidR="00C7319A" w:rsidRPr="009123CB" w:rsidRDefault="00C7319A" w:rsidP="00C7319A">
      <w:pPr>
        <w:rPr>
          <w:lang w:val="de-DE"/>
        </w:rPr>
      </w:pPr>
    </w:p>
    <w:p w:rsidR="00C7319A" w:rsidRPr="009123CB" w:rsidRDefault="00C7319A" w:rsidP="00C7319A">
      <w:pPr>
        <w:spacing w:after="60"/>
        <w:ind w:left="720"/>
        <w:rPr>
          <w:lang w:val="de-DE"/>
        </w:rPr>
      </w:pPr>
      <w:r w:rsidRPr="009123CB">
        <w:rPr>
          <w:rFonts w:cs="Tahoma"/>
          <w:b/>
          <w:lang w:val="de-DE"/>
        </w:rPr>
        <w:t xml:space="preserve">Software Assurance-Migrationspfad für </w:t>
      </w:r>
      <w:bookmarkStart w:id="1063" w:name="Srv_11VisioPremium2010"/>
      <w:bookmarkStart w:id="1064" w:name="Aps_11VisioPremium2010"/>
      <w:bookmarkStart w:id="1065" w:name="_Toc336338274"/>
      <w:bookmarkStart w:id="1066" w:name="Srv_VisioPremium2010"/>
      <w:r w:rsidRPr="009123CB">
        <w:rPr>
          <w:rFonts w:cs="Tahoma"/>
          <w:b/>
          <w:lang w:val="de-DE"/>
        </w:rPr>
        <w:t>Visio Premium 2010</w:t>
      </w:r>
      <w:bookmarkEnd w:id="1063"/>
      <w:bookmarkEnd w:id="1064"/>
      <w:bookmarkEnd w:id="1065"/>
    </w:p>
    <w:bookmarkEnd w:id="1066"/>
    <w:p w:rsidR="00C7319A" w:rsidRPr="009123CB" w:rsidRDefault="00C7319A" w:rsidP="00965A6F">
      <w:pPr>
        <w:pStyle w:val="FootnoteBulletLevel1"/>
        <w:spacing w:before="0" w:after="0"/>
        <w:ind w:left="720" w:firstLine="0"/>
        <w:rPr>
          <w:lang w:val="de-DE"/>
        </w:rPr>
      </w:pPr>
      <w:r w:rsidRPr="009123CB">
        <w:rPr>
          <w:rFonts w:ascii="Tahoma" w:hAnsi="Tahoma" w:cs="Tahoma"/>
          <w:sz w:val="18"/>
          <w:lang w:val="de-DE"/>
        </w:rPr>
        <w:t>Kunden, die zum Verfügbarkeitsdatum des Downloads für Visio Premium 2013 über aktive Software Assurance für Visio Professional 2010 verfügen, sind berechtigt, Visio Professional 2013 anstelle von Visio</w:t>
      </w:r>
      <w:r w:rsidR="00965A6F">
        <w:rPr>
          <w:rFonts w:ascii="Tahoma" w:hAnsi="Tahoma" w:cs="Tahoma"/>
          <w:sz w:val="18"/>
          <w:lang w:val="de-DE"/>
        </w:rPr>
        <w:t> </w:t>
      </w:r>
      <w:r w:rsidRPr="009123CB">
        <w:rPr>
          <w:rFonts w:ascii="Tahoma" w:hAnsi="Tahoma" w:cs="Tahoma"/>
          <w:sz w:val="18"/>
          <w:lang w:val="de-DE"/>
        </w:rPr>
        <w:t>Premium 2010 zu nutzen</w:t>
      </w:r>
      <w:r w:rsidR="006257A7">
        <w:rPr>
          <w:rFonts w:ascii="Tahoma" w:hAnsi="Tahoma" w:cs="Tahoma"/>
          <w:sz w:val="18"/>
          <w:lang w:val="de-DE"/>
        </w:rPr>
        <w:t xml:space="preserve">. </w:t>
      </w:r>
      <w:r w:rsidRPr="009123CB">
        <w:rPr>
          <w:rFonts w:ascii="Tahoma" w:hAnsi="Tahoma" w:cs="Tahoma"/>
          <w:sz w:val="18"/>
          <w:lang w:val="de-DE"/>
        </w:rPr>
        <w:t>Das Recht zur Nutzung von Visio Professional 2013 im Rahmen dieses Angebots gilt bis zum Ablauf des Rechts zur Nutzung von Visio Premium 2010 gemäß den qualifizierenden Lizenzen</w:t>
      </w:r>
      <w:r w:rsidR="006257A7">
        <w:rPr>
          <w:rFonts w:ascii="Tahoma" w:hAnsi="Tahoma" w:cs="Tahoma"/>
          <w:sz w:val="18"/>
          <w:lang w:val="de-DE"/>
        </w:rPr>
        <w:t xml:space="preserve">. </w:t>
      </w:r>
      <w:r w:rsidRPr="009123CB">
        <w:rPr>
          <w:rFonts w:ascii="Tahoma" w:hAnsi="Tahoma" w:cs="Tahoma"/>
          <w:sz w:val="18"/>
          <w:lang w:val="de-DE"/>
        </w:rPr>
        <w:t>Die Nutzung von Visio Professional 2013 unterliegt den Nutzungsrechten für Visio Professional 2013 sowie den Bestimmungen des Volumenlizenzvertrages des Kunden</w:t>
      </w:r>
      <w:r w:rsidR="006257A7">
        <w:rPr>
          <w:rFonts w:ascii="Tahoma" w:hAnsi="Tahoma" w:cs="Tahoma"/>
          <w:sz w:val="18"/>
          <w:lang w:val="de-DE"/>
        </w:rPr>
        <w:t xml:space="preserve">. </w:t>
      </w:r>
      <w:r w:rsidRPr="009123CB">
        <w:rPr>
          <w:rFonts w:ascii="Tahoma" w:hAnsi="Tahoma" w:cs="Tahoma"/>
          <w:sz w:val="18"/>
          <w:lang w:val="de-DE"/>
        </w:rPr>
        <w:t>Dieser Hinweis auf die Produktbedingungen belegt gemeinsam mit dem Nachweis des Kunden der entsprechenden qualifizierenden</w:t>
      </w:r>
      <w:r w:rsidR="00965A6F">
        <w:rPr>
          <w:rFonts w:ascii="Tahoma" w:hAnsi="Tahoma" w:cs="Tahoma"/>
          <w:sz w:val="18"/>
          <w:lang w:val="de-DE"/>
        </w:rPr>
        <w:t> </w:t>
      </w:r>
      <w:r w:rsidRPr="009123CB">
        <w:rPr>
          <w:rFonts w:ascii="Tahoma" w:hAnsi="Tahoma" w:cs="Tahoma"/>
          <w:sz w:val="18"/>
          <w:lang w:val="de-DE"/>
        </w:rPr>
        <w:t>Lizenz das Recht, Visio Professional 2013 im Rahmen dieses Angebots zu nutzen</w:t>
      </w:r>
      <w:r w:rsidR="006257A7">
        <w:rPr>
          <w:rFonts w:ascii="Tahoma" w:hAnsi="Tahoma" w:cs="Tahoma"/>
          <w:sz w:val="18"/>
          <w:lang w:val="de-DE"/>
        </w:rPr>
        <w:t xml:space="preserve">. </w:t>
      </w:r>
      <w:r w:rsidRPr="009123CB">
        <w:rPr>
          <w:rFonts w:ascii="Tahoma" w:hAnsi="Tahoma" w:cs="Tahoma"/>
          <w:sz w:val="18"/>
          <w:lang w:val="de-DE"/>
        </w:rPr>
        <w:t>Nach</w:t>
      </w:r>
      <w:r w:rsidR="00965A6F">
        <w:rPr>
          <w:rFonts w:ascii="Tahoma" w:hAnsi="Tahoma" w:cs="Tahoma"/>
          <w:sz w:val="18"/>
          <w:lang w:val="de-DE"/>
        </w:rPr>
        <w:t> </w:t>
      </w:r>
      <w:r w:rsidRPr="009123CB">
        <w:rPr>
          <w:rFonts w:ascii="Tahoma" w:hAnsi="Tahoma" w:cs="Tahoma"/>
          <w:sz w:val="18"/>
          <w:lang w:val="de-DE"/>
        </w:rPr>
        <w:t>Ablauf von Software Assurance für Visio Premium 2010 kann der Kunde Software Assurance für Visio</w:t>
      </w:r>
      <w:r w:rsidR="00965A6F">
        <w:rPr>
          <w:rFonts w:ascii="Tahoma" w:hAnsi="Tahoma" w:cs="Tahoma"/>
          <w:sz w:val="18"/>
          <w:lang w:val="de-DE"/>
        </w:rPr>
        <w:t> </w:t>
      </w:r>
      <w:r w:rsidRPr="009123CB">
        <w:rPr>
          <w:rFonts w:ascii="Tahoma" w:hAnsi="Tahoma" w:cs="Tahoma"/>
          <w:sz w:val="18"/>
          <w:lang w:val="de-DE"/>
        </w:rPr>
        <w:t>Professional 2013 erwerben, ohne separat eine neue Lizenz erwerben zu müssen</w:t>
      </w:r>
      <w:r w:rsidR="006257A7">
        <w:rPr>
          <w:rFonts w:ascii="Tahoma" w:hAnsi="Tahoma" w:cs="Tahoma"/>
          <w:sz w:val="18"/>
          <w:lang w:val="de-DE"/>
        </w:rPr>
        <w:t xml:space="preserve">. </w:t>
      </w:r>
    </w:p>
    <w:p w:rsidR="00C7319A" w:rsidRDefault="00C7319A" w:rsidP="00C7319A">
      <w:pPr>
        <w:pStyle w:val="FootnoteBulletLevel1"/>
        <w:spacing w:before="0" w:after="0"/>
        <w:ind w:left="720" w:firstLine="0"/>
        <w:rPr>
          <w:lang w:val="de-DE"/>
        </w:rPr>
      </w:pPr>
    </w:p>
    <w:p w:rsidR="006672FD" w:rsidRDefault="006672FD" w:rsidP="00C7319A">
      <w:pPr>
        <w:pStyle w:val="FootnoteBulletLevel1"/>
        <w:spacing w:before="0" w:after="0"/>
        <w:ind w:left="720" w:firstLine="0"/>
        <w:rPr>
          <w:lang w:val="de-DE"/>
        </w:rPr>
      </w:pPr>
    </w:p>
    <w:p w:rsidR="006672FD" w:rsidRDefault="006672FD" w:rsidP="00C7319A">
      <w:pPr>
        <w:pStyle w:val="FootnoteBulletLevel1"/>
        <w:spacing w:before="0" w:after="0"/>
        <w:ind w:left="720" w:firstLine="0"/>
        <w:rPr>
          <w:lang w:val="de-DE"/>
        </w:rPr>
      </w:pPr>
    </w:p>
    <w:p w:rsidR="006672FD" w:rsidRDefault="006672FD" w:rsidP="00C7319A">
      <w:pPr>
        <w:pStyle w:val="FootnoteBulletLevel1"/>
        <w:spacing w:before="0" w:after="0"/>
        <w:ind w:left="720" w:firstLine="0"/>
        <w:rPr>
          <w:lang w:val="de-DE"/>
        </w:rPr>
      </w:pPr>
    </w:p>
    <w:p w:rsidR="006672FD" w:rsidRPr="009123CB" w:rsidRDefault="006672FD" w:rsidP="00C7319A">
      <w:pPr>
        <w:pStyle w:val="FootnoteBulletLevel1"/>
        <w:spacing w:before="0" w:after="0"/>
        <w:ind w:left="720" w:firstLine="0"/>
        <w:rPr>
          <w:lang w:val="de-DE"/>
        </w:rPr>
      </w:pPr>
    </w:p>
    <w:p w:rsidR="00C7319A" w:rsidRPr="009123CB" w:rsidRDefault="00C7319A" w:rsidP="00C7319A">
      <w:pPr>
        <w:spacing w:after="60"/>
        <w:ind w:left="720"/>
        <w:rPr>
          <w:lang w:val="de-DE"/>
        </w:rPr>
      </w:pPr>
      <w:r w:rsidRPr="009123CB">
        <w:rPr>
          <w:rFonts w:cs="Tahoma"/>
          <w:b/>
          <w:lang w:val="de-DE"/>
        </w:rPr>
        <w:t>Downgraderechte für Visio Professional 2013</w:t>
      </w:r>
    </w:p>
    <w:p w:rsidR="00C7319A" w:rsidRPr="009123CB" w:rsidRDefault="00C7319A" w:rsidP="00C7319A">
      <w:pPr>
        <w:pStyle w:val="FootnoteBulletLevel1"/>
        <w:spacing w:before="0" w:after="0"/>
        <w:ind w:left="720" w:firstLine="0"/>
        <w:rPr>
          <w:lang w:val="de-DE"/>
        </w:rPr>
      </w:pPr>
      <w:r w:rsidRPr="009123CB">
        <w:rPr>
          <w:rFonts w:ascii="Tahoma" w:hAnsi="Tahoma" w:cs="Tahoma"/>
          <w:sz w:val="18"/>
          <w:lang w:val="de-DE"/>
        </w:rPr>
        <w:t>Software Assurance-Kunden, die nur Visio Premium 2010 bereitgestellt haben (d</w:t>
      </w:r>
      <w:r w:rsidR="006257A7">
        <w:rPr>
          <w:rFonts w:ascii="Tahoma" w:hAnsi="Tahoma" w:cs="Tahoma"/>
          <w:sz w:val="18"/>
          <w:lang w:val="de-DE"/>
        </w:rPr>
        <w:t xml:space="preserve">. </w:t>
      </w:r>
      <w:r w:rsidRPr="009123CB">
        <w:rPr>
          <w:rFonts w:ascii="Tahoma" w:hAnsi="Tahoma" w:cs="Tahoma"/>
          <w:sz w:val="18"/>
          <w:lang w:val="de-DE"/>
        </w:rPr>
        <w:t>h</w:t>
      </w:r>
      <w:r w:rsidR="006257A7">
        <w:rPr>
          <w:rFonts w:ascii="Tahoma" w:hAnsi="Tahoma" w:cs="Tahoma"/>
          <w:sz w:val="18"/>
          <w:lang w:val="de-DE"/>
        </w:rPr>
        <w:t xml:space="preserve">. </w:t>
      </w:r>
      <w:r w:rsidRPr="009123CB">
        <w:rPr>
          <w:rFonts w:ascii="Tahoma" w:hAnsi="Tahoma" w:cs="Tahoma"/>
          <w:sz w:val="18"/>
          <w:lang w:val="de-DE"/>
        </w:rPr>
        <w:t>, sie verwenden in ihrer Organisation keine andere Visio-Edition) und zusätzliche Arbeitsplätze mit Visio Premium 2010 benötigen, sind berechtigt, Lizenzen für Visio Professional 2013 zu erwerben und ein Downgrade auf Visio Premium 2010 durchzuführen</w:t>
      </w:r>
      <w:r w:rsidR="006257A7">
        <w:rPr>
          <w:rFonts w:ascii="Tahoma" w:hAnsi="Tahoma" w:cs="Tahoma"/>
          <w:sz w:val="18"/>
          <w:lang w:val="de-DE"/>
        </w:rPr>
        <w:t xml:space="preserve">. </w:t>
      </w:r>
      <w:r w:rsidRPr="009123CB">
        <w:rPr>
          <w:rFonts w:ascii="Tahoma" w:hAnsi="Tahoma" w:cs="Tahoma"/>
          <w:sz w:val="18"/>
          <w:lang w:val="de-DE"/>
        </w:rPr>
        <w:t>Es sind keine anderen Downgrades von Visio Professional 2013 auf Visio Premium 2010 zulässig</w:t>
      </w:r>
      <w:r w:rsidR="006257A7">
        <w:rPr>
          <w:rFonts w:ascii="Tahoma" w:hAnsi="Tahoma" w:cs="Tahoma"/>
          <w:sz w:val="18"/>
          <w:lang w:val="de-DE"/>
        </w:rPr>
        <w:t xml:space="preserve">. </w:t>
      </w:r>
    </w:p>
    <w:p w:rsidR="00C7319A" w:rsidRPr="009123CB" w:rsidRDefault="00C7319A" w:rsidP="00C7319A">
      <w:pPr>
        <w:rPr>
          <w:lang w:val="de-DE"/>
        </w:rPr>
      </w:pPr>
    </w:p>
    <w:p w:rsidR="00C7319A" w:rsidRPr="009123CB" w:rsidRDefault="00C7319A" w:rsidP="00C7319A">
      <w:pPr>
        <w:rPr>
          <w:lang w:val="de-DE"/>
        </w:rPr>
      </w:pPr>
    </w:p>
    <w:p w:rsidR="00C7319A" w:rsidRPr="009123CB" w:rsidRDefault="00C7319A" w:rsidP="00C7319A">
      <w:pPr>
        <w:pStyle w:val="Heading3"/>
        <w:rPr>
          <w:lang w:val="de-DE"/>
        </w:rPr>
      </w:pPr>
      <w:bookmarkStart w:id="1067" w:name="_18_Visio_Pro"/>
      <w:bookmarkStart w:id="1068" w:name="_19_Visio_Pro"/>
      <w:bookmarkStart w:id="1069" w:name="_Toc363999014"/>
      <w:bookmarkEnd w:id="1067"/>
      <w:bookmarkEnd w:id="1068"/>
      <w:r w:rsidRPr="009123CB">
        <w:rPr>
          <w:rFonts w:ascii="Tahoma" w:hAnsi="Tahoma"/>
          <w:caps/>
          <w:color w:val="F66400"/>
          <w:sz w:val="22"/>
          <w:vertAlign w:val="superscript"/>
          <w:lang w:val="de-DE"/>
        </w:rPr>
        <w:t>19</w:t>
      </w:r>
      <w:r w:rsidRPr="009123CB">
        <w:rPr>
          <w:rFonts w:ascii="Tahoma" w:hAnsi="Tahoma"/>
          <w:color w:val="F66400"/>
          <w:sz w:val="22"/>
          <w:lang w:val="de-DE"/>
        </w:rPr>
        <w:t xml:space="preserve"> Visio Pro für Office 365</w:t>
      </w:r>
      <w:bookmarkEnd w:id="1069"/>
      <w:r w:rsidRPr="009123CB">
        <w:rPr>
          <w:rFonts w:ascii="Tahoma" w:hAnsi="Tahoma"/>
          <w:color w:val="F66400"/>
          <w:sz w:val="22"/>
          <w:lang w:val="de-DE"/>
        </w:rPr>
        <w:t xml:space="preserve"> </w:t>
      </w:r>
    </w:p>
    <w:p w:rsidR="00C7319A" w:rsidRPr="009123CB" w:rsidRDefault="00C7319A" w:rsidP="00C7319A">
      <w:pPr>
        <w:spacing w:after="60"/>
        <w:ind w:left="720"/>
        <w:rPr>
          <w:lang w:val="de-DE"/>
        </w:rPr>
      </w:pPr>
      <w:r w:rsidRPr="009123CB">
        <w:rPr>
          <w:rFonts w:cs="Tahoma"/>
          <w:b/>
          <w:lang w:val="de-DE"/>
        </w:rPr>
        <w:t>Medienberechtigung mit Remotedesktopdiensten (RDS)</w:t>
      </w:r>
    </w:p>
    <w:p w:rsidR="00C7319A" w:rsidRPr="009123CB" w:rsidRDefault="00C7319A" w:rsidP="006672FD">
      <w:pPr>
        <w:ind w:left="720"/>
        <w:rPr>
          <w:lang w:val="de-DE"/>
        </w:rPr>
      </w:pPr>
      <w:r w:rsidRPr="009123CB">
        <w:rPr>
          <w:rFonts w:cs="Tahoma"/>
          <w:szCs w:val="18"/>
          <w:lang w:val="de-DE"/>
        </w:rPr>
        <w:t>Wenn der Nutzer, dem Sie eine Visio Pro für Office 365-Lizenz zugewiesen haben, die Software bei aktivierter RDS-Rolle auf einem Netzwerkserver nutzt, ist dieser Nutzer berechtigt, 1) eine Kopie der Visio</w:t>
      </w:r>
      <w:r w:rsidR="006672FD">
        <w:rPr>
          <w:rFonts w:cs="Tahoma"/>
          <w:szCs w:val="18"/>
          <w:lang w:val="de-DE"/>
        </w:rPr>
        <w:t> </w:t>
      </w:r>
      <w:r w:rsidRPr="009123CB">
        <w:rPr>
          <w:rFonts w:cs="Tahoma"/>
          <w:szCs w:val="18"/>
          <w:lang w:val="de-DE"/>
        </w:rPr>
        <w:t>2013 Professional-Software auf einem Netzwerkserver zu installieren und 2) auf die Visio 2013 Professional-Software von jedem beliebigen Gerät aus zuzugreifen, anstatt eine Kopie der Software, die mit</w:t>
      </w:r>
      <w:r w:rsidR="006672FD">
        <w:rPr>
          <w:rFonts w:cs="Tahoma"/>
          <w:szCs w:val="18"/>
          <w:lang w:val="de-DE"/>
        </w:rPr>
        <w:t> </w:t>
      </w:r>
      <w:r w:rsidRPr="009123CB">
        <w:rPr>
          <w:rFonts w:cs="Tahoma"/>
          <w:szCs w:val="18"/>
          <w:lang w:val="de-DE"/>
        </w:rPr>
        <w:t>Visio Pro für Office 365 bereitgestellt wurde, auf einem der fünf gemäß den Produktbenutzungsrechten für Visio Pro für Office 365 zulässigen Geräte zu installieren</w:t>
      </w:r>
      <w:r w:rsidR="006257A7">
        <w:rPr>
          <w:rFonts w:cs="Tahoma"/>
          <w:szCs w:val="18"/>
          <w:lang w:val="de-DE"/>
        </w:rPr>
        <w:t xml:space="preserve">. </w:t>
      </w:r>
      <w:r w:rsidRPr="009123CB">
        <w:rPr>
          <w:rFonts w:cs="Tahoma"/>
          <w:szCs w:val="18"/>
          <w:lang w:val="de-DE"/>
        </w:rPr>
        <w:t>Nach Kündigung Ihres Visio Pro für Office 365-Abonnements müssen Sie die Visio 2013 Professional-Software vom Netzwerkserver deinstallieren</w:t>
      </w:r>
      <w:r w:rsidR="006257A7">
        <w:rPr>
          <w:rFonts w:cs="Tahoma"/>
          <w:szCs w:val="18"/>
          <w:lang w:val="de-DE"/>
        </w:rPr>
        <w:t xml:space="preserve">. </w:t>
      </w:r>
    </w:p>
    <w:p w:rsidR="00C7319A" w:rsidRPr="009123CB" w:rsidRDefault="00C7319A" w:rsidP="00C7319A">
      <w:pPr>
        <w:ind w:left="720"/>
        <w:rPr>
          <w:lang w:val="de-DE"/>
        </w:rPr>
      </w:pPr>
    </w:p>
    <w:p w:rsidR="00C7319A" w:rsidRPr="008849B7" w:rsidRDefault="00C7319A" w:rsidP="00C7319A">
      <w:pPr>
        <w:spacing w:after="60"/>
        <w:ind w:left="720"/>
        <w:rPr>
          <w:lang w:val="de-DE"/>
        </w:rPr>
      </w:pPr>
      <w:r w:rsidRPr="008849B7">
        <w:rPr>
          <w:rFonts w:cs="Tahoma"/>
          <w:b/>
          <w:lang w:val="de-DE"/>
        </w:rPr>
        <w:t>Downgraderechte</w:t>
      </w:r>
    </w:p>
    <w:p w:rsidR="00C7319A" w:rsidRPr="009123CB" w:rsidRDefault="00C7319A" w:rsidP="00C7319A">
      <w:pPr>
        <w:ind w:left="720"/>
        <w:rPr>
          <w:lang w:val="de-DE"/>
        </w:rPr>
      </w:pPr>
      <w:r w:rsidRPr="009123CB">
        <w:rPr>
          <w:rFonts w:cs="Tahoma"/>
          <w:bCs/>
          <w:szCs w:val="18"/>
          <w:lang w:val="de-DE"/>
        </w:rPr>
        <w:t>Der Visio Pro für Office 365-Service umfasst keine Downgraderechte</w:t>
      </w:r>
      <w:r w:rsidR="006257A7">
        <w:rPr>
          <w:rFonts w:cs="Tahoma"/>
          <w:bCs/>
          <w:szCs w:val="18"/>
          <w:lang w:val="de-DE"/>
        </w:rPr>
        <w:t xml:space="preserve">. </w:t>
      </w:r>
      <w:r w:rsidRPr="009123CB">
        <w:rPr>
          <w:rFonts w:cs="Tahoma"/>
          <w:bCs/>
          <w:szCs w:val="18"/>
          <w:lang w:val="de-DE"/>
        </w:rPr>
        <w:t xml:space="preserve">Weitere Informationen zu Onlinedienste-Upgradeanforderungen finden Sie in den Produktbenutzungsrechten (PUR) von Microsoft unter </w:t>
      </w:r>
      <w:hyperlink r:id="rId38" w:history="1">
        <w:r w:rsidR="0092112A" w:rsidRPr="006C7619">
          <w:rPr>
            <w:rStyle w:val="Hyperlink"/>
            <w:rFonts w:cs="Tahoma"/>
            <w:bCs/>
            <w:szCs w:val="18"/>
            <w:lang w:val="de-DE"/>
          </w:rPr>
          <w:t>http://www.microsoftvolumelicensing.com/userights/PUR.aspx</w:t>
        </w:r>
      </w:hyperlink>
    </w:p>
    <w:p w:rsidR="00C7319A" w:rsidRPr="009123CB" w:rsidRDefault="00C7319A" w:rsidP="00C7319A">
      <w:pPr>
        <w:rPr>
          <w:lang w:val="de-DE"/>
        </w:rPr>
      </w:pPr>
    </w:p>
    <w:p w:rsidR="00C7319A" w:rsidRPr="009123CB" w:rsidRDefault="00C7319A" w:rsidP="00C7319A">
      <w:pPr>
        <w:rPr>
          <w:lang w:val="de-DE"/>
        </w:rPr>
      </w:pPr>
    </w:p>
    <w:p w:rsidR="00C7319A" w:rsidRPr="009123CB" w:rsidRDefault="00C7319A" w:rsidP="00C7319A">
      <w:pPr>
        <w:pStyle w:val="Heading3"/>
        <w:rPr>
          <w:lang w:val="de-DE"/>
        </w:rPr>
      </w:pPr>
      <w:bookmarkStart w:id="1070" w:name="_19_Visual_Studio"/>
      <w:bookmarkStart w:id="1071" w:name="_Toc336338275"/>
      <w:bookmarkStart w:id="1072" w:name="_Toc363999015"/>
      <w:bookmarkStart w:id="1073" w:name="Aps_12VS2010Professional"/>
      <w:bookmarkStart w:id="1074" w:name="_Toc252341836"/>
      <w:bookmarkEnd w:id="1070"/>
      <w:r w:rsidRPr="009123CB">
        <w:rPr>
          <w:rFonts w:ascii="Tahoma" w:hAnsi="Tahoma"/>
          <w:caps/>
          <w:color w:val="F66400"/>
          <w:sz w:val="22"/>
          <w:vertAlign w:val="superscript"/>
          <w:lang w:val="de-DE"/>
        </w:rPr>
        <w:t>20</w:t>
      </w:r>
      <w:r w:rsidRPr="009123CB">
        <w:rPr>
          <w:rFonts w:ascii="Tahoma" w:hAnsi="Tahoma"/>
          <w:color w:val="F66400"/>
          <w:sz w:val="22"/>
          <w:lang w:val="de-DE"/>
        </w:rPr>
        <w:t xml:space="preserve"> Visual Studio Professional 2012</w:t>
      </w:r>
      <w:bookmarkEnd w:id="1071"/>
      <w:bookmarkEnd w:id="1072"/>
    </w:p>
    <w:bookmarkEnd w:id="1073"/>
    <w:p w:rsidR="00C7319A" w:rsidRPr="009123CB" w:rsidRDefault="00C7319A" w:rsidP="00C7319A">
      <w:pPr>
        <w:pStyle w:val="FootnoteBulletLevel1"/>
        <w:tabs>
          <w:tab w:val="clear" w:pos="900"/>
        </w:tabs>
        <w:spacing w:before="0" w:after="0"/>
        <w:ind w:left="0" w:firstLine="0"/>
        <w:rPr>
          <w:lang w:val="de-DE"/>
        </w:rPr>
      </w:pPr>
    </w:p>
    <w:p w:rsidR="00C7319A" w:rsidRPr="009123CB" w:rsidRDefault="00C7319A" w:rsidP="00C7319A">
      <w:pPr>
        <w:spacing w:after="60"/>
        <w:ind w:left="720"/>
        <w:rPr>
          <w:lang w:val="de-DE"/>
        </w:rPr>
      </w:pPr>
      <w:r w:rsidRPr="009123CB">
        <w:rPr>
          <w:rFonts w:cs="Tahoma"/>
          <w:b/>
          <w:lang w:val="de-DE"/>
        </w:rPr>
        <w:t>Software Assurance-Migrationspfad für Visual Studio LightSwitch 2011</w:t>
      </w:r>
    </w:p>
    <w:p w:rsidR="00C7319A" w:rsidRPr="009123CB" w:rsidRDefault="00C7319A" w:rsidP="00C7319A">
      <w:pPr>
        <w:pStyle w:val="FootnoteBulletLevel1"/>
        <w:tabs>
          <w:tab w:val="clear" w:pos="900"/>
        </w:tabs>
        <w:spacing w:before="0" w:after="0"/>
        <w:ind w:left="720" w:firstLine="0"/>
        <w:rPr>
          <w:lang w:val="de-DE"/>
        </w:rPr>
      </w:pPr>
      <w:r w:rsidRPr="009123CB">
        <w:rPr>
          <w:rFonts w:ascii="Tahoma" w:hAnsi="Tahoma" w:cs="Tahoma"/>
          <w:sz w:val="18"/>
          <w:lang w:val="de-DE"/>
        </w:rPr>
        <w:t>Kunden, die zum Verfügbarkeitsdatum des Downloads für Visual Studio Professional 2012 über aktive Software Assurance für Visual Studio LightSwitch 2011 verfügen, sind berechtigt, Visual Studio Professional 2012 zu nutzen</w:t>
      </w:r>
      <w:r w:rsidR="006257A7">
        <w:rPr>
          <w:rFonts w:ascii="Tahoma" w:hAnsi="Tahoma" w:cs="Tahoma"/>
          <w:sz w:val="18"/>
          <w:lang w:val="de-DE"/>
        </w:rPr>
        <w:t xml:space="preserve">. </w:t>
      </w:r>
      <w:r w:rsidRPr="009123CB">
        <w:rPr>
          <w:rFonts w:ascii="Tahoma" w:hAnsi="Tahoma" w:cs="Tahoma"/>
          <w:sz w:val="18"/>
          <w:lang w:val="de-DE"/>
        </w:rPr>
        <w:t>Das Recht zur Nutzung von Visual Studio Professional 2012 im Rahmen dieses Angebots gilt bis zum Ablauf des Rechts zur Nutzung von Visual Studio LightSwitch 2011 gemäß den qualifizierenden Lizenzen</w:t>
      </w:r>
      <w:r w:rsidR="006257A7">
        <w:rPr>
          <w:rFonts w:ascii="Tahoma" w:hAnsi="Tahoma" w:cs="Tahoma"/>
          <w:sz w:val="18"/>
          <w:lang w:val="de-DE"/>
        </w:rPr>
        <w:t xml:space="preserve">. </w:t>
      </w:r>
      <w:r w:rsidRPr="009123CB">
        <w:rPr>
          <w:rFonts w:ascii="Tahoma" w:hAnsi="Tahoma" w:cs="Tahoma"/>
          <w:sz w:val="18"/>
          <w:lang w:val="de-DE"/>
        </w:rPr>
        <w:t>Die Nutzung von Visual Studio Professional 2012 unterliegt den Nutzungsrechten für Visual Studio Professional 2012 sowie den Bestimmungen des Volumenlizenzvertrages des Kunden</w:t>
      </w:r>
      <w:r w:rsidR="006257A7">
        <w:rPr>
          <w:rFonts w:ascii="Tahoma" w:hAnsi="Tahoma" w:cs="Tahoma"/>
          <w:sz w:val="18"/>
          <w:lang w:val="de-DE"/>
        </w:rPr>
        <w:t xml:space="preserve">. </w:t>
      </w:r>
      <w:r w:rsidRPr="009123CB">
        <w:rPr>
          <w:rFonts w:ascii="Tahoma" w:hAnsi="Tahoma" w:cs="Tahoma"/>
          <w:sz w:val="18"/>
          <w:lang w:val="de-DE"/>
        </w:rPr>
        <w:t>Dieser Hinweis auf die Produktbedingungen belegt gemeinsam mit dem Nachweis des Kunden der entsprechenden qualifizierenden Lizenz das Recht, Visual Studio Professional 2012 im Rahmen dieses Angebots zu nutzen</w:t>
      </w:r>
      <w:r w:rsidR="006257A7">
        <w:rPr>
          <w:rFonts w:ascii="Tahoma" w:hAnsi="Tahoma" w:cs="Tahoma"/>
          <w:sz w:val="18"/>
          <w:lang w:val="de-DE"/>
        </w:rPr>
        <w:t xml:space="preserve">. </w:t>
      </w:r>
    </w:p>
    <w:p w:rsidR="00C7319A" w:rsidRPr="009123CB" w:rsidRDefault="00C7319A" w:rsidP="00C7319A">
      <w:pPr>
        <w:rPr>
          <w:lang w:val="de-DE"/>
        </w:rPr>
      </w:pPr>
    </w:p>
    <w:p w:rsidR="00C7319A" w:rsidRPr="009123CB" w:rsidRDefault="00C7319A" w:rsidP="00C7319A">
      <w:pPr>
        <w:spacing w:after="60"/>
        <w:ind w:left="720"/>
        <w:rPr>
          <w:lang w:val="de-DE"/>
        </w:rPr>
      </w:pPr>
      <w:r w:rsidRPr="009123CB">
        <w:rPr>
          <w:b/>
          <w:bCs/>
          <w:lang w:val="de-DE"/>
        </w:rPr>
        <w:t>Software Assurance-Migrationspfad für Expression Studio Ultimate 4</w:t>
      </w:r>
    </w:p>
    <w:p w:rsidR="00C7319A" w:rsidRPr="009123CB" w:rsidRDefault="00C7319A" w:rsidP="006672FD">
      <w:pPr>
        <w:ind w:left="720"/>
        <w:rPr>
          <w:lang w:val="de-DE"/>
        </w:rPr>
      </w:pPr>
      <w:r w:rsidRPr="009123CB">
        <w:rPr>
          <w:lang w:val="de-DE"/>
        </w:rPr>
        <w:t>Kunden, die zum 01</w:t>
      </w:r>
      <w:r w:rsidR="006257A7">
        <w:rPr>
          <w:lang w:val="de-DE"/>
        </w:rPr>
        <w:t xml:space="preserve">. </w:t>
      </w:r>
      <w:r w:rsidRPr="009123CB">
        <w:rPr>
          <w:lang w:val="de-DE"/>
        </w:rPr>
        <w:t>März 2013 über aktive Software Assurance für Expression Studio Ultimate 4 verfügen, sind berechtigt, Visual Studio Professional 2012 zu nutzen</w:t>
      </w:r>
      <w:r w:rsidR="006257A7">
        <w:rPr>
          <w:lang w:val="de-DE"/>
        </w:rPr>
        <w:t xml:space="preserve">. </w:t>
      </w:r>
      <w:r w:rsidRPr="009123CB">
        <w:rPr>
          <w:lang w:val="de-DE"/>
        </w:rPr>
        <w:t>Das Recht zur Nutzung von Visual Studio Professional 2012 gilt bis zum Ablauf des Rechts zur Nutzung von Expression Studio Ultimate 4 gemäß den qualifizierenden Lizenzen</w:t>
      </w:r>
      <w:r w:rsidR="006257A7">
        <w:rPr>
          <w:lang w:val="de-DE"/>
        </w:rPr>
        <w:t xml:space="preserve">. </w:t>
      </w:r>
      <w:r w:rsidRPr="009123CB">
        <w:rPr>
          <w:lang w:val="de-DE"/>
        </w:rPr>
        <w:t>Die Nutzung von Visual Studio Professional 2012 unterliegt den Nutzungsrechten für Visual Studio Professional 2012 sowie den Bestimmungen des Volumenlizenzvertrages des Kunden</w:t>
      </w:r>
      <w:r w:rsidR="006257A7">
        <w:rPr>
          <w:lang w:val="de-DE"/>
        </w:rPr>
        <w:t xml:space="preserve">. </w:t>
      </w:r>
      <w:r w:rsidRPr="009123CB">
        <w:rPr>
          <w:lang w:val="de-DE"/>
        </w:rPr>
        <w:t>Dieser Hinweis auf die Produktbedingungen belegt gemeinsam mit dem Nachweis des Kunden der</w:t>
      </w:r>
      <w:r w:rsidR="006672FD">
        <w:rPr>
          <w:lang w:val="de-DE"/>
        </w:rPr>
        <w:t> </w:t>
      </w:r>
      <w:r w:rsidRPr="009123CB">
        <w:rPr>
          <w:lang w:val="de-DE"/>
        </w:rPr>
        <w:t>entsprechenden qualifizierenden Lizenz das Recht, Visual Studio Professional 2012 im Rahmen dieses Angebots zu nutzen</w:t>
      </w:r>
      <w:r w:rsidR="006257A7">
        <w:rPr>
          <w:lang w:val="de-DE"/>
        </w:rPr>
        <w:t xml:space="preserve">. </w:t>
      </w:r>
    </w:p>
    <w:p w:rsidR="00C7319A" w:rsidRPr="009123CB" w:rsidRDefault="00C7319A" w:rsidP="00C7319A">
      <w:pPr>
        <w:rPr>
          <w:lang w:val="de-DE"/>
        </w:rPr>
      </w:pPr>
    </w:p>
    <w:p w:rsidR="00C7319A" w:rsidRPr="009123CB" w:rsidRDefault="00C7319A" w:rsidP="00C7319A">
      <w:pPr>
        <w:rPr>
          <w:lang w:val="de-DE"/>
        </w:rPr>
      </w:pPr>
    </w:p>
    <w:p w:rsidR="00C7319A" w:rsidRPr="0062435A" w:rsidRDefault="00C7319A" w:rsidP="00C7319A">
      <w:pPr>
        <w:pStyle w:val="Heading3"/>
      </w:pPr>
      <w:bookmarkStart w:id="1075" w:name="_20_Visual_Studio"/>
      <w:bookmarkStart w:id="1076" w:name="_Toc336338276"/>
      <w:bookmarkStart w:id="1077" w:name="_Toc363999016"/>
      <w:bookmarkStart w:id="1078" w:name="Aps_13VS2010ProfessionalMSDN"/>
      <w:bookmarkEnd w:id="1075"/>
      <w:r>
        <w:rPr>
          <w:rFonts w:ascii="Tahoma" w:hAnsi="Tahoma"/>
          <w:caps/>
          <w:color w:val="F66400"/>
          <w:sz w:val="22"/>
          <w:vertAlign w:val="superscript"/>
        </w:rPr>
        <w:t>21</w:t>
      </w:r>
      <w:r>
        <w:rPr>
          <w:rFonts w:ascii="Tahoma" w:hAnsi="Tahoma"/>
          <w:color w:val="F66400"/>
          <w:sz w:val="22"/>
        </w:rPr>
        <w:t xml:space="preserve"> Visual Studio Professional 2012 mit MSDN</w:t>
      </w:r>
      <w:bookmarkEnd w:id="1076"/>
      <w:bookmarkEnd w:id="1077"/>
      <w:r>
        <w:rPr>
          <w:rFonts w:ascii="Tahoma" w:hAnsi="Tahoma"/>
          <w:color w:val="F66400"/>
          <w:sz w:val="22"/>
        </w:rPr>
        <w:t xml:space="preserve"> </w:t>
      </w:r>
      <w:bookmarkEnd w:id="1074"/>
    </w:p>
    <w:p w:rsidR="00C7319A" w:rsidRPr="0062435A" w:rsidRDefault="00C7319A" w:rsidP="00C7319A">
      <w:pPr>
        <w:ind w:left="720"/>
      </w:pPr>
    </w:p>
    <w:bookmarkEnd w:id="1078"/>
    <w:p w:rsidR="00C7319A" w:rsidRPr="0062435A" w:rsidRDefault="00C7319A" w:rsidP="00C7319A">
      <w:pPr>
        <w:spacing w:after="60"/>
        <w:ind w:left="720"/>
      </w:pPr>
      <w:r>
        <w:rPr>
          <w:rFonts w:cs="Tahoma"/>
          <w:b/>
        </w:rPr>
        <w:t>Visual Studio Team Foundation Server 2012</w:t>
      </w:r>
    </w:p>
    <w:p w:rsidR="00C7319A" w:rsidRPr="009123CB" w:rsidRDefault="00C7319A" w:rsidP="00C7319A">
      <w:pPr>
        <w:pStyle w:val="EndnoteText"/>
        <w:tabs>
          <w:tab w:val="num" w:pos="1350"/>
        </w:tabs>
        <w:ind w:left="720"/>
        <w:rPr>
          <w:lang w:val="de-DE"/>
        </w:rPr>
      </w:pPr>
      <w:r w:rsidRPr="009123CB">
        <w:rPr>
          <w:rFonts w:ascii="Tahoma" w:hAnsi="Tahoma" w:cs="Tahoma"/>
          <w:sz w:val="18"/>
          <w:lang w:val="de-DE"/>
        </w:rPr>
        <w:t>Der Abonnent ist zu einer Serverlizenz für Visual Studio Team Foundation Server 2012 und zu einer Nutzer-CAL für Team Foundation Server berechtigt</w:t>
      </w:r>
      <w:r w:rsidR="006257A7">
        <w:rPr>
          <w:rFonts w:ascii="Tahoma" w:hAnsi="Tahoma" w:cs="Tahoma"/>
          <w:sz w:val="18"/>
          <w:lang w:val="de-DE"/>
        </w:rPr>
        <w:t xml:space="preserve">. </w:t>
      </w:r>
      <w:r w:rsidRPr="009123CB">
        <w:rPr>
          <w:rFonts w:ascii="Tahoma" w:hAnsi="Tahoma" w:cs="Tahoma"/>
          <w:sz w:val="18"/>
          <w:lang w:val="de-DE"/>
        </w:rPr>
        <w:t>Die Verwendung der CAL ist ausschließlich dem Abonnenten vorbehalten</w:t>
      </w:r>
      <w:r w:rsidR="006257A7">
        <w:rPr>
          <w:rFonts w:ascii="Tahoma" w:hAnsi="Tahoma" w:cs="Tahoma"/>
          <w:sz w:val="18"/>
          <w:lang w:val="de-DE"/>
        </w:rPr>
        <w:t xml:space="preserve">. </w:t>
      </w:r>
    </w:p>
    <w:p w:rsidR="00C7319A" w:rsidRPr="009123CB" w:rsidRDefault="00C7319A" w:rsidP="00C7319A">
      <w:pPr>
        <w:pStyle w:val="EndnoteText"/>
        <w:tabs>
          <w:tab w:val="num" w:pos="1350"/>
        </w:tabs>
        <w:ind w:left="720"/>
        <w:rPr>
          <w:lang w:val="de-DE"/>
        </w:rPr>
      </w:pPr>
    </w:p>
    <w:p w:rsidR="00C7319A" w:rsidRPr="00051083" w:rsidRDefault="00C7319A" w:rsidP="00C7319A">
      <w:pPr>
        <w:spacing w:after="60"/>
        <w:ind w:left="720"/>
        <w:rPr>
          <w:lang w:val="de-DE"/>
        </w:rPr>
      </w:pPr>
      <w:r w:rsidRPr="00051083">
        <w:rPr>
          <w:rFonts w:cs="Tahoma"/>
          <w:b/>
          <w:lang w:val="de-DE"/>
        </w:rPr>
        <w:t>SQL Server Parallel Data Warehouse Developer</w:t>
      </w:r>
    </w:p>
    <w:p w:rsidR="00C7319A" w:rsidRDefault="00C7319A" w:rsidP="00C7319A">
      <w:pPr>
        <w:pStyle w:val="EndnoteText"/>
        <w:tabs>
          <w:tab w:val="num" w:pos="1350"/>
        </w:tabs>
        <w:ind w:left="720"/>
        <w:rPr>
          <w:rFonts w:ascii="Tahoma" w:hAnsi="Tahoma" w:cs="Tahoma"/>
          <w:sz w:val="18"/>
          <w:lang w:val="de-DE"/>
        </w:rPr>
      </w:pPr>
      <w:r w:rsidRPr="009123CB">
        <w:rPr>
          <w:rFonts w:ascii="Tahoma" w:hAnsi="Tahoma" w:cs="Tahoma"/>
          <w:sz w:val="18"/>
          <w:lang w:val="de-DE"/>
        </w:rPr>
        <w:t>Der Abonnent ist zu einer Lizenz für SQL Server 2008 R2 Parallel Data Warehouse Developer berechtigt</w:t>
      </w:r>
      <w:r w:rsidR="006257A7">
        <w:rPr>
          <w:rFonts w:ascii="Tahoma" w:hAnsi="Tahoma" w:cs="Tahoma"/>
          <w:sz w:val="18"/>
          <w:lang w:val="de-DE"/>
        </w:rPr>
        <w:t xml:space="preserve">. </w:t>
      </w:r>
    </w:p>
    <w:p w:rsidR="00C7319A" w:rsidRPr="0062435A" w:rsidRDefault="00C7319A" w:rsidP="00C7319A">
      <w:pPr>
        <w:spacing w:after="60"/>
        <w:ind w:left="720"/>
      </w:pPr>
      <w:r>
        <w:rPr>
          <w:rFonts w:cs="Tahoma"/>
          <w:b/>
        </w:rPr>
        <w:t>Software Assurance-Migrationspfad für Visual Studio 2010 Professional mit MSDN Embedded</w:t>
      </w:r>
    </w:p>
    <w:p w:rsidR="00C7319A" w:rsidRPr="00EB2C55" w:rsidRDefault="00C7319A" w:rsidP="00C7319A">
      <w:pPr>
        <w:pStyle w:val="FootnoteBulletLevel1"/>
        <w:tabs>
          <w:tab w:val="clear" w:pos="900"/>
          <w:tab w:val="num" w:pos="1350"/>
        </w:tabs>
        <w:spacing w:before="0" w:after="0"/>
        <w:ind w:left="720" w:firstLine="0"/>
      </w:pPr>
      <w:r w:rsidRPr="00EB2C55">
        <w:rPr>
          <w:rFonts w:ascii="Tahoma" w:hAnsi="Tahoma" w:cs="Tahoma"/>
          <w:sz w:val="18"/>
        </w:rPr>
        <w:t>Die Folgeversion von Visual Studio 2010 Professional mit MSDN Embedded ist Visual Studio Professional 2012 mit MSDN</w:t>
      </w:r>
      <w:r w:rsidR="006257A7">
        <w:rPr>
          <w:rFonts w:ascii="Tahoma" w:hAnsi="Tahoma" w:cs="Tahoma"/>
          <w:sz w:val="18"/>
        </w:rPr>
        <w:t xml:space="preserve">. </w:t>
      </w:r>
    </w:p>
    <w:p w:rsidR="00C7319A" w:rsidRPr="00EB2C55" w:rsidRDefault="00C7319A" w:rsidP="00C7319A">
      <w:pPr>
        <w:pStyle w:val="FootnoteBulletLevel1"/>
        <w:tabs>
          <w:tab w:val="clear" w:pos="900"/>
          <w:tab w:val="num" w:pos="1350"/>
        </w:tabs>
        <w:spacing w:before="0" w:after="0"/>
        <w:ind w:left="720" w:firstLine="0"/>
      </w:pPr>
    </w:p>
    <w:p w:rsidR="00C7319A" w:rsidRPr="008849B7" w:rsidRDefault="00C7319A" w:rsidP="00C7319A">
      <w:pPr>
        <w:spacing w:after="60"/>
        <w:ind w:left="720"/>
        <w:rPr>
          <w:lang w:val="de-DE"/>
        </w:rPr>
      </w:pPr>
      <w:r w:rsidRPr="008849B7">
        <w:rPr>
          <w:rFonts w:cs="Tahoma"/>
          <w:b/>
          <w:lang w:val="de-DE"/>
        </w:rPr>
        <w:t>Software Assurance-Berechtigung</w:t>
      </w:r>
    </w:p>
    <w:p w:rsidR="00C7319A" w:rsidRPr="009123CB" w:rsidRDefault="00C7319A" w:rsidP="00C7319A">
      <w:pPr>
        <w:pStyle w:val="EndnoteText"/>
        <w:tabs>
          <w:tab w:val="left" w:pos="1170"/>
        </w:tabs>
        <w:ind w:left="720"/>
        <w:rPr>
          <w:lang w:val="de-DE"/>
        </w:rPr>
      </w:pPr>
      <w:r w:rsidRPr="009123CB">
        <w:rPr>
          <w:rFonts w:ascii="Tahoma" w:hAnsi="Tahoma" w:cs="Tahoma"/>
          <w:sz w:val="18"/>
          <w:lang w:val="de-DE"/>
        </w:rPr>
        <w:t>Kunden, deren Software Assurance für Lizenzen für die folgenden Produkte abläuft, sind berechtigt, diese als Software Assurance für Visual Studio Professional 2012 mit MSDN zu verlängern</w:t>
      </w:r>
      <w:r w:rsidR="006257A7">
        <w:rPr>
          <w:rFonts w:ascii="Tahoma" w:hAnsi="Tahoma" w:cs="Tahoma"/>
          <w:sz w:val="18"/>
          <w:lang w:val="de-DE"/>
        </w:rPr>
        <w:t xml:space="preserve">. </w:t>
      </w:r>
      <w:r w:rsidRPr="009123CB">
        <w:rPr>
          <w:rFonts w:ascii="Tahoma" w:hAnsi="Tahoma" w:cs="Tahoma"/>
          <w:sz w:val="18"/>
          <w:lang w:val="de-DE"/>
        </w:rPr>
        <w:t>Bei Verlängerung auf einer anderen MSDN-Abonnementebene ersetzen die neuen Nutzungsbestimmungen die alten, und jegliche Software, die nicht im neuen MSDN-Abonnement enthalten ist, muss entfernt werden</w:t>
      </w:r>
      <w:r w:rsidR="006257A7">
        <w:rPr>
          <w:rFonts w:ascii="Tahoma" w:hAnsi="Tahoma" w:cs="Tahoma"/>
          <w:sz w:val="18"/>
          <w:lang w:val="de-DE"/>
        </w:rPr>
        <w:t xml:space="preserve">. </w:t>
      </w:r>
    </w:p>
    <w:p w:rsidR="00C7319A" w:rsidRPr="009123CB" w:rsidRDefault="00C7319A" w:rsidP="00C7319A">
      <w:pPr>
        <w:pStyle w:val="EndnoteText"/>
        <w:rPr>
          <w:lang w:val="de-DE"/>
        </w:rPr>
      </w:pP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Ultimate mit MSDN</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Premium mit MSDN</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Professional mit MSDN</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Professional mit MSDN Embedded</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Professional mit MSDN Professional</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Professional mit MSDN Premium</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Team System Team Suite mit MSDN Premium</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Team System Test Edition mit MSDN Premium</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Team System Development Edition mit MSDN Premium</w:t>
      </w:r>
    </w:p>
    <w:p w:rsidR="00C7319A" w:rsidRPr="0062435A" w:rsidRDefault="00C7319A" w:rsidP="00C7319A">
      <w:pPr>
        <w:pStyle w:val="FootnoteBulletLevel2"/>
        <w:numPr>
          <w:ilvl w:val="0"/>
          <w:numId w:val="4"/>
        </w:numPr>
        <w:spacing w:before="0" w:after="60"/>
        <w:ind w:left="1440"/>
      </w:pPr>
      <w:r>
        <w:rPr>
          <w:rFonts w:ascii="Tahoma" w:hAnsi="Tahoma" w:cs="Tahoma"/>
          <w:sz w:val="18"/>
        </w:rPr>
        <w:t xml:space="preserve">Visual Studio Team System Architecture Edition mit MSDN Premium </w:t>
      </w:r>
    </w:p>
    <w:p w:rsidR="00C7319A" w:rsidRPr="0062435A" w:rsidRDefault="00C7319A" w:rsidP="00C7319A">
      <w:pPr>
        <w:pStyle w:val="FootnoteBulletLevel2"/>
        <w:numPr>
          <w:ilvl w:val="0"/>
          <w:numId w:val="4"/>
        </w:numPr>
        <w:spacing w:before="0" w:after="60"/>
        <w:ind w:left="1440"/>
      </w:pPr>
      <w:r>
        <w:rPr>
          <w:rFonts w:ascii="Tahoma" w:hAnsi="Tahoma" w:cs="Tahoma"/>
          <w:sz w:val="18"/>
        </w:rPr>
        <w:t>Visual Studio Team System Database Edition mit MSDN Premium</w:t>
      </w:r>
    </w:p>
    <w:p w:rsidR="00C7319A" w:rsidRPr="009123CB" w:rsidRDefault="00C7319A" w:rsidP="00C7319A">
      <w:pPr>
        <w:pStyle w:val="FootnoteBulletLevel2"/>
        <w:numPr>
          <w:ilvl w:val="0"/>
          <w:numId w:val="4"/>
        </w:numPr>
        <w:spacing w:before="0" w:after="60"/>
        <w:ind w:left="1440"/>
        <w:rPr>
          <w:lang w:val="de-DE"/>
        </w:rPr>
      </w:pPr>
      <w:r w:rsidRPr="009123CB">
        <w:rPr>
          <w:rFonts w:ascii="Tahoma" w:hAnsi="Tahoma" w:cs="Tahoma"/>
          <w:sz w:val="18"/>
          <w:lang w:val="de-DE"/>
        </w:rPr>
        <w:t>Aktives Einzelhandelsabonnement für eine der oben genannten Softwareversionen</w:t>
      </w:r>
    </w:p>
    <w:p w:rsidR="00C7319A" w:rsidRPr="009123CB" w:rsidRDefault="00C7319A" w:rsidP="00C7319A">
      <w:pPr>
        <w:pStyle w:val="FootnoteBulletLevel2"/>
        <w:numPr>
          <w:ilvl w:val="0"/>
          <w:numId w:val="4"/>
        </w:numPr>
        <w:spacing w:before="0" w:after="60"/>
        <w:ind w:left="1440"/>
        <w:rPr>
          <w:lang w:val="de-DE"/>
        </w:rPr>
      </w:pPr>
      <w:r w:rsidRPr="009123CB">
        <w:rPr>
          <w:rFonts w:ascii="Tahoma" w:hAnsi="Tahoma" w:cs="Tahoma"/>
          <w:sz w:val="18"/>
          <w:lang w:val="de-DE"/>
        </w:rPr>
        <w:t>MSDN Essentials (mit Einzelhandelslizenz für Visual Studio 2010 Professional erworben)</w:t>
      </w:r>
    </w:p>
    <w:p w:rsidR="00C7319A" w:rsidRPr="009123CB" w:rsidRDefault="00C7319A" w:rsidP="00C7319A">
      <w:pPr>
        <w:pStyle w:val="FootnoteBulletLevel1"/>
        <w:spacing w:before="0" w:after="0"/>
        <w:ind w:left="0" w:firstLine="0"/>
        <w:rPr>
          <w:lang w:val="de-DE"/>
        </w:rPr>
      </w:pPr>
    </w:p>
    <w:p w:rsidR="00C7319A" w:rsidRPr="00F81961" w:rsidRDefault="00C7319A" w:rsidP="00C7319A">
      <w:pPr>
        <w:pStyle w:val="FootnoteBulletLevel1"/>
        <w:tabs>
          <w:tab w:val="clear" w:pos="900"/>
        </w:tabs>
        <w:spacing w:before="0" w:after="0"/>
        <w:ind w:left="720" w:firstLine="0"/>
        <w:rPr>
          <w:rFonts w:ascii="Tahoma" w:hAnsi="Tahoma" w:cs="Tahoma"/>
          <w:sz w:val="18"/>
          <w:szCs w:val="18"/>
          <w:lang w:val="de-DE"/>
        </w:rPr>
      </w:pPr>
      <w:r w:rsidRPr="00F81961">
        <w:rPr>
          <w:rFonts w:ascii="Tahoma" w:hAnsi="Tahoma" w:cs="Tahoma"/>
          <w:sz w:val="18"/>
          <w:szCs w:val="18"/>
          <w:lang w:val="de-DE"/>
        </w:rPr>
        <w:t xml:space="preserve">Konzern-, Select- oder Open Value-Kunden mit aktiver Software Assurance für Visual Studio Professional 2012 mit MSDN können </w:t>
      </w:r>
      <w:hyperlink w:anchor="Step_Up" w:history="1">
        <w:r w:rsidRPr="00F81961">
          <w:rPr>
            <w:rFonts w:ascii="Tahoma" w:hAnsi="Tahoma" w:cs="Tahoma"/>
            <w:sz w:val="18"/>
            <w:szCs w:val="18"/>
            <w:lang w:val="de-DE"/>
          </w:rPr>
          <w:t>Step Up-SKUs</w:t>
        </w:r>
      </w:hyperlink>
      <w:r w:rsidRPr="00F81961">
        <w:rPr>
          <w:rFonts w:ascii="Tahoma" w:hAnsi="Tahoma" w:cs="Tahoma"/>
          <w:sz w:val="18"/>
          <w:szCs w:val="18"/>
          <w:lang w:val="de-DE"/>
        </w:rPr>
        <w:t xml:space="preserve"> für Visual Studio Premium 2012 mit MSDN oder Visual Studio Ultimate 2012 mit MSDN erwerben</w:t>
      </w:r>
      <w:r w:rsidR="006257A7">
        <w:rPr>
          <w:rFonts w:ascii="Tahoma" w:hAnsi="Tahoma" w:cs="Tahoma"/>
          <w:sz w:val="18"/>
          <w:szCs w:val="18"/>
          <w:lang w:val="de-DE"/>
        </w:rPr>
        <w:t xml:space="preserve">. </w:t>
      </w:r>
    </w:p>
    <w:p w:rsidR="00C7319A" w:rsidRPr="009123CB" w:rsidRDefault="00C7319A" w:rsidP="00C7319A">
      <w:pPr>
        <w:pStyle w:val="FootnoteBulletLevel2"/>
        <w:tabs>
          <w:tab w:val="clear" w:pos="1260"/>
        </w:tabs>
        <w:spacing w:before="0"/>
        <w:ind w:left="720" w:firstLine="0"/>
        <w:rPr>
          <w:lang w:val="de-DE"/>
        </w:rPr>
      </w:pPr>
    </w:p>
    <w:p w:rsidR="00C7319A" w:rsidRPr="009123CB" w:rsidRDefault="00C7319A" w:rsidP="00C7319A">
      <w:pPr>
        <w:spacing w:after="60"/>
        <w:ind w:left="720"/>
        <w:rPr>
          <w:lang w:val="de-DE"/>
        </w:rPr>
      </w:pPr>
      <w:r w:rsidRPr="009123CB">
        <w:rPr>
          <w:rFonts w:cs="Tahoma"/>
          <w:b/>
          <w:lang w:val="de-DE"/>
        </w:rPr>
        <w:t>Abonnementdienste</w:t>
      </w:r>
    </w:p>
    <w:p w:rsidR="00C7319A" w:rsidRPr="009123CB" w:rsidRDefault="00C7319A" w:rsidP="00C7319A">
      <w:pPr>
        <w:pStyle w:val="FootnoteBulletLevel2"/>
        <w:tabs>
          <w:tab w:val="clear" w:pos="1260"/>
        </w:tabs>
        <w:spacing w:before="0"/>
        <w:ind w:left="720" w:firstLine="0"/>
        <w:rPr>
          <w:lang w:val="de-DE"/>
        </w:rPr>
      </w:pPr>
      <w:r w:rsidRPr="009123CB">
        <w:rPr>
          <w:rFonts w:ascii="Tahoma" w:hAnsi="Tahoma" w:cs="Tahoma"/>
          <w:sz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r w:rsidR="006257A7">
        <w:rPr>
          <w:rFonts w:ascii="Tahoma" w:hAnsi="Tahoma" w:cs="Tahoma"/>
          <w:sz w:val="18"/>
          <w:lang w:val="de-DE"/>
        </w:rPr>
        <w:t xml:space="preserve">. </w:t>
      </w:r>
    </w:p>
    <w:p w:rsidR="00C7319A" w:rsidRPr="009123CB" w:rsidRDefault="00C7319A" w:rsidP="00C7319A">
      <w:pPr>
        <w:pStyle w:val="FootnoteBulletLevel1"/>
        <w:tabs>
          <w:tab w:val="clear" w:pos="900"/>
        </w:tabs>
        <w:spacing w:before="0" w:after="0"/>
        <w:ind w:left="720" w:firstLine="0"/>
        <w:rPr>
          <w:lang w:val="de-DE"/>
        </w:rPr>
      </w:pPr>
    </w:p>
    <w:p w:rsidR="00C7319A" w:rsidRPr="009123CB" w:rsidRDefault="00C7319A" w:rsidP="00C7319A">
      <w:pPr>
        <w:spacing w:after="60"/>
        <w:ind w:left="720"/>
        <w:rPr>
          <w:lang w:val="de-DE"/>
        </w:rPr>
      </w:pPr>
      <w:r w:rsidRPr="009123CB">
        <w:rPr>
          <w:rFonts w:cs="Tahoma"/>
          <w:b/>
          <w:lang w:val="de-DE"/>
        </w:rPr>
        <w:t>Windows Azure Platform-Dienste</w:t>
      </w:r>
    </w:p>
    <w:p w:rsidR="00C7319A" w:rsidRPr="009123CB" w:rsidRDefault="00C7319A" w:rsidP="00C7319A">
      <w:pPr>
        <w:pStyle w:val="FootnoteBulletLevel2"/>
        <w:tabs>
          <w:tab w:val="clear" w:pos="1260"/>
        </w:tabs>
        <w:spacing w:before="0"/>
        <w:ind w:left="720" w:firstLine="0"/>
        <w:rPr>
          <w:lang w:val="de-DE"/>
        </w:rPr>
      </w:pPr>
      <w:r w:rsidRPr="009123CB">
        <w:rPr>
          <w:rFonts w:ascii="Tahoma" w:hAnsi="Tahoma" w:cs="Tahoma"/>
          <w:sz w:val="18"/>
          <w:lang w:val="de-DE"/>
        </w:rPr>
        <w:t>Windows Azure-Vergünstigungen aus mehreren MSDN-Abonnements können nicht in einem Windows Azure-Account kombiniert werden</w:t>
      </w:r>
      <w:r w:rsidR="006257A7">
        <w:rPr>
          <w:rFonts w:ascii="Tahoma" w:hAnsi="Tahoma" w:cs="Tahoma"/>
          <w:sz w:val="18"/>
          <w:lang w:val="de-DE"/>
        </w:rPr>
        <w:t xml:space="preserve">. </w:t>
      </w:r>
      <w:r w:rsidRPr="009123CB">
        <w:rPr>
          <w:rFonts w:ascii="Tahoma" w:hAnsi="Tahoma" w:cs="Tahoma"/>
          <w:sz w:val="18"/>
          <w:lang w:val="de-DE"/>
        </w:rPr>
        <w:t>Die Verwendung von Windows Azure unterliegt den Nutzungsbestimmungen für Windows Azure</w:t>
      </w:r>
      <w:r w:rsidR="006257A7">
        <w:rPr>
          <w:rFonts w:ascii="Tahoma" w:hAnsi="Tahoma" w:cs="Tahoma"/>
          <w:sz w:val="18"/>
          <w:lang w:val="de-DE"/>
        </w:rPr>
        <w:t xml:space="preserve">. </w:t>
      </w:r>
    </w:p>
    <w:p w:rsidR="00C7319A" w:rsidRPr="009123CB" w:rsidRDefault="00C7319A" w:rsidP="00C7319A">
      <w:pPr>
        <w:pStyle w:val="FootnoteBulletLevel2"/>
        <w:tabs>
          <w:tab w:val="clear" w:pos="1260"/>
        </w:tabs>
        <w:spacing w:before="0"/>
        <w:ind w:left="0" w:firstLine="0"/>
        <w:rPr>
          <w:lang w:val="de-DE"/>
        </w:rPr>
      </w:pPr>
    </w:p>
    <w:p w:rsidR="00C7319A" w:rsidRPr="009123CB" w:rsidRDefault="00C7319A" w:rsidP="00C7319A">
      <w:pPr>
        <w:pStyle w:val="FootnoteBulletLevel2"/>
        <w:tabs>
          <w:tab w:val="clear" w:pos="1260"/>
        </w:tabs>
        <w:spacing w:before="0"/>
        <w:ind w:left="0" w:firstLine="0"/>
        <w:rPr>
          <w:lang w:val="de-DE"/>
        </w:rPr>
      </w:pPr>
    </w:p>
    <w:p w:rsidR="00C7319A" w:rsidRPr="0062435A" w:rsidRDefault="00C7319A" w:rsidP="00C7319A">
      <w:pPr>
        <w:pStyle w:val="Heading3"/>
      </w:pPr>
      <w:bookmarkStart w:id="1079" w:name="_21_Visual_Studio"/>
      <w:bookmarkStart w:id="1080" w:name="_Toc336338277"/>
      <w:bookmarkStart w:id="1081" w:name="_Toc363999017"/>
      <w:bookmarkStart w:id="1082" w:name="_Toc252341837"/>
      <w:bookmarkStart w:id="1083" w:name="Aps_16VS2010PremiumMSDN"/>
      <w:bookmarkEnd w:id="1079"/>
      <w:r>
        <w:rPr>
          <w:rFonts w:ascii="Tahoma" w:hAnsi="Tahoma"/>
          <w:caps/>
          <w:color w:val="F66400"/>
          <w:sz w:val="22"/>
          <w:vertAlign w:val="superscript"/>
        </w:rPr>
        <w:t>22</w:t>
      </w:r>
      <w:r>
        <w:rPr>
          <w:rFonts w:ascii="Tahoma" w:hAnsi="Tahoma"/>
          <w:color w:val="F66400"/>
          <w:sz w:val="22"/>
        </w:rPr>
        <w:t xml:space="preserve"> Visual Studio Premium 2012 mit MSDN</w:t>
      </w:r>
      <w:bookmarkEnd w:id="1080"/>
      <w:bookmarkEnd w:id="1081"/>
      <w:r>
        <w:rPr>
          <w:rFonts w:ascii="Tahoma" w:hAnsi="Tahoma"/>
          <w:color w:val="F66400"/>
          <w:sz w:val="22"/>
        </w:rPr>
        <w:t xml:space="preserve"> </w:t>
      </w:r>
      <w:bookmarkEnd w:id="1082"/>
    </w:p>
    <w:bookmarkEnd w:id="1083"/>
    <w:p w:rsidR="00C7319A" w:rsidRPr="0062435A" w:rsidRDefault="00C7319A" w:rsidP="00C7319A">
      <w:pPr>
        <w:pStyle w:val="FootnoteBulletLevel1"/>
        <w:tabs>
          <w:tab w:val="clear" w:pos="900"/>
        </w:tabs>
        <w:spacing w:before="0" w:after="0"/>
        <w:ind w:left="720" w:firstLine="0"/>
      </w:pPr>
    </w:p>
    <w:p w:rsidR="00C7319A" w:rsidRPr="0062435A" w:rsidRDefault="00C7319A" w:rsidP="00C7319A">
      <w:pPr>
        <w:spacing w:after="60"/>
        <w:ind w:left="720"/>
      </w:pPr>
      <w:r>
        <w:rPr>
          <w:rFonts w:cs="Tahoma"/>
          <w:b/>
        </w:rPr>
        <w:t>Visual Studio Team Foundation Server 2012</w:t>
      </w:r>
    </w:p>
    <w:p w:rsidR="00C7319A" w:rsidRPr="008849B7" w:rsidRDefault="00C7319A" w:rsidP="00C7319A">
      <w:pPr>
        <w:pStyle w:val="EndnoteText"/>
        <w:ind w:left="720"/>
        <w:rPr>
          <w:lang w:val="de-DE"/>
        </w:rPr>
      </w:pPr>
      <w:r w:rsidRPr="009123CB">
        <w:rPr>
          <w:rFonts w:ascii="Tahoma" w:hAnsi="Tahoma" w:cs="Tahoma"/>
          <w:sz w:val="18"/>
          <w:lang w:val="de-DE"/>
        </w:rPr>
        <w:t>Der Abonnent ist zu einer Serverlizenz für Visual Studio Team Foundation Server 2012 und zu einer Nutzer-CAL für Team Foundation Server berechtigt</w:t>
      </w:r>
      <w:r w:rsidR="006257A7">
        <w:rPr>
          <w:rFonts w:ascii="Tahoma" w:hAnsi="Tahoma" w:cs="Tahoma"/>
          <w:sz w:val="18"/>
          <w:lang w:val="de-DE"/>
        </w:rPr>
        <w:t xml:space="preserve">. </w:t>
      </w:r>
      <w:r w:rsidRPr="008849B7">
        <w:rPr>
          <w:rFonts w:ascii="Tahoma" w:hAnsi="Tahoma" w:cs="Tahoma"/>
          <w:sz w:val="18"/>
          <w:lang w:val="de-DE"/>
        </w:rPr>
        <w:t>Die Verwendung der CAL ist ausschließlich dem Abonnenten vorbehalten</w:t>
      </w:r>
      <w:r w:rsidR="006257A7">
        <w:rPr>
          <w:rFonts w:ascii="Tahoma" w:hAnsi="Tahoma" w:cs="Tahoma"/>
          <w:sz w:val="18"/>
          <w:lang w:val="de-DE"/>
        </w:rPr>
        <w:t xml:space="preserve">. </w:t>
      </w:r>
    </w:p>
    <w:p w:rsidR="00C7319A" w:rsidRPr="008849B7" w:rsidRDefault="00C7319A" w:rsidP="00C7319A">
      <w:pPr>
        <w:pStyle w:val="EndnoteText"/>
        <w:ind w:left="720"/>
        <w:rPr>
          <w:lang w:val="de-DE"/>
        </w:rPr>
      </w:pPr>
    </w:p>
    <w:p w:rsidR="00C7319A" w:rsidRPr="00551726" w:rsidRDefault="00C7319A" w:rsidP="00C7319A">
      <w:pPr>
        <w:spacing w:after="60"/>
        <w:ind w:left="720"/>
        <w:rPr>
          <w:lang w:val="de-DE"/>
        </w:rPr>
      </w:pPr>
      <w:r w:rsidRPr="00551726">
        <w:rPr>
          <w:rFonts w:cs="Tahoma"/>
          <w:b/>
          <w:lang w:val="de-DE"/>
        </w:rPr>
        <w:t>SQL Server Parallel Data Warehouse Developer</w:t>
      </w:r>
    </w:p>
    <w:p w:rsidR="00C7319A" w:rsidRPr="009123CB" w:rsidRDefault="00C7319A" w:rsidP="00C7319A">
      <w:pPr>
        <w:pStyle w:val="EndnoteText"/>
        <w:ind w:left="720"/>
        <w:rPr>
          <w:lang w:val="de-DE"/>
        </w:rPr>
      </w:pPr>
      <w:r w:rsidRPr="009123CB">
        <w:rPr>
          <w:rFonts w:ascii="Tahoma" w:hAnsi="Tahoma" w:cs="Tahoma"/>
          <w:sz w:val="18"/>
          <w:lang w:val="de-DE"/>
        </w:rPr>
        <w:t>Der Abonnent ist zu einer Lizenz für SQL Server 2008 R2 Parallel Data Warehouse Developer berechtigt</w:t>
      </w:r>
      <w:r w:rsidR="006257A7">
        <w:rPr>
          <w:rFonts w:ascii="Tahoma" w:hAnsi="Tahoma" w:cs="Tahoma"/>
          <w:sz w:val="18"/>
          <w:lang w:val="de-DE"/>
        </w:rPr>
        <w:t xml:space="preserve">. </w:t>
      </w:r>
    </w:p>
    <w:p w:rsidR="00C7319A" w:rsidRDefault="00C7319A" w:rsidP="00C7319A">
      <w:pPr>
        <w:pStyle w:val="FootnoteBulletLevel1"/>
        <w:tabs>
          <w:tab w:val="clear" w:pos="900"/>
        </w:tabs>
        <w:spacing w:before="0" w:after="0"/>
        <w:ind w:left="720" w:firstLine="0"/>
        <w:rPr>
          <w:lang w:val="de-DE"/>
        </w:rPr>
      </w:pPr>
    </w:p>
    <w:p w:rsidR="006672FD" w:rsidRDefault="006672FD" w:rsidP="00C7319A">
      <w:pPr>
        <w:pStyle w:val="FootnoteBulletLevel1"/>
        <w:tabs>
          <w:tab w:val="clear" w:pos="900"/>
        </w:tabs>
        <w:spacing w:before="0" w:after="0"/>
        <w:ind w:left="720" w:firstLine="0"/>
        <w:rPr>
          <w:lang w:val="de-DE"/>
        </w:rPr>
      </w:pPr>
    </w:p>
    <w:p w:rsidR="006672FD" w:rsidRDefault="006672FD" w:rsidP="00C7319A">
      <w:pPr>
        <w:pStyle w:val="FootnoteBulletLevel1"/>
        <w:tabs>
          <w:tab w:val="clear" w:pos="900"/>
        </w:tabs>
        <w:spacing w:before="0" w:after="0"/>
        <w:ind w:left="720" w:firstLine="0"/>
        <w:rPr>
          <w:lang w:val="de-DE"/>
        </w:rPr>
      </w:pPr>
    </w:p>
    <w:p w:rsidR="006672FD" w:rsidRDefault="006672FD" w:rsidP="00C7319A">
      <w:pPr>
        <w:pStyle w:val="FootnoteBulletLevel1"/>
        <w:tabs>
          <w:tab w:val="clear" w:pos="900"/>
        </w:tabs>
        <w:spacing w:before="0" w:after="0"/>
        <w:ind w:left="720" w:firstLine="0"/>
        <w:rPr>
          <w:lang w:val="de-DE"/>
        </w:rPr>
      </w:pPr>
    </w:p>
    <w:p w:rsidR="00C7319A" w:rsidRPr="009123CB" w:rsidRDefault="00C7319A" w:rsidP="00C7319A">
      <w:pPr>
        <w:spacing w:after="60"/>
        <w:ind w:left="720"/>
        <w:rPr>
          <w:lang w:val="de-DE"/>
        </w:rPr>
      </w:pPr>
      <w:r w:rsidRPr="009123CB">
        <w:rPr>
          <w:rFonts w:cs="Tahoma"/>
          <w:b/>
          <w:lang w:val="de-DE"/>
        </w:rPr>
        <w:t>Software Assurance-Berechtigung</w:t>
      </w:r>
    </w:p>
    <w:p w:rsidR="00C7319A" w:rsidRPr="009123CB" w:rsidRDefault="00C7319A" w:rsidP="00C7319A">
      <w:pPr>
        <w:pStyle w:val="EndnoteText"/>
        <w:tabs>
          <w:tab w:val="left" w:pos="1080"/>
        </w:tabs>
        <w:ind w:left="720"/>
        <w:rPr>
          <w:lang w:val="de-DE"/>
        </w:rPr>
      </w:pPr>
      <w:r w:rsidRPr="009123CB">
        <w:rPr>
          <w:rFonts w:ascii="Tahoma" w:hAnsi="Tahoma" w:cs="Tahoma"/>
          <w:sz w:val="18"/>
          <w:lang w:val="de-DE"/>
        </w:rPr>
        <w:t>Kunden, deren Software Assurance für eines der folgenden Produkte abläuft, sind berechtigt, diese als Software Assurance für Visual Studio Premium 2012 mit MSDN zu verlängern</w:t>
      </w:r>
      <w:r w:rsidR="006257A7">
        <w:rPr>
          <w:rFonts w:ascii="Tahoma" w:hAnsi="Tahoma" w:cs="Tahoma"/>
          <w:sz w:val="18"/>
          <w:lang w:val="de-DE"/>
        </w:rPr>
        <w:t xml:space="preserve">. </w:t>
      </w:r>
      <w:r w:rsidRPr="009123CB">
        <w:rPr>
          <w:rFonts w:ascii="Tahoma" w:hAnsi="Tahoma" w:cs="Tahoma"/>
          <w:sz w:val="18"/>
          <w:lang w:val="de-DE"/>
        </w:rPr>
        <w:t>Bei Verlängerung auf einer anderen MSDN-Abonnementebene ersetzen die neuen Nutzungsbestimmungen die alten, und jegliche Software, die nicht im neuen MSDN-Abonnement enthalten ist, muss entfernt werden</w:t>
      </w:r>
      <w:r w:rsidR="006257A7">
        <w:rPr>
          <w:rFonts w:ascii="Tahoma" w:hAnsi="Tahoma" w:cs="Tahoma"/>
          <w:sz w:val="18"/>
          <w:lang w:val="de-DE"/>
        </w:rPr>
        <w:t xml:space="preserve">. </w:t>
      </w:r>
    </w:p>
    <w:p w:rsidR="00C7319A" w:rsidRPr="009123CB" w:rsidRDefault="00C7319A" w:rsidP="00C7319A">
      <w:pPr>
        <w:pStyle w:val="EndnoteText"/>
        <w:ind w:left="720"/>
        <w:rPr>
          <w:lang w:val="de-DE"/>
        </w:rPr>
      </w:pPr>
    </w:p>
    <w:p w:rsidR="00C7319A" w:rsidRPr="0062435A" w:rsidRDefault="00C7319A" w:rsidP="00C7319A">
      <w:pPr>
        <w:pStyle w:val="FootnoteBulletLevel2"/>
        <w:numPr>
          <w:ilvl w:val="0"/>
          <w:numId w:val="6"/>
        </w:numPr>
        <w:spacing w:before="0" w:after="60"/>
        <w:ind w:left="1440"/>
      </w:pPr>
      <w:r>
        <w:rPr>
          <w:rFonts w:ascii="Tahoma" w:hAnsi="Tahoma" w:cs="Tahoma"/>
          <w:sz w:val="18"/>
        </w:rPr>
        <w:t>Visual Studio Ultimate mit MSDN</w:t>
      </w:r>
    </w:p>
    <w:p w:rsidR="00C7319A" w:rsidRPr="0062435A" w:rsidRDefault="00C7319A" w:rsidP="00C7319A">
      <w:pPr>
        <w:pStyle w:val="FootnoteBulletLevel2"/>
        <w:numPr>
          <w:ilvl w:val="0"/>
          <w:numId w:val="6"/>
        </w:numPr>
        <w:spacing w:before="0" w:after="60"/>
        <w:ind w:left="1440"/>
      </w:pPr>
      <w:r>
        <w:rPr>
          <w:rFonts w:ascii="Tahoma" w:hAnsi="Tahoma" w:cs="Tahoma"/>
          <w:sz w:val="18"/>
        </w:rPr>
        <w:t>Visual Studio Premium mit MSDN</w:t>
      </w:r>
    </w:p>
    <w:p w:rsidR="00C7319A" w:rsidRPr="0062435A" w:rsidRDefault="00C7319A" w:rsidP="00C7319A">
      <w:pPr>
        <w:pStyle w:val="FootnoteBulletLevel2"/>
        <w:numPr>
          <w:ilvl w:val="0"/>
          <w:numId w:val="6"/>
        </w:numPr>
        <w:spacing w:before="0" w:after="60"/>
        <w:ind w:left="1440"/>
      </w:pPr>
      <w:r>
        <w:rPr>
          <w:rFonts w:ascii="Tahoma" w:hAnsi="Tahoma" w:cs="Tahoma"/>
          <w:sz w:val="18"/>
        </w:rPr>
        <w:t>Visual Studio Professional mit MSDN Premium</w:t>
      </w:r>
    </w:p>
    <w:p w:rsidR="00C7319A" w:rsidRPr="0062435A" w:rsidRDefault="00C7319A" w:rsidP="00C7319A">
      <w:pPr>
        <w:pStyle w:val="FootnoteBulletLevel2"/>
        <w:numPr>
          <w:ilvl w:val="0"/>
          <w:numId w:val="6"/>
        </w:numPr>
        <w:spacing w:before="0" w:after="60"/>
        <w:ind w:left="1440"/>
      </w:pPr>
      <w:r>
        <w:rPr>
          <w:rFonts w:ascii="Tahoma" w:hAnsi="Tahoma" w:cs="Tahoma"/>
          <w:sz w:val="18"/>
        </w:rPr>
        <w:t>Visual Studio Team System Team Suite mit MSDN Premium</w:t>
      </w:r>
    </w:p>
    <w:p w:rsidR="00C7319A" w:rsidRPr="0062435A" w:rsidRDefault="00C7319A" w:rsidP="00C7319A">
      <w:pPr>
        <w:pStyle w:val="FootnoteBulletLevel2"/>
        <w:numPr>
          <w:ilvl w:val="0"/>
          <w:numId w:val="6"/>
        </w:numPr>
        <w:spacing w:before="0" w:after="60"/>
        <w:ind w:left="1440"/>
      </w:pPr>
      <w:r>
        <w:rPr>
          <w:rFonts w:ascii="Tahoma" w:hAnsi="Tahoma" w:cs="Tahoma"/>
          <w:sz w:val="18"/>
        </w:rPr>
        <w:t>Visual Studio Team System Test Edition mit MSDN Premium</w:t>
      </w:r>
    </w:p>
    <w:p w:rsidR="00C7319A" w:rsidRPr="0062435A" w:rsidRDefault="00C7319A" w:rsidP="00C7319A">
      <w:pPr>
        <w:pStyle w:val="FootnoteBulletLevel2"/>
        <w:numPr>
          <w:ilvl w:val="0"/>
          <w:numId w:val="6"/>
        </w:numPr>
        <w:spacing w:before="0" w:after="60"/>
        <w:ind w:left="1440"/>
      </w:pPr>
      <w:r>
        <w:rPr>
          <w:rFonts w:ascii="Tahoma" w:hAnsi="Tahoma" w:cs="Tahoma"/>
          <w:sz w:val="18"/>
        </w:rPr>
        <w:t>Visual Studio Team System Development Edition mit MSDN Premium</w:t>
      </w:r>
    </w:p>
    <w:p w:rsidR="00C7319A" w:rsidRPr="0062435A" w:rsidRDefault="00C7319A" w:rsidP="00C7319A">
      <w:pPr>
        <w:pStyle w:val="FootnoteBulletLevel2"/>
        <w:numPr>
          <w:ilvl w:val="0"/>
          <w:numId w:val="6"/>
        </w:numPr>
        <w:spacing w:before="0" w:after="60"/>
        <w:ind w:left="1440"/>
      </w:pPr>
      <w:r>
        <w:rPr>
          <w:rFonts w:ascii="Tahoma" w:hAnsi="Tahoma" w:cs="Tahoma"/>
          <w:sz w:val="18"/>
        </w:rPr>
        <w:t xml:space="preserve">Visual Studio Team System Architecture Edition mit MSDN Premium </w:t>
      </w:r>
    </w:p>
    <w:p w:rsidR="00C7319A" w:rsidRPr="0062435A" w:rsidRDefault="00C7319A" w:rsidP="00C7319A">
      <w:pPr>
        <w:pStyle w:val="FootnoteBulletLevel2"/>
        <w:numPr>
          <w:ilvl w:val="0"/>
          <w:numId w:val="6"/>
        </w:numPr>
        <w:spacing w:before="0" w:after="60"/>
        <w:ind w:left="1440"/>
      </w:pPr>
      <w:r>
        <w:rPr>
          <w:rFonts w:ascii="Tahoma" w:hAnsi="Tahoma" w:cs="Tahoma"/>
          <w:sz w:val="18"/>
        </w:rPr>
        <w:t>Visual Studio Team System Database Edition mit MSDN Premium</w:t>
      </w:r>
    </w:p>
    <w:p w:rsidR="00C7319A" w:rsidRPr="009123CB" w:rsidRDefault="00C7319A" w:rsidP="00C7319A">
      <w:pPr>
        <w:pStyle w:val="FootnoteBulletLevel2"/>
        <w:numPr>
          <w:ilvl w:val="0"/>
          <w:numId w:val="6"/>
        </w:numPr>
        <w:spacing w:before="0" w:after="60"/>
        <w:ind w:left="1440"/>
        <w:rPr>
          <w:lang w:val="de-DE"/>
        </w:rPr>
      </w:pPr>
      <w:r w:rsidRPr="009123CB">
        <w:rPr>
          <w:rFonts w:ascii="Tahoma" w:hAnsi="Tahoma" w:cs="Tahoma"/>
          <w:sz w:val="18"/>
          <w:lang w:val="de-DE"/>
        </w:rPr>
        <w:t>Aktives Einzelhandelsabonnement für eine der oben genannten Softwareversionen</w:t>
      </w:r>
    </w:p>
    <w:p w:rsidR="00C7319A" w:rsidRPr="009123CB" w:rsidRDefault="00C7319A" w:rsidP="00C7319A">
      <w:pPr>
        <w:rPr>
          <w:lang w:val="de-DE"/>
        </w:rPr>
      </w:pPr>
    </w:p>
    <w:p w:rsidR="00C7319A" w:rsidRPr="009123CB" w:rsidRDefault="00C7319A" w:rsidP="00C7319A">
      <w:pPr>
        <w:pStyle w:val="FootnoteBulletLevel1"/>
        <w:keepNext/>
        <w:tabs>
          <w:tab w:val="clear" w:pos="900"/>
        </w:tabs>
        <w:spacing w:before="0" w:after="0"/>
        <w:ind w:left="720" w:firstLine="0"/>
        <w:rPr>
          <w:lang w:val="de-DE"/>
        </w:rPr>
      </w:pPr>
      <w:r w:rsidRPr="009123CB">
        <w:rPr>
          <w:rFonts w:ascii="Tahoma" w:hAnsi="Tahoma" w:cs="Tahoma"/>
          <w:sz w:val="18"/>
          <w:lang w:val="de-DE"/>
        </w:rPr>
        <w:t xml:space="preserve">Kunden, deren Software Assurance für Visual Studio Premium 2012 mit MSDN abläuft, sind berechtigt, diese als Software Assurance für Folgendes zu verlängern: </w:t>
      </w:r>
    </w:p>
    <w:p w:rsidR="00C7319A" w:rsidRPr="009123CB" w:rsidRDefault="00C7319A" w:rsidP="00C7319A">
      <w:pPr>
        <w:pStyle w:val="FootnoteBulletLevel1"/>
        <w:keepNext/>
        <w:spacing w:before="0" w:after="0"/>
        <w:ind w:left="907" w:firstLine="0"/>
        <w:rPr>
          <w:lang w:val="de-DE"/>
        </w:rPr>
      </w:pPr>
    </w:p>
    <w:p w:rsidR="00C7319A" w:rsidRPr="0062435A" w:rsidRDefault="00C7319A" w:rsidP="00C7319A">
      <w:pPr>
        <w:pStyle w:val="FootnoteBulletLevel2"/>
        <w:keepNext/>
        <w:numPr>
          <w:ilvl w:val="0"/>
          <w:numId w:val="6"/>
        </w:numPr>
        <w:spacing w:before="0" w:after="60"/>
        <w:ind w:left="1440"/>
      </w:pPr>
      <w:r>
        <w:rPr>
          <w:rFonts w:ascii="Tahoma" w:hAnsi="Tahoma" w:cs="Tahoma"/>
          <w:sz w:val="18"/>
        </w:rPr>
        <w:t>Visual Studio Professional mit MSDN</w:t>
      </w:r>
    </w:p>
    <w:p w:rsidR="00C7319A" w:rsidRPr="0062435A" w:rsidRDefault="00C7319A" w:rsidP="00C7319A">
      <w:pPr>
        <w:pStyle w:val="FootnoteBulletLevel2"/>
        <w:numPr>
          <w:ilvl w:val="0"/>
          <w:numId w:val="6"/>
        </w:numPr>
        <w:spacing w:before="0" w:after="60"/>
        <w:ind w:left="1440"/>
      </w:pPr>
      <w:r>
        <w:rPr>
          <w:rFonts w:ascii="Tahoma" w:hAnsi="Tahoma" w:cs="Tahoma"/>
          <w:sz w:val="18"/>
        </w:rPr>
        <w:t>Visual Studio Test Professional mit MSDN</w:t>
      </w:r>
    </w:p>
    <w:p w:rsidR="00C7319A" w:rsidRPr="0062435A" w:rsidRDefault="00C7319A" w:rsidP="00C7319A">
      <w:pPr>
        <w:pStyle w:val="FootnoteBulletLevel2"/>
        <w:numPr>
          <w:ilvl w:val="0"/>
          <w:numId w:val="6"/>
        </w:numPr>
        <w:spacing w:before="0" w:after="60"/>
        <w:ind w:left="1440"/>
      </w:pPr>
      <w:r>
        <w:rPr>
          <w:rFonts w:ascii="Tahoma" w:hAnsi="Tahoma" w:cs="Tahoma"/>
          <w:sz w:val="18"/>
        </w:rPr>
        <w:t>MSDN-Betriebssysteme</w:t>
      </w:r>
    </w:p>
    <w:p w:rsidR="00C7319A" w:rsidRPr="0062435A" w:rsidRDefault="00C7319A" w:rsidP="00C7319A">
      <w:pPr>
        <w:pStyle w:val="FootnoteBulletLevel1"/>
        <w:spacing w:before="0" w:after="0"/>
        <w:ind w:left="907" w:firstLine="0"/>
      </w:pPr>
    </w:p>
    <w:p w:rsidR="00C7319A" w:rsidRPr="0062435A" w:rsidRDefault="00C7319A" w:rsidP="00C7319A">
      <w:pPr>
        <w:pStyle w:val="FootnoteBulletLevel1"/>
        <w:tabs>
          <w:tab w:val="clear" w:pos="900"/>
        </w:tabs>
        <w:spacing w:before="0" w:after="0"/>
        <w:ind w:left="720" w:firstLine="0"/>
      </w:pPr>
      <w:r>
        <w:rPr>
          <w:rFonts w:ascii="Tahoma" w:hAnsi="Tahoma" w:cs="Tahoma"/>
          <w:sz w:val="18"/>
        </w:rPr>
        <w:t xml:space="preserve">Konzern-, Select- oder Open Value-Kunden mit aktiver Software Assurance für Visual Studio Premium 2012 mit MSDN können eine </w:t>
      </w:r>
      <w:hyperlink w:anchor="Step_Up" w:history="1">
        <w:r>
          <w:rPr>
            <w:rFonts w:ascii="Tahoma" w:hAnsi="Tahoma" w:cs="Tahoma"/>
            <w:sz w:val="18"/>
            <w:szCs w:val="24"/>
          </w:rPr>
          <w:t>Step-Up SKU</w:t>
        </w:r>
      </w:hyperlink>
      <w:r>
        <w:rPr>
          <w:rFonts w:ascii="Tahoma" w:hAnsi="Tahoma" w:cs="Tahoma"/>
          <w:sz w:val="18"/>
        </w:rPr>
        <w:t xml:space="preserve"> für Visual Studio 2012 Ultimate mit MSDN erwerben</w:t>
      </w:r>
      <w:r w:rsidR="006257A7">
        <w:rPr>
          <w:rFonts w:ascii="Tahoma" w:hAnsi="Tahoma" w:cs="Tahoma"/>
          <w:sz w:val="18"/>
        </w:rPr>
        <w:t xml:space="preserve">. </w:t>
      </w:r>
    </w:p>
    <w:p w:rsidR="00C7319A" w:rsidRPr="0062435A" w:rsidRDefault="00C7319A" w:rsidP="00C7319A">
      <w:pPr>
        <w:pStyle w:val="FootnoteBulletLevel2"/>
        <w:tabs>
          <w:tab w:val="clear" w:pos="1260"/>
        </w:tabs>
        <w:spacing w:before="0"/>
        <w:ind w:left="720" w:firstLine="0"/>
      </w:pPr>
    </w:p>
    <w:p w:rsidR="00C7319A" w:rsidRPr="0062435A" w:rsidRDefault="00C7319A" w:rsidP="00C7319A">
      <w:pPr>
        <w:spacing w:after="60"/>
        <w:ind w:left="720"/>
      </w:pPr>
      <w:r>
        <w:rPr>
          <w:rFonts w:cs="Tahoma"/>
          <w:b/>
        </w:rPr>
        <w:t>Abonnementdienste</w:t>
      </w:r>
    </w:p>
    <w:p w:rsidR="00C7319A" w:rsidRPr="0062435A" w:rsidRDefault="00C7319A" w:rsidP="00C7319A">
      <w:pPr>
        <w:pStyle w:val="FootnoteBulletLevel2"/>
        <w:tabs>
          <w:tab w:val="clear" w:pos="1260"/>
        </w:tabs>
        <w:spacing w:before="0"/>
        <w:ind w:left="720" w:firstLine="0"/>
      </w:pPr>
      <w:r>
        <w:rPr>
          <w:rFonts w:ascii="Tahoma" w:hAnsi="Tahoma" w:cs="Tahoma"/>
          <w:sz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r w:rsidR="006257A7">
        <w:rPr>
          <w:rFonts w:ascii="Tahoma" w:hAnsi="Tahoma" w:cs="Tahoma"/>
          <w:sz w:val="18"/>
        </w:rPr>
        <w:t xml:space="preserve">. </w:t>
      </w:r>
    </w:p>
    <w:p w:rsidR="00C7319A" w:rsidRPr="0062435A" w:rsidRDefault="00C7319A" w:rsidP="00C7319A">
      <w:pPr>
        <w:pStyle w:val="FootnoteBulletLevel1"/>
        <w:tabs>
          <w:tab w:val="clear" w:pos="900"/>
        </w:tabs>
        <w:spacing w:before="0" w:after="0"/>
        <w:ind w:left="720" w:firstLine="0"/>
      </w:pPr>
    </w:p>
    <w:p w:rsidR="00C7319A" w:rsidRPr="009123CB" w:rsidRDefault="00C7319A" w:rsidP="00C7319A">
      <w:pPr>
        <w:spacing w:after="60"/>
        <w:ind w:left="720"/>
        <w:rPr>
          <w:lang w:val="de-DE"/>
        </w:rPr>
      </w:pPr>
      <w:r w:rsidRPr="009123CB">
        <w:rPr>
          <w:rFonts w:cs="Tahoma"/>
          <w:b/>
          <w:lang w:val="de-DE"/>
        </w:rPr>
        <w:t>Windows Azure Platform-Dienste</w:t>
      </w:r>
    </w:p>
    <w:p w:rsidR="00C7319A" w:rsidRPr="009123CB" w:rsidRDefault="00C7319A" w:rsidP="00C7319A">
      <w:pPr>
        <w:pStyle w:val="FootnoteBulletLevel2"/>
        <w:tabs>
          <w:tab w:val="clear" w:pos="1260"/>
        </w:tabs>
        <w:spacing w:before="0"/>
        <w:ind w:left="720" w:firstLine="0"/>
        <w:rPr>
          <w:lang w:val="de-DE"/>
        </w:rPr>
      </w:pPr>
      <w:r w:rsidRPr="009123CB">
        <w:rPr>
          <w:rFonts w:ascii="Tahoma" w:hAnsi="Tahoma" w:cs="Tahoma"/>
          <w:sz w:val="18"/>
          <w:lang w:val="de-DE"/>
        </w:rPr>
        <w:t>Windows Azure-Vergünstigungen aus mehreren MSDN-Abonnements können nicht in einem Windows Azure-Account kombiniert werden</w:t>
      </w:r>
      <w:r w:rsidR="006257A7">
        <w:rPr>
          <w:rFonts w:ascii="Tahoma" w:hAnsi="Tahoma" w:cs="Tahoma"/>
          <w:sz w:val="18"/>
          <w:lang w:val="de-DE"/>
        </w:rPr>
        <w:t xml:space="preserve">. </w:t>
      </w:r>
      <w:r w:rsidRPr="009123CB">
        <w:rPr>
          <w:rFonts w:ascii="Tahoma" w:hAnsi="Tahoma" w:cs="Tahoma"/>
          <w:sz w:val="18"/>
          <w:lang w:val="de-DE"/>
        </w:rPr>
        <w:t>Die Verwendung von Windows Azure unterliegt den Nutzungsbestimmungen für Windows Azure</w:t>
      </w:r>
      <w:r w:rsidR="006257A7">
        <w:rPr>
          <w:rFonts w:ascii="Tahoma" w:hAnsi="Tahoma" w:cs="Tahoma"/>
          <w:sz w:val="18"/>
          <w:lang w:val="de-DE"/>
        </w:rPr>
        <w:t xml:space="preserve">. </w:t>
      </w:r>
    </w:p>
    <w:p w:rsidR="00C7319A" w:rsidRPr="009123CB" w:rsidRDefault="00C7319A" w:rsidP="00C7319A">
      <w:pPr>
        <w:spacing w:after="60"/>
        <w:ind w:left="720"/>
        <w:rPr>
          <w:lang w:val="de-DE"/>
        </w:rPr>
      </w:pPr>
    </w:p>
    <w:p w:rsidR="00C7319A" w:rsidRPr="009123CB" w:rsidRDefault="00C7319A" w:rsidP="00C7319A">
      <w:pPr>
        <w:pStyle w:val="FootnoteBulletLevel2"/>
        <w:tabs>
          <w:tab w:val="clear" w:pos="1260"/>
        </w:tabs>
        <w:spacing w:before="0"/>
        <w:ind w:left="0" w:firstLine="0"/>
        <w:rPr>
          <w:lang w:val="de-DE"/>
        </w:rPr>
      </w:pPr>
    </w:p>
    <w:p w:rsidR="00C7319A" w:rsidRPr="009123CB" w:rsidRDefault="00C7319A" w:rsidP="00C7319A">
      <w:pPr>
        <w:pStyle w:val="FootnoteBulletLevel2"/>
        <w:tabs>
          <w:tab w:val="clear" w:pos="1260"/>
        </w:tabs>
        <w:spacing w:before="0"/>
        <w:ind w:left="0" w:firstLine="0"/>
        <w:rPr>
          <w:lang w:val="de-DE"/>
        </w:rPr>
      </w:pPr>
    </w:p>
    <w:p w:rsidR="00C7319A" w:rsidRPr="009123CB" w:rsidRDefault="00C7319A" w:rsidP="00C7319A">
      <w:pPr>
        <w:pStyle w:val="Heading3"/>
        <w:rPr>
          <w:lang w:val="de-DE"/>
        </w:rPr>
      </w:pPr>
      <w:bookmarkStart w:id="1084" w:name="_22_Visual_Studio"/>
      <w:bookmarkStart w:id="1085" w:name="_Toc336338278"/>
      <w:bookmarkStart w:id="1086" w:name="_Toc363999018"/>
      <w:bookmarkStart w:id="1087" w:name="Aps_18VS2010UltimateMSDN"/>
      <w:bookmarkEnd w:id="1084"/>
      <w:r w:rsidRPr="009123CB">
        <w:rPr>
          <w:rFonts w:ascii="Tahoma" w:hAnsi="Tahoma"/>
          <w:caps/>
          <w:color w:val="F66400"/>
          <w:sz w:val="22"/>
          <w:vertAlign w:val="superscript"/>
          <w:lang w:val="de-DE"/>
        </w:rPr>
        <w:t>23</w:t>
      </w:r>
      <w:r w:rsidRPr="009123CB">
        <w:rPr>
          <w:rFonts w:ascii="Tahoma" w:hAnsi="Tahoma"/>
          <w:color w:val="F66400"/>
          <w:sz w:val="22"/>
          <w:lang w:val="de-DE"/>
        </w:rPr>
        <w:t xml:space="preserve"> Visual Studio Ultimate 2012 mit MSDN</w:t>
      </w:r>
      <w:bookmarkEnd w:id="1085"/>
      <w:bookmarkEnd w:id="1086"/>
      <w:r w:rsidRPr="009123CB">
        <w:rPr>
          <w:rFonts w:ascii="Tahoma" w:hAnsi="Tahoma"/>
          <w:color w:val="F66400"/>
          <w:sz w:val="22"/>
          <w:lang w:val="de-DE"/>
        </w:rPr>
        <w:t xml:space="preserve"> </w:t>
      </w:r>
    </w:p>
    <w:bookmarkEnd w:id="1087"/>
    <w:p w:rsidR="00C7319A" w:rsidRPr="009123CB" w:rsidRDefault="00C7319A" w:rsidP="00C7319A">
      <w:pPr>
        <w:adjustRightInd w:val="0"/>
        <w:ind w:left="540"/>
        <w:textAlignment w:val="baseline"/>
        <w:rPr>
          <w:lang w:val="de-DE"/>
        </w:rPr>
      </w:pPr>
    </w:p>
    <w:p w:rsidR="00C7319A" w:rsidRPr="009123CB" w:rsidRDefault="00C7319A" w:rsidP="00C7319A">
      <w:pPr>
        <w:spacing w:after="60"/>
        <w:ind w:left="720"/>
        <w:rPr>
          <w:lang w:val="de-DE"/>
        </w:rPr>
      </w:pPr>
      <w:r w:rsidRPr="009123CB">
        <w:rPr>
          <w:rFonts w:cs="Tahoma"/>
          <w:b/>
          <w:lang w:val="de-DE"/>
        </w:rPr>
        <w:t>Visual Studio Team Foundation Server 2012</w:t>
      </w:r>
    </w:p>
    <w:p w:rsidR="00C7319A" w:rsidRPr="009123CB" w:rsidRDefault="00C7319A" w:rsidP="00C7319A">
      <w:pPr>
        <w:pStyle w:val="EndnoteText"/>
        <w:ind w:left="720"/>
        <w:rPr>
          <w:lang w:val="de-DE"/>
        </w:rPr>
      </w:pPr>
      <w:r w:rsidRPr="009123CB">
        <w:rPr>
          <w:rFonts w:ascii="Tahoma" w:hAnsi="Tahoma" w:cs="Tahoma"/>
          <w:sz w:val="18"/>
          <w:lang w:val="de-DE"/>
        </w:rPr>
        <w:t>Der Abonnent ist zu einer Serverlizenz für Visual Studio Team Foundation Server 2012 und zu einer Nutzer-CAL für Team Foundation Server berechtigt</w:t>
      </w:r>
      <w:r w:rsidR="006257A7">
        <w:rPr>
          <w:rFonts w:ascii="Tahoma" w:hAnsi="Tahoma" w:cs="Tahoma"/>
          <w:sz w:val="18"/>
          <w:lang w:val="de-DE"/>
        </w:rPr>
        <w:t xml:space="preserve">. </w:t>
      </w:r>
      <w:r w:rsidRPr="009123CB">
        <w:rPr>
          <w:rFonts w:ascii="Tahoma" w:hAnsi="Tahoma" w:cs="Tahoma"/>
          <w:sz w:val="18"/>
          <w:lang w:val="de-DE"/>
        </w:rPr>
        <w:t>Die Verwendung der CAL ist ausschließlich dem Abonnenten vorbehalten</w:t>
      </w:r>
      <w:r w:rsidR="006257A7">
        <w:rPr>
          <w:rFonts w:ascii="Tahoma" w:hAnsi="Tahoma" w:cs="Tahoma"/>
          <w:sz w:val="18"/>
          <w:lang w:val="de-DE"/>
        </w:rPr>
        <w:t xml:space="preserve">. </w:t>
      </w:r>
    </w:p>
    <w:p w:rsidR="00C7319A" w:rsidRPr="009123CB" w:rsidRDefault="00C7319A" w:rsidP="00C7319A">
      <w:pPr>
        <w:pStyle w:val="EndnoteText"/>
        <w:ind w:left="720"/>
        <w:rPr>
          <w:lang w:val="de-DE"/>
        </w:rPr>
      </w:pPr>
    </w:p>
    <w:p w:rsidR="00C7319A" w:rsidRPr="00551726" w:rsidRDefault="00C7319A" w:rsidP="00C7319A">
      <w:pPr>
        <w:spacing w:after="60"/>
        <w:ind w:left="720"/>
        <w:rPr>
          <w:lang w:val="de-DE"/>
        </w:rPr>
      </w:pPr>
      <w:r w:rsidRPr="00551726">
        <w:rPr>
          <w:rFonts w:cs="Tahoma"/>
          <w:b/>
          <w:lang w:val="de-DE"/>
        </w:rPr>
        <w:t>SQL Server Parallel Data Warehouse Developer</w:t>
      </w:r>
    </w:p>
    <w:p w:rsidR="00C7319A" w:rsidRPr="009123CB" w:rsidRDefault="00C7319A" w:rsidP="00C7319A">
      <w:pPr>
        <w:pStyle w:val="EndnoteText"/>
        <w:ind w:left="720"/>
        <w:rPr>
          <w:lang w:val="de-DE"/>
        </w:rPr>
      </w:pPr>
      <w:r w:rsidRPr="009123CB">
        <w:rPr>
          <w:rFonts w:ascii="Tahoma" w:hAnsi="Tahoma" w:cs="Tahoma"/>
          <w:sz w:val="18"/>
          <w:lang w:val="de-DE"/>
        </w:rPr>
        <w:t>Der Abonnent ist zu einer Lizenz für SQL Server 2008 R2 Parallel Data Warehouse Developer berechtigt</w:t>
      </w:r>
      <w:r w:rsidR="006257A7">
        <w:rPr>
          <w:rFonts w:ascii="Tahoma" w:hAnsi="Tahoma" w:cs="Tahoma"/>
          <w:sz w:val="18"/>
          <w:lang w:val="de-DE"/>
        </w:rPr>
        <w:t xml:space="preserve">. </w:t>
      </w:r>
    </w:p>
    <w:p w:rsidR="00C7319A" w:rsidRDefault="00C7319A" w:rsidP="00C7319A">
      <w:pPr>
        <w:adjustRightInd w:val="0"/>
        <w:ind w:left="720"/>
        <w:textAlignment w:val="baseline"/>
        <w:rPr>
          <w:lang w:val="de-DE"/>
        </w:rPr>
      </w:pPr>
    </w:p>
    <w:p w:rsidR="006672FD" w:rsidRDefault="006672FD" w:rsidP="00C7319A">
      <w:pPr>
        <w:adjustRightInd w:val="0"/>
        <w:ind w:left="720"/>
        <w:textAlignment w:val="baseline"/>
        <w:rPr>
          <w:lang w:val="de-DE"/>
        </w:rPr>
      </w:pPr>
    </w:p>
    <w:p w:rsidR="006672FD" w:rsidRDefault="006672FD" w:rsidP="00C7319A">
      <w:pPr>
        <w:adjustRightInd w:val="0"/>
        <w:ind w:left="720"/>
        <w:textAlignment w:val="baseline"/>
        <w:rPr>
          <w:lang w:val="de-DE"/>
        </w:rPr>
      </w:pPr>
    </w:p>
    <w:p w:rsidR="006672FD" w:rsidRDefault="006672FD" w:rsidP="00C7319A">
      <w:pPr>
        <w:adjustRightInd w:val="0"/>
        <w:ind w:left="720"/>
        <w:textAlignment w:val="baseline"/>
        <w:rPr>
          <w:lang w:val="de-DE"/>
        </w:rPr>
      </w:pPr>
    </w:p>
    <w:p w:rsidR="006672FD" w:rsidRDefault="006672FD" w:rsidP="00C7319A">
      <w:pPr>
        <w:adjustRightInd w:val="0"/>
        <w:ind w:left="720"/>
        <w:textAlignment w:val="baseline"/>
        <w:rPr>
          <w:lang w:val="de-DE"/>
        </w:rPr>
      </w:pPr>
    </w:p>
    <w:p w:rsidR="006672FD" w:rsidRDefault="006672FD" w:rsidP="00C7319A">
      <w:pPr>
        <w:adjustRightInd w:val="0"/>
        <w:ind w:left="720"/>
        <w:textAlignment w:val="baseline"/>
        <w:rPr>
          <w:lang w:val="de-DE"/>
        </w:rPr>
      </w:pPr>
    </w:p>
    <w:p w:rsidR="00C7319A" w:rsidRPr="009123CB" w:rsidRDefault="00C7319A" w:rsidP="00C7319A">
      <w:pPr>
        <w:spacing w:after="60"/>
        <w:ind w:left="720"/>
        <w:rPr>
          <w:lang w:val="de-DE"/>
        </w:rPr>
      </w:pPr>
      <w:r w:rsidRPr="009123CB">
        <w:rPr>
          <w:rFonts w:cs="Tahoma"/>
          <w:b/>
          <w:lang w:val="de-DE"/>
        </w:rPr>
        <w:t>Software Assurance-Berechtigung</w:t>
      </w:r>
    </w:p>
    <w:p w:rsidR="00C7319A" w:rsidRPr="009123CB" w:rsidRDefault="00C7319A" w:rsidP="00C7319A">
      <w:pPr>
        <w:pStyle w:val="EndnoteText"/>
        <w:ind w:left="720"/>
        <w:rPr>
          <w:lang w:val="de-DE"/>
        </w:rPr>
      </w:pPr>
      <w:r w:rsidRPr="009123CB">
        <w:rPr>
          <w:rFonts w:ascii="Tahoma" w:hAnsi="Tahoma" w:cs="Tahoma"/>
          <w:sz w:val="18"/>
          <w:szCs w:val="18"/>
          <w:lang w:val="de-DE"/>
        </w:rPr>
        <w:t>Kunden, deren Software Assurance für eines der folgenden Produkte abläuft, sind berechtigt, diese als Software Assurance für Visual Studio Ultimate 2012 mit MSDN zu verlängern</w:t>
      </w:r>
      <w:r w:rsidR="006257A7">
        <w:rPr>
          <w:rFonts w:ascii="Tahoma" w:hAnsi="Tahoma" w:cs="Tahoma"/>
          <w:sz w:val="18"/>
          <w:szCs w:val="18"/>
          <w:lang w:val="de-DE"/>
        </w:rPr>
        <w:t xml:space="preserve">. </w:t>
      </w:r>
      <w:r w:rsidRPr="009123CB">
        <w:rPr>
          <w:rFonts w:ascii="Tahoma" w:hAnsi="Tahoma" w:cs="Tahoma"/>
          <w:sz w:val="18"/>
          <w:szCs w:val="18"/>
          <w:lang w:val="de-DE"/>
        </w:rPr>
        <w:t>Bei Verlängerung auf einer anderen MSDN-Abonnementebene ersetzen die neuen Nutzungsbestimmungen die alten, und jegliche Software, die nicht im neuen MSDN-Abonnement enthalten ist,</w:t>
      </w:r>
      <w:r w:rsidRPr="009123CB">
        <w:rPr>
          <w:rFonts w:ascii="Tahoma" w:hAnsi="Tahoma" w:cs="Tahoma"/>
          <w:sz w:val="18"/>
          <w:lang w:val="de-DE"/>
        </w:rPr>
        <w:t xml:space="preserve"> muss entfernt werden</w:t>
      </w:r>
      <w:r w:rsidR="006257A7">
        <w:rPr>
          <w:rFonts w:ascii="Tahoma" w:hAnsi="Tahoma" w:cs="Tahoma"/>
          <w:sz w:val="18"/>
          <w:lang w:val="de-DE"/>
        </w:rPr>
        <w:t xml:space="preserve">. </w:t>
      </w:r>
    </w:p>
    <w:p w:rsidR="00C7319A" w:rsidRPr="006672FD" w:rsidRDefault="00C7319A" w:rsidP="00C7319A">
      <w:pPr>
        <w:ind w:left="900"/>
        <w:rPr>
          <w:szCs w:val="18"/>
          <w:lang w:val="de-DE"/>
        </w:rPr>
      </w:pPr>
    </w:p>
    <w:p w:rsidR="00C7319A" w:rsidRPr="0062435A" w:rsidRDefault="00C7319A" w:rsidP="00C7319A">
      <w:pPr>
        <w:numPr>
          <w:ilvl w:val="0"/>
          <w:numId w:val="6"/>
        </w:numPr>
        <w:adjustRightInd w:val="0"/>
        <w:snapToGrid w:val="0"/>
        <w:spacing w:after="60"/>
        <w:ind w:left="1440"/>
        <w:textAlignment w:val="baseline"/>
      </w:pPr>
      <w:r>
        <w:rPr>
          <w:rFonts w:cs="Tahoma"/>
          <w:szCs w:val="24"/>
        </w:rPr>
        <w:t>Visual Studio Ultimate mit MSDN</w:t>
      </w:r>
    </w:p>
    <w:p w:rsidR="00C7319A" w:rsidRPr="0062435A" w:rsidRDefault="00C7319A" w:rsidP="00C7319A">
      <w:pPr>
        <w:numPr>
          <w:ilvl w:val="0"/>
          <w:numId w:val="6"/>
        </w:numPr>
        <w:adjustRightInd w:val="0"/>
        <w:snapToGrid w:val="0"/>
        <w:spacing w:after="60"/>
        <w:ind w:left="1440"/>
        <w:textAlignment w:val="baseline"/>
      </w:pPr>
      <w:r>
        <w:rPr>
          <w:rFonts w:cs="Tahoma"/>
          <w:szCs w:val="24"/>
        </w:rPr>
        <w:t>Visual Studio Team System Team Suite mit MSDN Premium</w:t>
      </w:r>
    </w:p>
    <w:p w:rsidR="00C7319A" w:rsidRPr="0062435A" w:rsidRDefault="00C7319A" w:rsidP="00C7319A">
      <w:pPr>
        <w:numPr>
          <w:ilvl w:val="0"/>
          <w:numId w:val="6"/>
        </w:numPr>
        <w:adjustRightInd w:val="0"/>
        <w:snapToGrid w:val="0"/>
        <w:spacing w:after="60"/>
        <w:ind w:left="1440"/>
        <w:textAlignment w:val="baseline"/>
      </w:pPr>
      <w:r>
        <w:rPr>
          <w:rFonts w:cs="Tahoma"/>
          <w:szCs w:val="24"/>
        </w:rPr>
        <w:t>Visual Studio Team System Test Edition mit MSDN Premium</w:t>
      </w:r>
    </w:p>
    <w:p w:rsidR="00C7319A" w:rsidRPr="0062435A" w:rsidRDefault="00C7319A" w:rsidP="00C7319A">
      <w:pPr>
        <w:numPr>
          <w:ilvl w:val="0"/>
          <w:numId w:val="6"/>
        </w:numPr>
        <w:adjustRightInd w:val="0"/>
        <w:snapToGrid w:val="0"/>
        <w:spacing w:after="60"/>
        <w:ind w:left="1440"/>
        <w:textAlignment w:val="baseline"/>
      </w:pPr>
      <w:r>
        <w:rPr>
          <w:rFonts w:cs="Tahoma"/>
          <w:szCs w:val="24"/>
        </w:rPr>
        <w:t>Visual Studio Team System Development Edition mit MSDN Premium</w:t>
      </w:r>
    </w:p>
    <w:p w:rsidR="00C7319A" w:rsidRPr="0062435A" w:rsidRDefault="00C7319A" w:rsidP="00C7319A">
      <w:pPr>
        <w:numPr>
          <w:ilvl w:val="0"/>
          <w:numId w:val="6"/>
        </w:numPr>
        <w:adjustRightInd w:val="0"/>
        <w:snapToGrid w:val="0"/>
        <w:spacing w:after="60"/>
        <w:ind w:left="1440"/>
        <w:textAlignment w:val="baseline"/>
      </w:pPr>
      <w:r>
        <w:rPr>
          <w:rFonts w:cs="Tahoma"/>
          <w:szCs w:val="24"/>
        </w:rPr>
        <w:t xml:space="preserve">Visual Studio Team System Architecture Edition mit MSDN Premium </w:t>
      </w:r>
    </w:p>
    <w:p w:rsidR="00C7319A" w:rsidRPr="0062435A" w:rsidRDefault="00C7319A" w:rsidP="00C7319A">
      <w:pPr>
        <w:numPr>
          <w:ilvl w:val="0"/>
          <w:numId w:val="6"/>
        </w:numPr>
        <w:adjustRightInd w:val="0"/>
        <w:snapToGrid w:val="0"/>
        <w:spacing w:after="60"/>
        <w:ind w:left="1440"/>
        <w:textAlignment w:val="baseline"/>
      </w:pPr>
      <w:r>
        <w:rPr>
          <w:rFonts w:cs="Tahoma"/>
          <w:szCs w:val="24"/>
        </w:rPr>
        <w:t>Visual Studio Team System Database Edition mit MSDN Premium</w:t>
      </w:r>
    </w:p>
    <w:p w:rsidR="00C7319A" w:rsidRPr="009123CB" w:rsidRDefault="00C7319A" w:rsidP="00C7319A">
      <w:pPr>
        <w:numPr>
          <w:ilvl w:val="0"/>
          <w:numId w:val="6"/>
        </w:numPr>
        <w:adjustRightInd w:val="0"/>
        <w:snapToGrid w:val="0"/>
        <w:spacing w:after="60"/>
        <w:ind w:left="1440"/>
        <w:textAlignment w:val="baseline"/>
        <w:rPr>
          <w:lang w:val="de-DE"/>
        </w:rPr>
      </w:pPr>
      <w:r w:rsidRPr="009123CB">
        <w:rPr>
          <w:rFonts w:cs="Tahoma"/>
          <w:szCs w:val="24"/>
          <w:lang w:val="de-DE"/>
        </w:rPr>
        <w:t>Aktives Einzelhandelsabonnement für eine der oben genannten Softwareversionen</w:t>
      </w:r>
    </w:p>
    <w:p w:rsidR="00C7319A" w:rsidRPr="006672FD" w:rsidRDefault="00C7319A" w:rsidP="00C7319A">
      <w:pPr>
        <w:tabs>
          <w:tab w:val="num" w:pos="900"/>
        </w:tabs>
        <w:adjustRightInd w:val="0"/>
        <w:ind w:left="1440"/>
        <w:textAlignment w:val="baseline"/>
        <w:rPr>
          <w:szCs w:val="18"/>
          <w:lang w:val="de-DE"/>
        </w:rPr>
      </w:pPr>
    </w:p>
    <w:p w:rsidR="00C7319A" w:rsidRPr="009123CB" w:rsidRDefault="00C7319A" w:rsidP="00C7319A">
      <w:pPr>
        <w:adjustRightInd w:val="0"/>
        <w:ind w:left="720"/>
        <w:textAlignment w:val="baseline"/>
        <w:rPr>
          <w:lang w:val="de-DE"/>
        </w:rPr>
      </w:pPr>
      <w:r w:rsidRPr="009123CB">
        <w:rPr>
          <w:rFonts w:cs="Tahoma"/>
          <w:szCs w:val="20"/>
          <w:lang w:val="de-DE"/>
        </w:rPr>
        <w:t xml:space="preserve">Kunden, deren Software Assurance für Visual Studio Ultimate 2012 mit MSDN abläuft, sind berechtigt, diese als Software Assurance für Folgendes zu verlängern: </w:t>
      </w:r>
    </w:p>
    <w:p w:rsidR="00C7319A" w:rsidRPr="006672FD" w:rsidRDefault="00C7319A" w:rsidP="00C7319A">
      <w:pPr>
        <w:adjustRightInd w:val="0"/>
        <w:ind w:left="720"/>
        <w:textAlignment w:val="baseline"/>
        <w:rPr>
          <w:szCs w:val="18"/>
          <w:lang w:val="de-DE"/>
        </w:rPr>
      </w:pPr>
    </w:p>
    <w:p w:rsidR="00C7319A" w:rsidRPr="0062435A" w:rsidRDefault="00C7319A" w:rsidP="00C7319A">
      <w:pPr>
        <w:numPr>
          <w:ilvl w:val="0"/>
          <w:numId w:val="6"/>
        </w:numPr>
        <w:adjustRightInd w:val="0"/>
        <w:snapToGrid w:val="0"/>
        <w:spacing w:after="60"/>
        <w:ind w:left="1440"/>
        <w:textAlignment w:val="baseline"/>
      </w:pPr>
      <w:r>
        <w:rPr>
          <w:rFonts w:cs="Tahoma"/>
          <w:szCs w:val="24"/>
        </w:rPr>
        <w:t>Visual Studio Premium mit MSDN</w:t>
      </w:r>
    </w:p>
    <w:p w:rsidR="00C7319A" w:rsidRPr="0062435A" w:rsidRDefault="00C7319A" w:rsidP="00C7319A">
      <w:pPr>
        <w:numPr>
          <w:ilvl w:val="0"/>
          <w:numId w:val="6"/>
        </w:numPr>
        <w:adjustRightInd w:val="0"/>
        <w:snapToGrid w:val="0"/>
        <w:spacing w:after="60"/>
        <w:ind w:left="1440"/>
        <w:textAlignment w:val="baseline"/>
      </w:pPr>
      <w:r>
        <w:rPr>
          <w:rFonts w:cs="Tahoma"/>
          <w:szCs w:val="24"/>
        </w:rPr>
        <w:t>Visual Studio Professional mit MSDN</w:t>
      </w:r>
    </w:p>
    <w:p w:rsidR="00C7319A" w:rsidRPr="0062435A" w:rsidRDefault="00C7319A" w:rsidP="00C7319A">
      <w:pPr>
        <w:numPr>
          <w:ilvl w:val="0"/>
          <w:numId w:val="6"/>
        </w:numPr>
        <w:adjustRightInd w:val="0"/>
        <w:snapToGrid w:val="0"/>
        <w:spacing w:after="60"/>
        <w:ind w:left="1440"/>
        <w:textAlignment w:val="baseline"/>
      </w:pPr>
      <w:r>
        <w:rPr>
          <w:rFonts w:cs="Tahoma"/>
          <w:szCs w:val="24"/>
        </w:rPr>
        <w:t>Visual Studio Test Professional mit MSDN</w:t>
      </w:r>
    </w:p>
    <w:p w:rsidR="00C7319A" w:rsidRPr="0062435A" w:rsidRDefault="00C7319A" w:rsidP="00C7319A">
      <w:pPr>
        <w:numPr>
          <w:ilvl w:val="0"/>
          <w:numId w:val="6"/>
        </w:numPr>
        <w:adjustRightInd w:val="0"/>
        <w:snapToGrid w:val="0"/>
        <w:spacing w:after="60"/>
        <w:ind w:left="1440"/>
        <w:textAlignment w:val="baseline"/>
      </w:pPr>
      <w:r>
        <w:rPr>
          <w:rFonts w:cs="Tahoma"/>
          <w:szCs w:val="24"/>
        </w:rPr>
        <w:t>MSDN-Betriebssysteme</w:t>
      </w:r>
    </w:p>
    <w:p w:rsidR="00C7319A" w:rsidRPr="006672FD" w:rsidRDefault="00C7319A" w:rsidP="00C7319A">
      <w:pPr>
        <w:rPr>
          <w:szCs w:val="18"/>
        </w:rPr>
      </w:pPr>
    </w:p>
    <w:p w:rsidR="00C7319A" w:rsidRPr="0062435A" w:rsidRDefault="00C7319A" w:rsidP="00C7319A">
      <w:pPr>
        <w:keepNext/>
        <w:spacing w:after="60"/>
        <w:ind w:left="720"/>
      </w:pPr>
      <w:r>
        <w:rPr>
          <w:rFonts w:cs="Tahoma"/>
          <w:b/>
        </w:rPr>
        <w:t>Abonnementdienste</w:t>
      </w:r>
    </w:p>
    <w:p w:rsidR="00C7319A" w:rsidRPr="0062435A" w:rsidRDefault="00C7319A" w:rsidP="00C7319A">
      <w:pPr>
        <w:pStyle w:val="FootnoteBulletLevel2"/>
        <w:tabs>
          <w:tab w:val="clear" w:pos="1260"/>
        </w:tabs>
        <w:spacing w:before="0"/>
        <w:ind w:left="720" w:firstLine="0"/>
      </w:pPr>
      <w:r>
        <w:rPr>
          <w:rFonts w:ascii="Tahoma" w:hAnsi="Tahoma" w:cs="Tahoma"/>
          <w:sz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r w:rsidR="006257A7">
        <w:rPr>
          <w:rFonts w:ascii="Tahoma" w:hAnsi="Tahoma" w:cs="Tahoma"/>
          <w:sz w:val="18"/>
        </w:rPr>
        <w:t xml:space="preserve">. </w:t>
      </w:r>
    </w:p>
    <w:p w:rsidR="00C7319A" w:rsidRPr="006672FD" w:rsidRDefault="00C7319A" w:rsidP="00C7319A">
      <w:pPr>
        <w:pStyle w:val="FootnoteBulletLevel1"/>
        <w:spacing w:before="0" w:after="0"/>
        <w:ind w:left="720" w:firstLine="0"/>
        <w:rPr>
          <w:sz w:val="18"/>
          <w:szCs w:val="18"/>
        </w:rPr>
      </w:pPr>
    </w:p>
    <w:p w:rsidR="00C7319A" w:rsidRPr="009123CB" w:rsidRDefault="00C7319A" w:rsidP="00C7319A">
      <w:pPr>
        <w:spacing w:after="60"/>
        <w:ind w:left="720"/>
        <w:rPr>
          <w:lang w:val="de-DE"/>
        </w:rPr>
      </w:pPr>
      <w:r w:rsidRPr="009123CB">
        <w:rPr>
          <w:rFonts w:cs="Tahoma"/>
          <w:b/>
          <w:lang w:val="de-DE"/>
        </w:rPr>
        <w:t>Windows Azure Platform-Dienste</w:t>
      </w:r>
    </w:p>
    <w:p w:rsidR="00C7319A" w:rsidRPr="009123CB" w:rsidRDefault="00C7319A" w:rsidP="00C7319A">
      <w:pPr>
        <w:adjustRightInd w:val="0"/>
        <w:snapToGrid w:val="0"/>
        <w:ind w:left="720"/>
        <w:textAlignment w:val="baseline"/>
        <w:rPr>
          <w:lang w:val="de-DE"/>
        </w:rPr>
      </w:pPr>
      <w:r w:rsidRPr="009123CB">
        <w:rPr>
          <w:rFonts w:cs="Tahoma"/>
          <w:lang w:val="de-DE"/>
        </w:rPr>
        <w:t>Windows Azure-Vergünstigungen aus mehreren MSDN-Abonnements können nicht in einem Windows Azure-Account kombiniert werden</w:t>
      </w:r>
      <w:r w:rsidR="006257A7">
        <w:rPr>
          <w:rFonts w:cs="Tahoma"/>
          <w:lang w:val="de-DE"/>
        </w:rPr>
        <w:t xml:space="preserve">. </w:t>
      </w:r>
      <w:r w:rsidRPr="009123CB">
        <w:rPr>
          <w:rFonts w:cs="Tahoma"/>
          <w:lang w:val="de-DE"/>
        </w:rPr>
        <w:t>Die Verwendung von Windows Azure unterliegt den Nutzungsbestimmungen für Windows Azure</w:t>
      </w:r>
      <w:r w:rsidR="006257A7">
        <w:rPr>
          <w:rFonts w:cs="Tahoma"/>
          <w:lang w:val="de-DE"/>
        </w:rPr>
        <w:t xml:space="preserve">. </w:t>
      </w:r>
      <w:bookmarkStart w:id="1088" w:name="Aps_19VS2010TestMSDN"/>
    </w:p>
    <w:p w:rsidR="00C7319A" w:rsidRPr="006672FD" w:rsidRDefault="00C7319A" w:rsidP="00C7319A">
      <w:pPr>
        <w:adjustRightInd w:val="0"/>
        <w:snapToGrid w:val="0"/>
        <w:textAlignment w:val="baseline"/>
        <w:rPr>
          <w:szCs w:val="18"/>
          <w:lang w:val="de-DE"/>
        </w:rPr>
      </w:pPr>
    </w:p>
    <w:p w:rsidR="00C7319A" w:rsidRPr="006672FD" w:rsidRDefault="00C7319A" w:rsidP="00C7319A">
      <w:pPr>
        <w:adjustRightInd w:val="0"/>
        <w:snapToGrid w:val="0"/>
        <w:textAlignment w:val="baseline"/>
        <w:rPr>
          <w:szCs w:val="18"/>
          <w:lang w:val="de-DE"/>
        </w:rPr>
      </w:pPr>
    </w:p>
    <w:p w:rsidR="00C7319A" w:rsidRPr="0062435A" w:rsidRDefault="00C7319A" w:rsidP="00C7319A">
      <w:pPr>
        <w:pStyle w:val="Heading3"/>
        <w:keepNext/>
      </w:pPr>
      <w:bookmarkStart w:id="1089" w:name="_23_Visual_Studio"/>
      <w:bookmarkStart w:id="1090" w:name="_24_Visual_Studio"/>
      <w:bookmarkStart w:id="1091" w:name="_Toc336338279"/>
      <w:bookmarkStart w:id="1092" w:name="_Toc363999019"/>
      <w:bookmarkEnd w:id="1089"/>
      <w:bookmarkEnd w:id="1090"/>
      <w:r>
        <w:rPr>
          <w:rFonts w:ascii="Tahoma" w:hAnsi="Tahoma"/>
          <w:caps/>
          <w:color w:val="F66400"/>
          <w:sz w:val="22"/>
          <w:vertAlign w:val="superscript"/>
        </w:rPr>
        <w:t>24</w:t>
      </w:r>
      <w:r>
        <w:rPr>
          <w:rFonts w:ascii="Tahoma" w:hAnsi="Tahoma"/>
          <w:color w:val="F66400"/>
          <w:sz w:val="22"/>
        </w:rPr>
        <w:t xml:space="preserve"> Visual Studio Test Professional 2012 mit </w:t>
      </w:r>
      <w:bookmarkEnd w:id="1088"/>
      <w:r>
        <w:rPr>
          <w:rFonts w:ascii="Tahoma" w:hAnsi="Tahoma"/>
          <w:color w:val="F66400"/>
          <w:sz w:val="22"/>
        </w:rPr>
        <w:t>MSDN</w:t>
      </w:r>
      <w:bookmarkEnd w:id="1091"/>
      <w:bookmarkEnd w:id="1092"/>
      <w:r>
        <w:rPr>
          <w:rFonts w:ascii="Tahoma" w:hAnsi="Tahoma"/>
          <w:color w:val="F66400"/>
          <w:sz w:val="22"/>
        </w:rPr>
        <w:t xml:space="preserve"> </w:t>
      </w:r>
    </w:p>
    <w:p w:rsidR="00C7319A" w:rsidRPr="006672FD" w:rsidRDefault="00C7319A" w:rsidP="00C7319A">
      <w:pPr>
        <w:pStyle w:val="FootnoteBulletLevel1"/>
        <w:keepNext/>
        <w:spacing w:before="0" w:after="0"/>
        <w:rPr>
          <w:sz w:val="18"/>
          <w:szCs w:val="18"/>
        </w:rPr>
      </w:pPr>
    </w:p>
    <w:p w:rsidR="00C7319A" w:rsidRPr="0062435A" w:rsidRDefault="00C7319A" w:rsidP="00C7319A">
      <w:pPr>
        <w:keepNext/>
        <w:spacing w:after="60"/>
        <w:ind w:left="720"/>
      </w:pPr>
      <w:r>
        <w:rPr>
          <w:rFonts w:cs="Tahoma"/>
          <w:b/>
        </w:rPr>
        <w:t>Visual Studio Team Foundation Server 2012</w:t>
      </w:r>
    </w:p>
    <w:p w:rsidR="00C7319A" w:rsidRPr="009123CB" w:rsidRDefault="00C7319A" w:rsidP="00C7319A">
      <w:pPr>
        <w:pStyle w:val="EndnoteText"/>
        <w:ind w:left="720"/>
        <w:rPr>
          <w:lang w:val="de-DE"/>
        </w:rPr>
      </w:pPr>
      <w:r w:rsidRPr="009123CB">
        <w:rPr>
          <w:rFonts w:ascii="Tahoma" w:hAnsi="Tahoma" w:cs="Tahoma"/>
          <w:sz w:val="18"/>
          <w:lang w:val="de-DE"/>
        </w:rPr>
        <w:t>Der Abonnent ist zu einer Serverlizenz für Visual Studio Team Foundation Server 2012 und zu einer Nutzer-CAL für Team Foundation Server berechtigt</w:t>
      </w:r>
      <w:r w:rsidR="006257A7">
        <w:rPr>
          <w:rFonts w:ascii="Tahoma" w:hAnsi="Tahoma" w:cs="Tahoma"/>
          <w:sz w:val="18"/>
          <w:lang w:val="de-DE"/>
        </w:rPr>
        <w:t xml:space="preserve">. </w:t>
      </w:r>
      <w:r w:rsidRPr="009123CB">
        <w:rPr>
          <w:rFonts w:ascii="Tahoma" w:hAnsi="Tahoma" w:cs="Tahoma"/>
          <w:sz w:val="18"/>
          <w:lang w:val="de-DE"/>
        </w:rPr>
        <w:t>Die Verwendung der CAL ist ausschließlich dem Abonnenten vorbehalten</w:t>
      </w:r>
      <w:r w:rsidR="006257A7">
        <w:rPr>
          <w:rFonts w:ascii="Tahoma" w:hAnsi="Tahoma" w:cs="Tahoma"/>
          <w:sz w:val="18"/>
          <w:lang w:val="de-DE"/>
        </w:rPr>
        <w:t xml:space="preserve">. </w:t>
      </w:r>
    </w:p>
    <w:p w:rsidR="00C7319A" w:rsidRPr="006672FD" w:rsidRDefault="00C7319A" w:rsidP="00C7319A">
      <w:pPr>
        <w:pStyle w:val="EndnoteText"/>
        <w:ind w:left="720"/>
        <w:rPr>
          <w:sz w:val="18"/>
          <w:szCs w:val="18"/>
          <w:lang w:val="de-DE"/>
        </w:rPr>
      </w:pPr>
    </w:p>
    <w:p w:rsidR="00C7319A" w:rsidRPr="00051083" w:rsidRDefault="00C7319A" w:rsidP="00C7319A">
      <w:pPr>
        <w:spacing w:after="60"/>
        <w:ind w:left="720"/>
        <w:rPr>
          <w:lang w:val="de-DE"/>
        </w:rPr>
      </w:pPr>
      <w:r w:rsidRPr="00051083">
        <w:rPr>
          <w:rFonts w:cs="Tahoma"/>
          <w:b/>
          <w:lang w:val="de-DE"/>
        </w:rPr>
        <w:t>SQL Server Parallel Data Warehouse Developer</w:t>
      </w:r>
    </w:p>
    <w:p w:rsidR="00C7319A" w:rsidRPr="009123CB" w:rsidRDefault="00C7319A" w:rsidP="00C7319A">
      <w:pPr>
        <w:pStyle w:val="EndnoteText"/>
        <w:ind w:left="720"/>
        <w:rPr>
          <w:lang w:val="de-DE"/>
        </w:rPr>
      </w:pPr>
      <w:r w:rsidRPr="009123CB">
        <w:rPr>
          <w:rFonts w:ascii="Tahoma" w:hAnsi="Tahoma" w:cs="Tahoma"/>
          <w:sz w:val="18"/>
          <w:lang w:val="de-DE"/>
        </w:rPr>
        <w:t>Der Abonnent ist zu einer Lizenz für SQL Server 2008 R2 Parallel Data Warehouse Developer berechtigt</w:t>
      </w:r>
      <w:r w:rsidR="006257A7">
        <w:rPr>
          <w:rFonts w:ascii="Tahoma" w:hAnsi="Tahoma" w:cs="Tahoma"/>
          <w:sz w:val="18"/>
          <w:lang w:val="de-DE"/>
        </w:rPr>
        <w:t xml:space="preserve">. </w:t>
      </w:r>
    </w:p>
    <w:p w:rsidR="00C7319A" w:rsidRDefault="00C7319A" w:rsidP="00C7319A">
      <w:pPr>
        <w:pStyle w:val="FootnoteBulletLevel1"/>
        <w:tabs>
          <w:tab w:val="clear" w:pos="900"/>
        </w:tabs>
        <w:spacing w:before="0" w:after="0"/>
        <w:ind w:left="720" w:firstLine="0"/>
        <w:rPr>
          <w:sz w:val="18"/>
          <w:szCs w:val="18"/>
          <w:lang w:val="de-DE"/>
        </w:rPr>
      </w:pPr>
    </w:p>
    <w:p w:rsidR="00C7319A" w:rsidRPr="009123CB" w:rsidRDefault="00C7319A" w:rsidP="00C7319A">
      <w:pPr>
        <w:spacing w:after="60"/>
        <w:ind w:left="720"/>
        <w:rPr>
          <w:lang w:val="de-DE"/>
        </w:rPr>
      </w:pPr>
      <w:r w:rsidRPr="009123CB">
        <w:rPr>
          <w:rFonts w:cs="Tahoma"/>
          <w:b/>
          <w:lang w:val="de-DE"/>
        </w:rPr>
        <w:t>Software Assurance-Berechtigung</w:t>
      </w:r>
    </w:p>
    <w:p w:rsidR="00C7319A" w:rsidRPr="009123CB" w:rsidRDefault="00C7319A" w:rsidP="00C7319A">
      <w:pPr>
        <w:tabs>
          <w:tab w:val="num" w:pos="1170"/>
        </w:tabs>
        <w:ind w:left="720"/>
        <w:rPr>
          <w:lang w:val="de-DE"/>
        </w:rPr>
      </w:pPr>
      <w:r w:rsidRPr="009123CB">
        <w:rPr>
          <w:rFonts w:cs="Tahoma"/>
          <w:lang w:val="de-DE"/>
        </w:rPr>
        <w:t>Kunden, deren Software Assurance für eines der folgenden Produkte abläuft, sind berechtigt, diese als Software Assurance für Visual Studio Test Professional 2012 mit MSDN zu verlängern</w:t>
      </w:r>
      <w:r w:rsidR="006257A7">
        <w:rPr>
          <w:rFonts w:cs="Tahoma"/>
          <w:szCs w:val="24"/>
          <w:lang w:val="de-DE"/>
        </w:rPr>
        <w:t xml:space="preserve">. </w:t>
      </w:r>
      <w:r w:rsidRPr="009123CB">
        <w:rPr>
          <w:rFonts w:cs="Tahoma"/>
          <w:lang w:val="de-DE"/>
        </w:rPr>
        <w:t>Bei Verlängerung auf einer anderen MSDN-Abonnementebene ersetzen die neuen Nutzungsbestimmungen die alten, und jegliche Software, die nicht im neuen MSDN-Abonnement enthalten ist, muss entfernt werden</w:t>
      </w:r>
      <w:r w:rsidR="006257A7">
        <w:rPr>
          <w:rFonts w:cs="Tahoma"/>
          <w:lang w:val="de-DE"/>
        </w:rPr>
        <w:t xml:space="preserve">. </w:t>
      </w:r>
    </w:p>
    <w:p w:rsidR="00C7319A" w:rsidRPr="006672FD" w:rsidRDefault="00C7319A" w:rsidP="00C7319A">
      <w:pPr>
        <w:pStyle w:val="EndnoteText"/>
        <w:rPr>
          <w:sz w:val="18"/>
          <w:szCs w:val="18"/>
          <w:lang w:val="de-DE"/>
        </w:rPr>
      </w:pPr>
    </w:p>
    <w:p w:rsidR="00C7319A" w:rsidRPr="0062435A" w:rsidRDefault="00C7319A" w:rsidP="00C7319A">
      <w:pPr>
        <w:pStyle w:val="FootnoteBulletLevel2"/>
        <w:numPr>
          <w:ilvl w:val="0"/>
          <w:numId w:val="5"/>
        </w:numPr>
        <w:spacing w:before="0" w:after="60"/>
        <w:ind w:left="1440"/>
      </w:pPr>
      <w:r>
        <w:rPr>
          <w:rFonts w:ascii="Tahoma" w:hAnsi="Tahoma" w:cs="Tahoma"/>
          <w:sz w:val="18"/>
        </w:rPr>
        <w:t>Visual Studio Ultimate mit MSDN</w:t>
      </w:r>
    </w:p>
    <w:p w:rsidR="00C7319A" w:rsidRPr="0062435A" w:rsidRDefault="00C7319A" w:rsidP="00C7319A">
      <w:pPr>
        <w:pStyle w:val="FootnoteBulletLevel2"/>
        <w:numPr>
          <w:ilvl w:val="0"/>
          <w:numId w:val="5"/>
        </w:numPr>
        <w:spacing w:before="0" w:after="60"/>
        <w:ind w:left="1440"/>
      </w:pPr>
      <w:r>
        <w:rPr>
          <w:rFonts w:ascii="Tahoma" w:hAnsi="Tahoma" w:cs="Tahoma"/>
          <w:sz w:val="18"/>
        </w:rPr>
        <w:t>Visual Studio Premium mit MSDN</w:t>
      </w:r>
    </w:p>
    <w:p w:rsidR="00C7319A" w:rsidRPr="0062435A" w:rsidRDefault="00C7319A" w:rsidP="00C7319A">
      <w:pPr>
        <w:pStyle w:val="FootnoteBulletLevel2"/>
        <w:numPr>
          <w:ilvl w:val="0"/>
          <w:numId w:val="5"/>
        </w:numPr>
        <w:spacing w:before="0" w:after="60"/>
        <w:ind w:left="1440"/>
      </w:pPr>
      <w:r>
        <w:rPr>
          <w:rFonts w:ascii="Tahoma" w:hAnsi="Tahoma" w:cs="Tahoma"/>
          <w:sz w:val="18"/>
        </w:rPr>
        <w:t>Visual Studio Test Professional mit MSDN</w:t>
      </w:r>
    </w:p>
    <w:p w:rsidR="00C7319A" w:rsidRPr="009123CB" w:rsidRDefault="00C7319A" w:rsidP="00C7319A">
      <w:pPr>
        <w:pStyle w:val="FootnoteBulletLevel2"/>
        <w:numPr>
          <w:ilvl w:val="0"/>
          <w:numId w:val="5"/>
        </w:numPr>
        <w:spacing w:before="0" w:after="60"/>
        <w:ind w:left="1440"/>
        <w:rPr>
          <w:lang w:val="de-DE"/>
        </w:rPr>
      </w:pPr>
      <w:r w:rsidRPr="009123CB">
        <w:rPr>
          <w:rFonts w:ascii="Tahoma" w:hAnsi="Tahoma" w:cs="Tahoma"/>
          <w:sz w:val="18"/>
          <w:lang w:val="de-DE"/>
        </w:rPr>
        <w:t>Aktives Einzelhandelsabonnement für eine der oben genannten Softwareversionen</w:t>
      </w:r>
    </w:p>
    <w:p w:rsidR="00C7319A" w:rsidRPr="006672FD" w:rsidRDefault="00C7319A" w:rsidP="00C7319A">
      <w:pPr>
        <w:pStyle w:val="FootnoteBulletLevel2"/>
        <w:tabs>
          <w:tab w:val="clear" w:pos="1260"/>
        </w:tabs>
        <w:spacing w:before="0"/>
        <w:ind w:left="720" w:firstLine="0"/>
        <w:rPr>
          <w:rFonts w:ascii="Tahoma" w:hAnsi="Tahoma" w:cs="Tahoma"/>
          <w:sz w:val="18"/>
          <w:szCs w:val="18"/>
          <w:lang w:val="de-DE"/>
        </w:rPr>
      </w:pPr>
      <w:r w:rsidRPr="006672FD">
        <w:rPr>
          <w:rFonts w:ascii="Tahoma" w:hAnsi="Tahoma" w:cs="Tahoma"/>
          <w:sz w:val="18"/>
          <w:szCs w:val="18"/>
          <w:lang w:val="de-DE"/>
        </w:rPr>
        <w:t xml:space="preserve">Konzern-, Select- oder Open Value-Kunden mit aktiver Software Assurance für Visual Studio Test Professional 2012 mit MSDN können </w:t>
      </w:r>
      <w:hyperlink w:anchor="Step_Up" w:history="1">
        <w:r w:rsidRPr="006672FD">
          <w:rPr>
            <w:rFonts w:ascii="Tahoma" w:hAnsi="Tahoma" w:cs="Tahoma"/>
            <w:sz w:val="18"/>
            <w:szCs w:val="18"/>
            <w:lang w:val="de-DE"/>
          </w:rPr>
          <w:t>Step-Up SKUs</w:t>
        </w:r>
      </w:hyperlink>
      <w:r w:rsidRPr="006672FD">
        <w:rPr>
          <w:rFonts w:ascii="Tahoma" w:hAnsi="Tahoma" w:cs="Tahoma"/>
          <w:sz w:val="18"/>
          <w:szCs w:val="18"/>
          <w:lang w:val="de-DE"/>
        </w:rPr>
        <w:t xml:space="preserve"> für Visual Studio Premium 2012 mit MSDN erwerben</w:t>
      </w:r>
      <w:r w:rsidR="006257A7">
        <w:rPr>
          <w:rFonts w:ascii="Tahoma" w:hAnsi="Tahoma" w:cs="Tahoma"/>
          <w:sz w:val="18"/>
          <w:szCs w:val="18"/>
          <w:lang w:val="de-DE"/>
        </w:rPr>
        <w:t xml:space="preserve">. </w:t>
      </w:r>
    </w:p>
    <w:p w:rsidR="00C7319A" w:rsidRPr="008849B7" w:rsidRDefault="00C7319A" w:rsidP="00C7319A">
      <w:pPr>
        <w:rPr>
          <w:lang w:val="de-DE"/>
        </w:rPr>
      </w:pPr>
    </w:p>
    <w:p w:rsidR="00C7319A" w:rsidRPr="008849B7" w:rsidRDefault="00C7319A" w:rsidP="00C7319A">
      <w:pPr>
        <w:spacing w:after="60"/>
        <w:ind w:left="720"/>
        <w:rPr>
          <w:lang w:val="de-DE"/>
        </w:rPr>
      </w:pPr>
      <w:r w:rsidRPr="008849B7">
        <w:rPr>
          <w:rFonts w:cs="Tahoma"/>
          <w:b/>
          <w:lang w:val="de-DE"/>
        </w:rPr>
        <w:t>Abonnementdienste</w:t>
      </w:r>
    </w:p>
    <w:p w:rsidR="00C7319A" w:rsidRPr="008849B7" w:rsidRDefault="00C7319A" w:rsidP="00C7319A">
      <w:pPr>
        <w:ind w:left="720"/>
        <w:rPr>
          <w:lang w:val="de-DE"/>
        </w:rPr>
      </w:pPr>
      <w:r w:rsidRPr="008849B7">
        <w:rPr>
          <w:lang w:val="de-DE"/>
        </w:rPr>
        <w:t xml:space="preserve">MSDN-Abonnementdienste, die Downloads, Product Keys, Windows Azure-Vergünstigungen, </w:t>
      </w:r>
      <w:r w:rsidRPr="008849B7">
        <w:rPr>
          <w:rFonts w:cs="Tahoma"/>
          <w:lang w:val="de-DE"/>
        </w:rPr>
        <w:t xml:space="preserve">Office 365 Developer-Vergünstigungen, </w:t>
      </w:r>
      <w:r w:rsidRPr="008849B7">
        <w:rPr>
          <w:lang w:val="de-DE"/>
        </w:rPr>
        <w:t>E-Learning, technischen Support, Windows Store-Vergünstigungen und andere Services umfassen können, sind nur verfügbar, während das Abonnement aktiv ist</w:t>
      </w:r>
      <w:r w:rsidR="006257A7">
        <w:rPr>
          <w:lang w:val="de-DE"/>
        </w:rPr>
        <w:t xml:space="preserve">. </w:t>
      </w:r>
      <w:bookmarkStart w:id="1093" w:name="_14_Operating_System"/>
      <w:bookmarkEnd w:id="1093"/>
    </w:p>
    <w:p w:rsidR="00C7319A" w:rsidRPr="008849B7" w:rsidRDefault="00C7319A" w:rsidP="00C7319A">
      <w:pPr>
        <w:rPr>
          <w:lang w:val="de-DE"/>
        </w:rPr>
      </w:pPr>
      <w:r w:rsidRPr="008849B7">
        <w:rPr>
          <w:lang w:val="de-DE"/>
        </w:rPr>
        <w:br w:type="page"/>
      </w:r>
      <w:bookmarkStart w:id="1094" w:name="_Toc336338280"/>
    </w:p>
    <w:p w:rsidR="00C7319A" w:rsidRPr="008849B7" w:rsidRDefault="00C7319A" w:rsidP="00C7319A">
      <w:pPr>
        <w:pStyle w:val="Heading2"/>
        <w:ind w:left="0"/>
        <w:rPr>
          <w:lang w:val="de-DE"/>
        </w:rPr>
      </w:pPr>
      <w:bookmarkStart w:id="1095" w:name="_Toc363999020"/>
      <w:r w:rsidRPr="008849B7">
        <w:rPr>
          <w:rFonts w:ascii="Tahoma" w:hAnsi="Tahoma" w:cs="Tahoma"/>
          <w:sz w:val="28"/>
          <w:lang w:val="de-DE"/>
        </w:rPr>
        <w:t>System-Pool</w:t>
      </w:r>
      <w:bookmarkEnd w:id="1094"/>
      <w:bookmarkEnd w:id="1095"/>
    </w:p>
    <w:p w:rsidR="00C7319A" w:rsidRPr="008849B7" w:rsidRDefault="00C7319A" w:rsidP="00C7319A">
      <w:pPr>
        <w:rPr>
          <w:lang w:val="de-DE"/>
        </w:rPr>
      </w:pPr>
    </w:p>
    <w:p w:rsidR="00C7319A" w:rsidRPr="008849B7" w:rsidRDefault="00C7319A" w:rsidP="00C7319A">
      <w:pPr>
        <w:rPr>
          <w:lang w:val="de-DE"/>
        </w:rPr>
      </w:pPr>
    </w:p>
    <w:p w:rsidR="00C7319A" w:rsidRPr="008849B7" w:rsidRDefault="00C7319A" w:rsidP="00C7319A">
      <w:pPr>
        <w:pStyle w:val="Heading3"/>
        <w:rPr>
          <w:lang w:val="de-DE"/>
        </w:rPr>
      </w:pPr>
      <w:bookmarkStart w:id="1096" w:name="_24_Microsoft_Desktop"/>
      <w:bookmarkStart w:id="1097" w:name="_25_Microsoft_Desktop"/>
      <w:bookmarkStart w:id="1098" w:name="_Toc336338283"/>
      <w:bookmarkStart w:id="1099" w:name="_Toc363999021"/>
      <w:bookmarkStart w:id="1100" w:name="Sys_21MDOPforSA"/>
      <w:bookmarkStart w:id="1101" w:name="Sys_25MDOPforSA"/>
      <w:bookmarkEnd w:id="1096"/>
      <w:bookmarkEnd w:id="1097"/>
      <w:r w:rsidRPr="008849B7">
        <w:rPr>
          <w:rFonts w:ascii="Tahoma" w:hAnsi="Tahoma"/>
          <w:caps/>
          <w:color w:val="F66400"/>
          <w:sz w:val="22"/>
          <w:vertAlign w:val="superscript"/>
          <w:lang w:val="de-DE"/>
        </w:rPr>
        <w:t>25</w:t>
      </w:r>
      <w:r w:rsidRPr="008849B7">
        <w:rPr>
          <w:rFonts w:ascii="Tahoma" w:hAnsi="Tahoma"/>
          <w:color w:val="F66400"/>
          <w:sz w:val="22"/>
          <w:lang w:val="de-DE"/>
        </w:rPr>
        <w:t xml:space="preserve"> Microsoft Desktop Optimization Pack für Software Assurance</w:t>
      </w:r>
      <w:bookmarkEnd w:id="1098"/>
      <w:bookmarkEnd w:id="1099"/>
    </w:p>
    <w:bookmarkEnd w:id="1100"/>
    <w:p w:rsidR="00C7319A" w:rsidRPr="008849B7" w:rsidRDefault="00C7319A" w:rsidP="00C7319A">
      <w:pPr>
        <w:rPr>
          <w:lang w:val="de-DE"/>
        </w:rPr>
      </w:pPr>
    </w:p>
    <w:p w:rsidR="00C7319A" w:rsidRPr="009123CB" w:rsidRDefault="00C7319A" w:rsidP="00C7319A">
      <w:pPr>
        <w:ind w:left="720"/>
        <w:rPr>
          <w:lang w:val="de-DE"/>
        </w:rPr>
      </w:pPr>
      <w:r w:rsidRPr="009123CB">
        <w:rPr>
          <w:rFonts w:eastAsia="Calibri" w:cs="Tahoma"/>
          <w:color w:val="000000"/>
          <w:szCs w:val="18"/>
          <w:lang w:val="de-DE"/>
        </w:rPr>
        <w:t>Kunden, die das Microsoft Desktop Optimization Pack für Software Assurance (MDOP) erwerben möchten, müssen zunächst eines der folgenden Produkte erwerben und ihrem Desktop zuweisen:</w:t>
      </w:r>
    </w:p>
    <w:p w:rsidR="00C7319A" w:rsidRPr="009123CB" w:rsidRDefault="00C7319A" w:rsidP="00C7319A">
      <w:pPr>
        <w:ind w:left="720"/>
        <w:rPr>
          <w:lang w:val="de-DE"/>
        </w:rPr>
      </w:pPr>
    </w:p>
    <w:p w:rsidR="00C7319A" w:rsidRPr="009123CB" w:rsidRDefault="00C7319A" w:rsidP="00C7319A">
      <w:pPr>
        <w:numPr>
          <w:ilvl w:val="0"/>
          <w:numId w:val="49"/>
        </w:numPr>
        <w:tabs>
          <w:tab w:val="left" w:pos="1440"/>
        </w:tabs>
        <w:ind w:left="1440" w:hanging="446"/>
        <w:rPr>
          <w:lang w:val="de-DE"/>
        </w:rPr>
      </w:pPr>
      <w:r w:rsidRPr="009123CB">
        <w:rPr>
          <w:rFonts w:eastAsia="Calibri" w:cs="Tahoma"/>
          <w:color w:val="000000"/>
          <w:szCs w:val="18"/>
          <w:lang w:val="de-DE"/>
        </w:rPr>
        <w:t>aktive Software Assurance für das Windows Desktop-Betriebssystem oder</w:t>
      </w:r>
    </w:p>
    <w:p w:rsidR="00C7319A" w:rsidRPr="0062435A" w:rsidRDefault="00C7319A" w:rsidP="00C7319A">
      <w:pPr>
        <w:numPr>
          <w:ilvl w:val="0"/>
          <w:numId w:val="49"/>
        </w:numPr>
        <w:tabs>
          <w:tab w:val="left" w:pos="1440"/>
        </w:tabs>
        <w:ind w:left="1440" w:hanging="446"/>
      </w:pPr>
      <w:r>
        <w:rPr>
          <w:rFonts w:eastAsia="Calibri" w:cs="Tahoma"/>
          <w:color w:val="000000"/>
          <w:szCs w:val="18"/>
        </w:rPr>
        <w:t>eine Windows Virtual Desktop Access-Lizenz oder</w:t>
      </w:r>
    </w:p>
    <w:p w:rsidR="00C7319A" w:rsidRPr="009123CB" w:rsidRDefault="00C7319A" w:rsidP="00C7319A">
      <w:pPr>
        <w:numPr>
          <w:ilvl w:val="0"/>
          <w:numId w:val="49"/>
        </w:numPr>
        <w:tabs>
          <w:tab w:val="left" w:pos="1440"/>
        </w:tabs>
        <w:ind w:left="1440" w:hanging="446"/>
        <w:rPr>
          <w:lang w:val="de-DE"/>
        </w:rPr>
      </w:pPr>
      <w:r w:rsidRPr="009123CB">
        <w:rPr>
          <w:rFonts w:eastAsia="Calibri" w:cs="Tahoma"/>
          <w:color w:val="000000"/>
          <w:szCs w:val="18"/>
          <w:lang w:val="de-DE"/>
        </w:rPr>
        <w:t xml:space="preserve">ein aktives Abonnement für Windows Intune </w:t>
      </w:r>
      <w:r w:rsidRPr="009123CB">
        <w:rPr>
          <w:rFonts w:cs="Tahoma"/>
          <w:szCs w:val="18"/>
          <w:lang w:val="de-DE"/>
        </w:rPr>
        <w:t>(Pro Gerät)</w:t>
      </w:r>
      <w:r w:rsidR="006257A7">
        <w:rPr>
          <w:rFonts w:eastAsia="Calibri" w:cs="Tahoma"/>
          <w:color w:val="000000"/>
          <w:szCs w:val="18"/>
          <w:lang w:val="de-DE"/>
        </w:rPr>
        <w:t xml:space="preserve">. </w:t>
      </w:r>
    </w:p>
    <w:p w:rsidR="00C7319A" w:rsidRPr="009123CB" w:rsidRDefault="00C7319A" w:rsidP="008775F2">
      <w:pPr>
        <w:spacing w:before="120"/>
        <w:ind w:left="720"/>
        <w:rPr>
          <w:lang w:val="de-DE"/>
        </w:rPr>
      </w:pPr>
      <w:r w:rsidRPr="009123CB">
        <w:rPr>
          <w:rFonts w:eastAsia="Calibri" w:cs="Tahoma"/>
          <w:color w:val="000000"/>
          <w:szCs w:val="18"/>
          <w:lang w:val="de-DE"/>
        </w:rPr>
        <w:t>Geräte, die durch eine aktive Windows Companion-Abonnementlizenz abgedeckt sind, sind ebenfalls</w:t>
      </w:r>
      <w:r w:rsidR="008775F2">
        <w:rPr>
          <w:rFonts w:eastAsia="Calibri" w:cs="Tahoma"/>
          <w:color w:val="000000"/>
          <w:szCs w:val="18"/>
          <w:lang w:val="de-DE"/>
        </w:rPr>
        <w:t> </w:t>
      </w:r>
      <w:r w:rsidRPr="009123CB">
        <w:rPr>
          <w:rFonts w:eastAsia="Calibri" w:cs="Tahoma"/>
          <w:color w:val="000000"/>
          <w:szCs w:val="18"/>
          <w:lang w:val="de-DE"/>
        </w:rPr>
        <w:t>zulässig</w:t>
      </w:r>
      <w:r w:rsidR="006257A7">
        <w:rPr>
          <w:rFonts w:eastAsia="Calibri" w:cs="Tahoma"/>
          <w:color w:val="000000"/>
          <w:szCs w:val="18"/>
          <w:lang w:val="de-DE"/>
        </w:rPr>
        <w:t xml:space="preserve">. </w:t>
      </w:r>
    </w:p>
    <w:p w:rsidR="00C7319A" w:rsidRPr="009123CB" w:rsidRDefault="00C7319A" w:rsidP="00C7319A">
      <w:pPr>
        <w:ind w:left="720"/>
        <w:rPr>
          <w:lang w:val="de-DE"/>
        </w:rPr>
      </w:pPr>
    </w:p>
    <w:p w:rsidR="00C7319A" w:rsidRPr="009123CB" w:rsidRDefault="00C7319A" w:rsidP="007E1881">
      <w:pPr>
        <w:ind w:left="720"/>
        <w:rPr>
          <w:lang w:val="de-DE"/>
        </w:rPr>
      </w:pPr>
      <w:r w:rsidRPr="009123CB">
        <w:rPr>
          <w:rFonts w:eastAsia="Calibri" w:cs="Tahoma"/>
          <w:color w:val="000000"/>
          <w:szCs w:val="18"/>
          <w:lang w:val="de-DE"/>
        </w:rPr>
        <w:t>Kunden mit Volumenlizenzverträgen, die aktive Lizenzen für MDOP besitzen, erhalten die folgende Software</w:t>
      </w:r>
      <w:r w:rsidR="007E1881">
        <w:rPr>
          <w:rFonts w:eastAsia="Calibri" w:cs="Tahoma"/>
          <w:color w:val="000000"/>
          <w:szCs w:val="18"/>
          <w:lang w:val="de-DE"/>
        </w:rPr>
        <w:t> </w:t>
      </w:r>
      <w:r w:rsidRPr="009123CB">
        <w:rPr>
          <w:rFonts w:eastAsia="Calibri" w:cs="Tahoma"/>
          <w:color w:val="000000"/>
          <w:szCs w:val="18"/>
          <w:lang w:val="de-DE"/>
        </w:rPr>
        <w:t>(sobald sie verfügbar ist):</w:t>
      </w:r>
    </w:p>
    <w:p w:rsidR="00C7319A" w:rsidRPr="009123CB" w:rsidRDefault="00C7319A" w:rsidP="00C7319A">
      <w:pPr>
        <w:ind w:left="720"/>
        <w:rPr>
          <w:lang w:val="de-DE"/>
        </w:rPr>
      </w:pPr>
    </w:p>
    <w:p w:rsidR="00C7319A" w:rsidRPr="0062435A" w:rsidRDefault="00C7319A" w:rsidP="00C7319A">
      <w:pPr>
        <w:numPr>
          <w:ilvl w:val="0"/>
          <w:numId w:val="49"/>
        </w:numPr>
        <w:tabs>
          <w:tab w:val="left" w:pos="1440"/>
        </w:tabs>
        <w:spacing w:after="60"/>
        <w:ind w:left="1440" w:hanging="446"/>
      </w:pPr>
      <w:r>
        <w:rPr>
          <w:rFonts w:eastAsia="Calibri" w:cs="Tahoma"/>
          <w:color w:val="000000"/>
          <w:szCs w:val="18"/>
        </w:rPr>
        <w:t>Microsoft Application Virtualization für Windows Desktops (App-V)</w:t>
      </w:r>
    </w:p>
    <w:p w:rsidR="00C7319A" w:rsidRPr="0062435A" w:rsidRDefault="00C7319A" w:rsidP="00C7319A">
      <w:pPr>
        <w:numPr>
          <w:ilvl w:val="0"/>
          <w:numId w:val="49"/>
        </w:numPr>
        <w:tabs>
          <w:tab w:val="left" w:pos="1440"/>
        </w:tabs>
        <w:spacing w:after="60"/>
        <w:ind w:left="1440" w:hanging="446"/>
      </w:pPr>
      <w:r>
        <w:rPr>
          <w:rFonts w:eastAsia="Calibri" w:cs="Tahoma"/>
          <w:color w:val="000000"/>
          <w:szCs w:val="18"/>
        </w:rPr>
        <w:t>Microsoft Advanced Group Policy Management (AGPM)</w:t>
      </w:r>
    </w:p>
    <w:p w:rsidR="00C7319A" w:rsidRPr="009123CB" w:rsidRDefault="00C7319A" w:rsidP="00C7319A">
      <w:pPr>
        <w:numPr>
          <w:ilvl w:val="0"/>
          <w:numId w:val="49"/>
        </w:numPr>
        <w:tabs>
          <w:tab w:val="left" w:pos="1440"/>
        </w:tabs>
        <w:spacing w:after="60"/>
        <w:ind w:left="1440" w:hanging="446"/>
        <w:rPr>
          <w:lang w:val="de-DE"/>
        </w:rPr>
      </w:pPr>
      <w:r w:rsidRPr="009123CB">
        <w:rPr>
          <w:rFonts w:eastAsia="Calibri" w:cs="Tahoma"/>
          <w:color w:val="000000"/>
          <w:szCs w:val="18"/>
          <w:lang w:val="de-DE"/>
        </w:rPr>
        <w:t>Microsoft Toolset für Diagnose und Wiederherstellung (DART)</w:t>
      </w:r>
    </w:p>
    <w:p w:rsidR="00C7319A" w:rsidRPr="0062435A" w:rsidRDefault="00C7319A" w:rsidP="00C7319A">
      <w:pPr>
        <w:numPr>
          <w:ilvl w:val="0"/>
          <w:numId w:val="49"/>
        </w:numPr>
        <w:tabs>
          <w:tab w:val="left" w:pos="1440"/>
        </w:tabs>
        <w:spacing w:after="60"/>
        <w:ind w:left="1440" w:hanging="446"/>
      </w:pPr>
      <w:r>
        <w:rPr>
          <w:rFonts w:eastAsia="Calibri" w:cs="Tahoma"/>
          <w:color w:val="000000"/>
          <w:szCs w:val="18"/>
        </w:rPr>
        <w:t>Microsoft Enterprise Desktop Virtualization (MED-V)</w:t>
      </w:r>
    </w:p>
    <w:p w:rsidR="00C7319A" w:rsidRPr="009123CB" w:rsidRDefault="00C7319A" w:rsidP="00C7319A">
      <w:pPr>
        <w:numPr>
          <w:ilvl w:val="0"/>
          <w:numId w:val="49"/>
        </w:numPr>
        <w:tabs>
          <w:tab w:val="left" w:pos="1440"/>
        </w:tabs>
        <w:spacing w:after="60"/>
        <w:ind w:left="1440" w:hanging="446"/>
        <w:rPr>
          <w:lang w:val="de-DE"/>
        </w:rPr>
      </w:pPr>
      <w:r w:rsidRPr="009123CB">
        <w:rPr>
          <w:rFonts w:eastAsia="Calibri" w:cs="Tahoma"/>
          <w:color w:val="000000"/>
          <w:szCs w:val="18"/>
          <w:lang w:val="de-DE"/>
        </w:rPr>
        <w:t>Microsoft BitLocker</w:t>
      </w:r>
      <w:r w:rsidR="0069040B" w:rsidRPr="0069040B">
        <w:rPr>
          <w:rFonts w:eastAsia="Calibri" w:cs="Tahoma"/>
          <w:color w:val="000000"/>
          <w:szCs w:val="18"/>
          <w:vertAlign w:val="superscript"/>
          <w:lang w:val="de-DE"/>
        </w:rPr>
        <w:t>®</w:t>
      </w:r>
      <w:r w:rsidRPr="009123CB">
        <w:rPr>
          <w:rFonts w:eastAsia="Calibri" w:cs="Tahoma"/>
          <w:color w:val="000000"/>
          <w:szCs w:val="18"/>
          <w:lang w:val="de-DE"/>
        </w:rPr>
        <w:t xml:space="preserve"> Administration und Überwachung (MBAM)</w:t>
      </w:r>
    </w:p>
    <w:p w:rsidR="00C7319A" w:rsidRPr="0062435A" w:rsidRDefault="00C7319A" w:rsidP="00C7319A">
      <w:pPr>
        <w:numPr>
          <w:ilvl w:val="0"/>
          <w:numId w:val="49"/>
        </w:numPr>
        <w:tabs>
          <w:tab w:val="left" w:pos="1440"/>
        </w:tabs>
        <w:spacing w:after="60"/>
        <w:ind w:left="1440" w:hanging="446"/>
      </w:pPr>
      <w:r>
        <w:rPr>
          <w:rFonts w:eastAsia="Calibri" w:cs="Tahoma"/>
          <w:color w:val="000000"/>
          <w:szCs w:val="18"/>
        </w:rPr>
        <w:t>Microsoft User Experience Virtualization (UE-V)</w:t>
      </w:r>
    </w:p>
    <w:p w:rsidR="00C7319A" w:rsidRPr="0062435A" w:rsidRDefault="00C7319A" w:rsidP="00C7319A">
      <w:pPr>
        <w:tabs>
          <w:tab w:val="left" w:pos="1440"/>
        </w:tabs>
        <w:ind w:left="994"/>
      </w:pPr>
    </w:p>
    <w:p w:rsidR="00C7319A" w:rsidRPr="0062435A" w:rsidRDefault="00C7319A" w:rsidP="00C7319A">
      <w:pPr>
        <w:spacing w:after="60"/>
        <w:ind w:left="720"/>
      </w:pPr>
      <w:r>
        <w:rPr>
          <w:rFonts w:eastAsia="Calibri" w:cs="Tahoma"/>
          <w:b/>
          <w:color w:val="000000"/>
          <w:szCs w:val="18"/>
        </w:rPr>
        <w:t>Windows Companion-Abonnementlizenz (CSL) und MDOP</w:t>
      </w:r>
    </w:p>
    <w:p w:rsidR="00C7319A" w:rsidRPr="009123CB" w:rsidRDefault="00C7319A" w:rsidP="00C7319A">
      <w:pPr>
        <w:tabs>
          <w:tab w:val="left" w:pos="1440"/>
        </w:tabs>
        <w:ind w:left="720"/>
        <w:rPr>
          <w:lang w:val="de-DE"/>
        </w:rPr>
      </w:pPr>
      <w:r w:rsidRPr="009123CB">
        <w:rPr>
          <w:rFonts w:cs="Tahoma"/>
          <w:color w:val="000000"/>
          <w:szCs w:val="18"/>
          <w:lang w:val="de-DE"/>
        </w:rPr>
        <w:t>Hauptnutzer eines Geräts mit aktiver MDOP-Lizenz und CSL können über Ihre Companion-Geräte auf MDOP-Funktionalität zugreifen, ohne zusätzliche MDOP-Lizenzen für jedes Companion-Gerät erwerben zu müssen</w:t>
      </w:r>
      <w:r w:rsidR="006257A7">
        <w:rPr>
          <w:rFonts w:cs="Tahoma"/>
          <w:color w:val="000000"/>
          <w:szCs w:val="18"/>
          <w:lang w:val="de-DE"/>
        </w:rPr>
        <w:t xml:space="preserve">. </w:t>
      </w:r>
    </w:p>
    <w:p w:rsidR="00C7319A" w:rsidRPr="009123CB" w:rsidRDefault="00C7319A" w:rsidP="00C7319A">
      <w:pPr>
        <w:tabs>
          <w:tab w:val="left" w:pos="1440"/>
        </w:tabs>
        <w:ind w:left="994"/>
        <w:rPr>
          <w:lang w:val="de-DE"/>
        </w:rPr>
      </w:pPr>
    </w:p>
    <w:p w:rsidR="00C7319A" w:rsidRPr="009123CB" w:rsidRDefault="00C7319A" w:rsidP="00C7319A">
      <w:pPr>
        <w:spacing w:after="60"/>
        <w:ind w:left="720"/>
        <w:rPr>
          <w:lang w:val="de-DE"/>
        </w:rPr>
      </w:pPr>
      <w:r w:rsidRPr="009123CB">
        <w:rPr>
          <w:rFonts w:eastAsia="Calibri" w:cs="Tahoma"/>
          <w:b/>
          <w:color w:val="000000"/>
          <w:szCs w:val="18"/>
          <w:lang w:val="de-DE"/>
        </w:rPr>
        <w:t>Windows Intune (Pro Gerät)-Angebot für Microsoft Desktop Optimization Pack (MDOP)-Kunden, die Asset Inventory Service verwenden</w:t>
      </w:r>
    </w:p>
    <w:p w:rsidR="00C7319A" w:rsidRPr="009123CB" w:rsidRDefault="00C7319A" w:rsidP="0092112A">
      <w:pPr>
        <w:ind w:left="720"/>
        <w:rPr>
          <w:lang w:val="de-DE"/>
        </w:rPr>
      </w:pPr>
      <w:r w:rsidRPr="009123CB">
        <w:rPr>
          <w:rFonts w:cs="Tahoma"/>
          <w:color w:val="000000"/>
          <w:szCs w:val="18"/>
          <w:lang w:val="de-DE"/>
        </w:rPr>
        <w:t>Der Asset Inventory Service (AIS), der im Rahmen von MDOP angeboten wird, wird am 3</w:t>
      </w:r>
      <w:r w:rsidR="006257A7">
        <w:rPr>
          <w:rFonts w:cs="Tahoma"/>
          <w:color w:val="000000"/>
          <w:szCs w:val="18"/>
          <w:lang w:val="de-DE"/>
        </w:rPr>
        <w:t xml:space="preserve">. </w:t>
      </w:r>
      <w:r w:rsidRPr="009123CB">
        <w:rPr>
          <w:rFonts w:cs="Tahoma"/>
          <w:color w:val="000000"/>
          <w:szCs w:val="18"/>
          <w:lang w:val="de-DE"/>
        </w:rPr>
        <w:t>April 2013 eingestellt</w:t>
      </w:r>
      <w:r w:rsidR="006257A7">
        <w:rPr>
          <w:rFonts w:cs="Tahoma"/>
          <w:color w:val="000000"/>
          <w:szCs w:val="18"/>
          <w:lang w:val="de-DE"/>
        </w:rPr>
        <w:t xml:space="preserve">. </w:t>
      </w:r>
      <w:r w:rsidRPr="009123CB">
        <w:rPr>
          <w:rFonts w:cs="Tahoma"/>
          <w:color w:val="000000"/>
          <w:szCs w:val="18"/>
          <w:lang w:val="de-DE"/>
        </w:rPr>
        <w:t>Ab diesem Datum haben Kunden keinen Zugriff mehr auf den Service</w:t>
      </w:r>
      <w:r w:rsidR="006257A7">
        <w:rPr>
          <w:rFonts w:cs="Tahoma"/>
          <w:color w:val="000000"/>
          <w:szCs w:val="18"/>
          <w:lang w:val="de-DE"/>
        </w:rPr>
        <w:t xml:space="preserve">. </w:t>
      </w:r>
      <w:r w:rsidRPr="009123CB">
        <w:rPr>
          <w:rFonts w:cs="Tahoma"/>
          <w:color w:val="000000"/>
          <w:szCs w:val="18"/>
          <w:lang w:val="de-DE"/>
        </w:rPr>
        <w:t>MDOP-Kunden mit aktiven AIS-Accounts, die am oder vor dem 30</w:t>
      </w:r>
      <w:r w:rsidR="006257A7">
        <w:rPr>
          <w:rFonts w:cs="Tahoma"/>
          <w:color w:val="000000"/>
          <w:szCs w:val="18"/>
          <w:lang w:val="de-DE"/>
        </w:rPr>
        <w:t xml:space="preserve">. </w:t>
      </w:r>
      <w:r w:rsidRPr="009123CB">
        <w:rPr>
          <w:rFonts w:cs="Tahoma"/>
          <w:color w:val="000000"/>
          <w:szCs w:val="18"/>
          <w:lang w:val="de-DE"/>
        </w:rPr>
        <w:t xml:space="preserve">April 2012 im Center für Volumenlizenz-Services aktiviert wurden, haben die Möglichkeit, auf den Windows Intune </w:t>
      </w:r>
      <w:r w:rsidRPr="009123CB">
        <w:rPr>
          <w:rFonts w:cs="Tahoma"/>
          <w:szCs w:val="18"/>
          <w:lang w:val="de-DE"/>
        </w:rPr>
        <w:t>(Pro Gerät)</w:t>
      </w:r>
      <w:r w:rsidRPr="009123CB">
        <w:rPr>
          <w:rFonts w:cs="Tahoma"/>
          <w:color w:val="000000"/>
          <w:szCs w:val="18"/>
          <w:lang w:val="de-DE"/>
        </w:rPr>
        <w:t xml:space="preserve">-Onlinedienst überzugehen und diesen zu verwenden, </w:t>
      </w:r>
      <w:r w:rsidRPr="009123CB">
        <w:rPr>
          <w:color w:val="000000"/>
          <w:lang w:val="de-DE"/>
        </w:rPr>
        <w:t xml:space="preserve">sofern </w:t>
      </w:r>
      <w:r w:rsidRPr="009123CB">
        <w:rPr>
          <w:rFonts w:cs="Tahoma"/>
          <w:color w:val="000000"/>
          <w:szCs w:val="18"/>
          <w:lang w:val="de-DE"/>
        </w:rPr>
        <w:t xml:space="preserve">Windows Intune </w:t>
      </w:r>
      <w:r w:rsidRPr="009123CB">
        <w:rPr>
          <w:rFonts w:cs="Tahoma"/>
          <w:szCs w:val="18"/>
          <w:lang w:val="de-DE"/>
        </w:rPr>
        <w:t xml:space="preserve">(Pro Gerät) </w:t>
      </w:r>
      <w:r w:rsidRPr="009123CB">
        <w:rPr>
          <w:color w:val="000000"/>
          <w:lang w:val="de-DE"/>
        </w:rPr>
        <w:t>im Land des Kunden kommerziell verfügbar ist</w:t>
      </w:r>
      <w:r w:rsidR="006257A7">
        <w:rPr>
          <w:color w:val="000000"/>
          <w:lang w:val="de-DE"/>
        </w:rPr>
        <w:t xml:space="preserve">. </w:t>
      </w:r>
      <w:r w:rsidRPr="009123CB">
        <w:rPr>
          <w:color w:val="000000"/>
          <w:lang w:val="de-DE"/>
        </w:rPr>
        <w:t xml:space="preserve">Eine Liste der Länder, in denen Windows Intune </w:t>
      </w:r>
      <w:r w:rsidRPr="009123CB">
        <w:rPr>
          <w:rFonts w:cs="Tahoma"/>
          <w:szCs w:val="18"/>
          <w:lang w:val="de-DE"/>
        </w:rPr>
        <w:t xml:space="preserve">(Pro Gerät) </w:t>
      </w:r>
      <w:r w:rsidRPr="009123CB">
        <w:rPr>
          <w:color w:val="000000"/>
          <w:lang w:val="de-DE"/>
        </w:rPr>
        <w:t xml:space="preserve">kommerziell verfügbar ist, finden Sie hier: </w:t>
      </w:r>
      <w:r w:rsidR="0092112A">
        <w:rPr>
          <w:color w:val="000000"/>
          <w:lang w:val="de-DE"/>
        </w:rPr>
        <w:br/>
      </w:r>
      <w:hyperlink r:id="rId39" w:history="1">
        <w:r w:rsidR="0092112A" w:rsidRPr="006C7619">
          <w:rPr>
            <w:rStyle w:val="Hyperlink"/>
            <w:lang w:val="de-DE"/>
          </w:rPr>
          <w:t>www.microsoft.com/en-us/windows/windowsintune/faq/default.aspx</w:t>
        </w:r>
      </w:hyperlink>
      <w:r w:rsidR="006257A7">
        <w:rPr>
          <w:color w:val="0000FF"/>
          <w:u w:val="single"/>
          <w:lang w:val="de-DE"/>
        </w:rPr>
        <w:t xml:space="preserve">. </w:t>
      </w:r>
    </w:p>
    <w:p w:rsidR="00C7319A" w:rsidRPr="009123CB" w:rsidRDefault="00C7319A" w:rsidP="00C7319A">
      <w:pPr>
        <w:ind w:left="720"/>
        <w:rPr>
          <w:lang w:val="de-DE"/>
        </w:rPr>
      </w:pPr>
    </w:p>
    <w:p w:rsidR="00C7319A" w:rsidRPr="0062435A" w:rsidRDefault="00C7319A" w:rsidP="00C7319A">
      <w:pPr>
        <w:spacing w:after="60"/>
        <w:ind w:left="720"/>
      </w:pPr>
      <w:r>
        <w:rPr>
          <w:rFonts w:eastAsia="Calibri" w:cs="Tahoma"/>
          <w:b/>
          <w:color w:val="000000"/>
          <w:szCs w:val="18"/>
        </w:rPr>
        <w:t>Angebotsdetails</w:t>
      </w:r>
    </w:p>
    <w:p w:rsidR="00C7319A" w:rsidRPr="009123CB" w:rsidRDefault="00C7319A" w:rsidP="00C7319A">
      <w:pPr>
        <w:numPr>
          <w:ilvl w:val="1"/>
          <w:numId w:val="82"/>
        </w:numPr>
        <w:spacing w:after="60"/>
        <w:rPr>
          <w:lang w:val="de-DE"/>
        </w:rPr>
      </w:pPr>
      <w:r w:rsidRPr="009123CB">
        <w:rPr>
          <w:rFonts w:eastAsia="Calibri" w:cs="Tahoma"/>
          <w:color w:val="000000"/>
          <w:szCs w:val="18"/>
          <w:lang w:val="de-DE"/>
        </w:rPr>
        <w:t>Dieses Angebot kann jederzeit zwischen dem 3</w:t>
      </w:r>
      <w:r w:rsidR="006257A7">
        <w:rPr>
          <w:rFonts w:eastAsia="Calibri" w:cs="Tahoma"/>
          <w:color w:val="000000"/>
          <w:szCs w:val="18"/>
          <w:lang w:val="de-DE"/>
        </w:rPr>
        <w:t xml:space="preserve">. </w:t>
      </w:r>
      <w:r w:rsidRPr="009123CB">
        <w:rPr>
          <w:rFonts w:eastAsia="Calibri" w:cs="Tahoma"/>
          <w:color w:val="000000"/>
          <w:szCs w:val="18"/>
          <w:lang w:val="de-DE"/>
        </w:rPr>
        <w:t>April 2012 und dem Ablauf des aktuellen MDOP-Abonnements des Kunden angenommen werden</w:t>
      </w:r>
      <w:r w:rsidR="006257A7">
        <w:rPr>
          <w:rFonts w:eastAsia="Calibri" w:cs="Tahoma"/>
          <w:color w:val="000000"/>
          <w:szCs w:val="18"/>
          <w:lang w:val="de-DE"/>
        </w:rPr>
        <w:t xml:space="preserve">. </w:t>
      </w:r>
    </w:p>
    <w:p w:rsidR="00C7319A" w:rsidRPr="009123CB" w:rsidRDefault="00C7319A" w:rsidP="00C7319A">
      <w:pPr>
        <w:numPr>
          <w:ilvl w:val="1"/>
          <w:numId w:val="82"/>
        </w:numPr>
        <w:spacing w:after="60"/>
        <w:rPr>
          <w:lang w:val="de-DE"/>
        </w:rPr>
      </w:pPr>
      <w:r w:rsidRPr="009123CB">
        <w:rPr>
          <w:rFonts w:eastAsia="Calibri" w:cs="Tahoma"/>
          <w:color w:val="000000"/>
          <w:szCs w:val="18"/>
          <w:lang w:val="de-DE"/>
        </w:rPr>
        <w:t xml:space="preserve">Um dieses Angebot anzunehmen, müssen Kunden (1) ein Windows Intune </w:t>
      </w:r>
      <w:r w:rsidRPr="009123CB">
        <w:rPr>
          <w:rFonts w:cs="Tahoma"/>
          <w:szCs w:val="18"/>
          <w:lang w:val="de-DE"/>
        </w:rPr>
        <w:t>(Pro Gerät)-</w:t>
      </w:r>
      <w:r w:rsidRPr="009123CB">
        <w:rPr>
          <w:rFonts w:eastAsia="Calibri" w:cs="Tahoma"/>
          <w:color w:val="000000"/>
          <w:szCs w:val="18"/>
          <w:lang w:val="de-DE"/>
        </w:rPr>
        <w:t>Testaccount unter http://www</w:t>
      </w:r>
      <w:r w:rsidR="00E869D6">
        <w:rPr>
          <w:rFonts w:eastAsia="Calibri" w:cs="Tahoma"/>
          <w:color w:val="000000"/>
          <w:szCs w:val="18"/>
          <w:lang w:val="de-DE"/>
        </w:rPr>
        <w:t>.</w:t>
      </w:r>
      <w:r w:rsidRPr="009123CB">
        <w:rPr>
          <w:rFonts w:eastAsia="Calibri" w:cs="Tahoma"/>
          <w:color w:val="000000"/>
          <w:szCs w:val="18"/>
          <w:lang w:val="de-DE"/>
        </w:rPr>
        <w:t>microsoft</w:t>
      </w:r>
      <w:r w:rsidR="00E869D6">
        <w:rPr>
          <w:rFonts w:eastAsia="Calibri" w:cs="Tahoma"/>
          <w:color w:val="000000"/>
          <w:szCs w:val="18"/>
          <w:lang w:val="de-DE"/>
        </w:rPr>
        <w:t>.</w:t>
      </w:r>
      <w:r w:rsidRPr="009123CB">
        <w:rPr>
          <w:rFonts w:eastAsia="Calibri" w:cs="Tahoma"/>
          <w:color w:val="000000"/>
          <w:szCs w:val="18"/>
          <w:lang w:val="de-DE"/>
        </w:rPr>
        <w:t>com/en-us/windows/windowsintune/try-and-buy</w:t>
      </w:r>
      <w:r w:rsidR="00E869D6">
        <w:rPr>
          <w:rFonts w:eastAsia="Calibri" w:cs="Tahoma"/>
          <w:color w:val="000000"/>
          <w:szCs w:val="18"/>
          <w:lang w:val="de-DE"/>
        </w:rPr>
        <w:t>.</w:t>
      </w:r>
      <w:r w:rsidRPr="009123CB">
        <w:rPr>
          <w:rFonts w:eastAsia="Calibri" w:cs="Tahoma"/>
          <w:color w:val="000000"/>
          <w:szCs w:val="18"/>
          <w:lang w:val="de-DE"/>
        </w:rPr>
        <w:t>aspx einrichten und anschließend (2) das Formblatt für die Angebotsannahme unter http://go</w:t>
      </w:r>
      <w:r w:rsidR="00E869D6">
        <w:rPr>
          <w:rFonts w:eastAsia="Calibri" w:cs="Tahoma"/>
          <w:color w:val="000000"/>
          <w:szCs w:val="18"/>
          <w:lang w:val="de-DE"/>
        </w:rPr>
        <w:t>.</w:t>
      </w:r>
      <w:r w:rsidRPr="009123CB">
        <w:rPr>
          <w:rFonts w:eastAsia="Calibri" w:cs="Tahoma"/>
          <w:color w:val="000000"/>
          <w:szCs w:val="18"/>
          <w:lang w:val="de-DE"/>
        </w:rPr>
        <w:t>microsoft</w:t>
      </w:r>
      <w:r w:rsidR="00E869D6">
        <w:rPr>
          <w:rFonts w:eastAsia="Calibri" w:cs="Tahoma"/>
          <w:color w:val="000000"/>
          <w:szCs w:val="18"/>
          <w:lang w:val="de-DE"/>
        </w:rPr>
        <w:t>.</w:t>
      </w:r>
      <w:r w:rsidRPr="009123CB">
        <w:rPr>
          <w:rFonts w:eastAsia="Calibri" w:cs="Tahoma"/>
          <w:color w:val="000000"/>
          <w:szCs w:val="18"/>
          <w:lang w:val="de-DE"/>
        </w:rPr>
        <w:t>com/fwlink/?LinkID=242876 einreichen</w:t>
      </w:r>
      <w:r w:rsidR="006257A7">
        <w:rPr>
          <w:rFonts w:eastAsia="Calibri" w:cs="Tahoma"/>
          <w:color w:val="000000"/>
          <w:szCs w:val="18"/>
          <w:lang w:val="de-DE"/>
        </w:rPr>
        <w:t xml:space="preserve">. </w:t>
      </w:r>
    </w:p>
    <w:p w:rsidR="00C7319A" w:rsidRPr="009123CB" w:rsidRDefault="00C7319A" w:rsidP="00C7319A">
      <w:pPr>
        <w:numPr>
          <w:ilvl w:val="1"/>
          <w:numId w:val="82"/>
        </w:numPr>
        <w:spacing w:after="60"/>
        <w:rPr>
          <w:lang w:val="de-DE"/>
        </w:rPr>
      </w:pPr>
      <w:r w:rsidRPr="009123CB">
        <w:rPr>
          <w:rFonts w:eastAsia="Calibri" w:cs="Tahoma"/>
          <w:color w:val="000000"/>
          <w:szCs w:val="18"/>
          <w:lang w:val="de-DE"/>
        </w:rPr>
        <w:t xml:space="preserve">Der Zugriff auf und die Verwendung von Windows Intune </w:t>
      </w:r>
      <w:r w:rsidRPr="009123CB">
        <w:rPr>
          <w:rFonts w:cs="Tahoma"/>
          <w:szCs w:val="18"/>
          <w:lang w:val="de-DE"/>
        </w:rPr>
        <w:t xml:space="preserve">(Pro Gerät) </w:t>
      </w:r>
      <w:r w:rsidRPr="009123CB">
        <w:rPr>
          <w:rFonts w:eastAsia="Calibri" w:cs="Tahoma"/>
          <w:color w:val="000000"/>
          <w:szCs w:val="18"/>
          <w:lang w:val="de-DE"/>
        </w:rPr>
        <w:t>im Rahmen dieses Angebots enden bei Ablauf des MDOP-Abonnements des Kunden</w:t>
      </w:r>
      <w:r w:rsidR="006257A7">
        <w:rPr>
          <w:rFonts w:eastAsia="Calibri" w:cs="Tahoma"/>
          <w:color w:val="000000"/>
          <w:szCs w:val="18"/>
          <w:lang w:val="de-DE"/>
        </w:rPr>
        <w:t xml:space="preserve">. </w:t>
      </w:r>
    </w:p>
    <w:p w:rsidR="00C7319A" w:rsidRPr="00F04B7B" w:rsidRDefault="00C7319A" w:rsidP="008775F2">
      <w:pPr>
        <w:numPr>
          <w:ilvl w:val="1"/>
          <w:numId w:val="82"/>
        </w:numPr>
        <w:spacing w:after="60"/>
        <w:rPr>
          <w:lang w:val="de-DE"/>
        </w:rPr>
      </w:pPr>
      <w:r w:rsidRPr="009123CB">
        <w:rPr>
          <w:rFonts w:eastAsia="Calibri" w:cs="Tahoma"/>
          <w:color w:val="000000"/>
          <w:szCs w:val="18"/>
          <w:lang w:val="de-DE"/>
        </w:rPr>
        <w:t>Die Verwendung dieses Dienstes wird durch die Bestimmungen der Verträge der Kunden, die</w:t>
      </w:r>
      <w:r w:rsidR="008775F2">
        <w:rPr>
          <w:rFonts w:eastAsia="Calibri" w:cs="Tahoma"/>
          <w:color w:val="000000"/>
          <w:szCs w:val="18"/>
          <w:lang w:val="de-DE"/>
        </w:rPr>
        <w:t> </w:t>
      </w:r>
      <w:r w:rsidRPr="009123CB">
        <w:rPr>
          <w:rFonts w:eastAsia="Calibri" w:cs="Tahoma"/>
          <w:color w:val="000000"/>
          <w:szCs w:val="18"/>
          <w:lang w:val="de-DE"/>
        </w:rPr>
        <w:t>Universellen Lizenzbestimmungen der Produktbenutzungsrechte und die Allgemeinen Lizenzbestimmungen im Abschnitt „Onlinedienste“ der Produktbenutzungsrechte geregelt</w:t>
      </w:r>
      <w:r w:rsidR="006257A7">
        <w:rPr>
          <w:rFonts w:eastAsia="Calibri" w:cs="Tahoma"/>
          <w:color w:val="000000"/>
          <w:szCs w:val="18"/>
          <w:lang w:val="de-DE"/>
        </w:rPr>
        <w:t xml:space="preserve">. </w:t>
      </w:r>
    </w:p>
    <w:p w:rsidR="00F04B7B" w:rsidRDefault="00F04B7B" w:rsidP="00F04B7B">
      <w:pPr>
        <w:spacing w:after="60"/>
        <w:rPr>
          <w:rFonts w:eastAsia="Calibri" w:cs="Tahoma"/>
          <w:color w:val="000000"/>
          <w:szCs w:val="18"/>
          <w:lang w:val="de-DE"/>
        </w:rPr>
      </w:pPr>
    </w:p>
    <w:p w:rsidR="00F04B7B" w:rsidRPr="007E1881" w:rsidRDefault="00F04B7B" w:rsidP="00F04B7B">
      <w:pPr>
        <w:spacing w:after="60"/>
        <w:rPr>
          <w:lang w:val="de-DE"/>
        </w:rPr>
      </w:pPr>
    </w:p>
    <w:p w:rsidR="00C7319A" w:rsidRPr="009123CB" w:rsidRDefault="00C7319A" w:rsidP="007E1881">
      <w:pPr>
        <w:numPr>
          <w:ilvl w:val="1"/>
          <w:numId w:val="82"/>
        </w:numPr>
        <w:spacing w:after="60"/>
        <w:rPr>
          <w:lang w:val="de-DE"/>
        </w:rPr>
      </w:pPr>
      <w:r w:rsidRPr="009123CB">
        <w:rPr>
          <w:rFonts w:eastAsia="Calibri" w:cs="Tahoma"/>
          <w:color w:val="000000"/>
          <w:szCs w:val="18"/>
          <w:lang w:val="de-DE"/>
        </w:rPr>
        <w:t xml:space="preserve">Die Anzahl der Geräte, von denen ein Kunde unter diesem Angebot zum Zugriff auf Windows Intune </w:t>
      </w:r>
      <w:r w:rsidRPr="009123CB">
        <w:rPr>
          <w:rFonts w:cs="Tahoma"/>
          <w:szCs w:val="18"/>
          <w:lang w:val="de-DE"/>
        </w:rPr>
        <w:t>(Pro Gerät)</w:t>
      </w:r>
      <w:r w:rsidRPr="009123CB">
        <w:rPr>
          <w:rFonts w:eastAsia="Calibri" w:cs="Tahoma"/>
          <w:color w:val="000000"/>
          <w:szCs w:val="18"/>
          <w:lang w:val="de-DE"/>
        </w:rPr>
        <w:t xml:space="preserve"> berechtigt ist, entspricht der Gesamtzahl der AIS-Abonnement-Arbeitsplätze zu</w:t>
      </w:r>
      <w:r w:rsidR="007E1881">
        <w:rPr>
          <w:rFonts w:eastAsia="Calibri" w:cs="Tahoma"/>
          <w:color w:val="000000"/>
          <w:szCs w:val="18"/>
          <w:lang w:val="de-DE"/>
        </w:rPr>
        <w:t> </w:t>
      </w:r>
      <w:r w:rsidRPr="009123CB">
        <w:rPr>
          <w:rFonts w:eastAsia="Calibri" w:cs="Tahoma"/>
          <w:color w:val="000000"/>
          <w:szCs w:val="18"/>
          <w:lang w:val="de-DE"/>
        </w:rPr>
        <w:t xml:space="preserve">dem Zeitpunkt, an dem der Kunde dieses Windows Intune </w:t>
      </w:r>
      <w:r w:rsidRPr="009123CB">
        <w:rPr>
          <w:rFonts w:cs="Tahoma"/>
          <w:szCs w:val="18"/>
          <w:lang w:val="de-DE"/>
        </w:rPr>
        <w:t>(Pro Gerät)</w:t>
      </w:r>
      <w:r w:rsidRPr="009123CB">
        <w:rPr>
          <w:rFonts w:eastAsia="Calibri" w:cs="Tahoma"/>
          <w:color w:val="000000"/>
          <w:szCs w:val="18"/>
          <w:lang w:val="de-DE"/>
        </w:rPr>
        <w:t>-Angebot annimmt</w:t>
      </w:r>
      <w:r w:rsidR="006257A7">
        <w:rPr>
          <w:rFonts w:eastAsia="Calibri" w:cs="Tahoma"/>
          <w:color w:val="000000"/>
          <w:szCs w:val="18"/>
          <w:lang w:val="de-DE"/>
        </w:rPr>
        <w:t xml:space="preserve">. </w:t>
      </w:r>
      <w:r w:rsidRPr="009123CB">
        <w:rPr>
          <w:rFonts w:eastAsia="Calibri" w:cs="Tahoma"/>
          <w:color w:val="000000"/>
          <w:szCs w:val="18"/>
          <w:lang w:val="de-DE"/>
        </w:rPr>
        <w:t>AIS-Arbeitsplätze, die einem aktiven Account bis zu dem Zeitpunkt hinzugefügt werden, an dem der Kunde das Windows</w:t>
      </w:r>
      <w:r w:rsidR="0069040B" w:rsidRPr="0069040B">
        <w:rPr>
          <w:rFonts w:eastAsia="Calibri" w:cs="Tahoma"/>
          <w:color w:val="000000"/>
          <w:szCs w:val="18"/>
          <w:vertAlign w:val="superscript"/>
          <w:lang w:val="de-DE"/>
        </w:rPr>
        <w:t>®</w:t>
      </w:r>
      <w:r w:rsidRPr="009123CB">
        <w:rPr>
          <w:rFonts w:eastAsia="Calibri" w:cs="Tahoma"/>
          <w:color w:val="000000"/>
          <w:szCs w:val="18"/>
          <w:lang w:val="de-DE"/>
        </w:rPr>
        <w:t xml:space="preserve"> Intune-Angebot annimmt, sind in der Anzahl enthalten</w:t>
      </w:r>
      <w:r w:rsidR="006257A7">
        <w:rPr>
          <w:rFonts w:eastAsia="Calibri" w:cs="Tahoma"/>
          <w:color w:val="000000"/>
          <w:szCs w:val="18"/>
          <w:lang w:val="de-DE"/>
        </w:rPr>
        <w:t xml:space="preserve">. </w:t>
      </w:r>
    </w:p>
    <w:p w:rsidR="00C7319A" w:rsidRPr="009123CB" w:rsidRDefault="00C7319A" w:rsidP="00E04EAB">
      <w:pPr>
        <w:numPr>
          <w:ilvl w:val="1"/>
          <w:numId w:val="82"/>
        </w:numPr>
        <w:spacing w:after="60"/>
        <w:rPr>
          <w:lang w:val="de-DE"/>
        </w:rPr>
      </w:pPr>
      <w:r w:rsidRPr="009123CB">
        <w:rPr>
          <w:rFonts w:eastAsia="Calibri" w:cs="Tahoma"/>
          <w:color w:val="000000"/>
          <w:szCs w:val="18"/>
          <w:lang w:val="de-DE"/>
        </w:rPr>
        <w:t xml:space="preserve">MDOP-Arbeitsplätze, die nach Annahme dieses Windows Intune </w:t>
      </w:r>
      <w:r w:rsidRPr="009123CB">
        <w:rPr>
          <w:rFonts w:cs="Tahoma"/>
          <w:szCs w:val="18"/>
          <w:lang w:val="de-DE"/>
        </w:rPr>
        <w:t>(Pro Gerät)</w:t>
      </w:r>
      <w:r w:rsidRPr="009123CB">
        <w:rPr>
          <w:rFonts w:eastAsia="Calibri" w:cs="Tahoma"/>
          <w:color w:val="000000"/>
          <w:szCs w:val="18"/>
          <w:lang w:val="de-DE"/>
        </w:rPr>
        <w:t>-Angebots durch den</w:t>
      </w:r>
      <w:r w:rsidR="00E04EAB">
        <w:rPr>
          <w:rFonts w:eastAsia="Calibri" w:cs="Tahoma"/>
          <w:color w:val="000000"/>
          <w:szCs w:val="18"/>
          <w:lang w:val="de-DE"/>
        </w:rPr>
        <w:t> </w:t>
      </w:r>
      <w:r w:rsidRPr="009123CB">
        <w:rPr>
          <w:rFonts w:eastAsia="Calibri" w:cs="Tahoma"/>
          <w:color w:val="000000"/>
          <w:szCs w:val="18"/>
          <w:lang w:val="de-DE"/>
        </w:rPr>
        <w:t xml:space="preserve">Kunden erworben werden, einschließlich durch den True Up-Prozess unter dem Volumenlizenzvertrag erworbene Lizenzen, sind nicht zum Zugriff auf Windows Intune </w:t>
      </w:r>
      <w:r w:rsidRPr="009123CB">
        <w:rPr>
          <w:rFonts w:cs="Tahoma"/>
          <w:szCs w:val="18"/>
          <w:lang w:val="de-DE"/>
        </w:rPr>
        <w:t xml:space="preserve">(Pro Gerät) </w:t>
      </w:r>
      <w:r w:rsidRPr="009123CB">
        <w:rPr>
          <w:rFonts w:eastAsia="Calibri" w:cs="Tahoma"/>
          <w:color w:val="000000"/>
          <w:szCs w:val="18"/>
          <w:lang w:val="de-DE"/>
        </w:rPr>
        <w:t>unter diesem Angebot berechtigt</w:t>
      </w:r>
      <w:r w:rsidR="006257A7">
        <w:rPr>
          <w:rFonts w:eastAsia="Calibri" w:cs="Tahoma"/>
          <w:color w:val="000000"/>
          <w:szCs w:val="18"/>
          <w:lang w:val="de-DE"/>
        </w:rPr>
        <w:t xml:space="preserve">. </w:t>
      </w:r>
      <w:r w:rsidRPr="009123CB">
        <w:rPr>
          <w:rFonts w:eastAsia="Calibri" w:cs="Tahoma"/>
          <w:color w:val="000000"/>
          <w:szCs w:val="18"/>
          <w:lang w:val="de-DE"/>
        </w:rPr>
        <w:t xml:space="preserve">Wenn ein Kunde von einer Anzahl von Geräten auf Windows Intune </w:t>
      </w:r>
      <w:r w:rsidRPr="009123CB">
        <w:rPr>
          <w:rFonts w:cs="Tahoma"/>
          <w:szCs w:val="18"/>
          <w:lang w:val="de-DE"/>
        </w:rPr>
        <w:t>(Pro Gerät)</w:t>
      </w:r>
      <w:r w:rsidRPr="009123CB">
        <w:rPr>
          <w:rFonts w:eastAsia="Calibri" w:cs="Tahoma"/>
          <w:color w:val="000000"/>
          <w:szCs w:val="18"/>
          <w:lang w:val="de-DE"/>
        </w:rPr>
        <w:t xml:space="preserve"> zugreifen möchte, die die unter diesem Angebot zulässige Anzahl übersteigt, muss er zusätzliche Lizenzen separat erwerben</w:t>
      </w:r>
      <w:r w:rsidR="006257A7">
        <w:rPr>
          <w:rFonts w:eastAsia="Calibri" w:cs="Tahoma"/>
          <w:color w:val="000000"/>
          <w:szCs w:val="18"/>
          <w:lang w:val="de-DE"/>
        </w:rPr>
        <w:t xml:space="preserve">. </w:t>
      </w:r>
    </w:p>
    <w:p w:rsidR="00C7319A" w:rsidRPr="009123CB" w:rsidRDefault="00C7319A" w:rsidP="00C7319A">
      <w:pPr>
        <w:numPr>
          <w:ilvl w:val="1"/>
          <w:numId w:val="82"/>
        </w:numPr>
        <w:spacing w:after="60"/>
        <w:rPr>
          <w:lang w:val="de-DE"/>
        </w:rPr>
      </w:pPr>
      <w:r w:rsidRPr="009123CB">
        <w:rPr>
          <w:rFonts w:eastAsia="Calibri" w:cs="Tahoma"/>
          <w:color w:val="000000"/>
          <w:szCs w:val="18"/>
          <w:lang w:val="de-DE"/>
        </w:rPr>
        <w:t xml:space="preserve">Rechte für den Zugriff auf Windows Intune </w:t>
      </w:r>
      <w:r w:rsidRPr="009123CB">
        <w:rPr>
          <w:rFonts w:cs="Tahoma"/>
          <w:szCs w:val="18"/>
          <w:lang w:val="de-DE"/>
        </w:rPr>
        <w:t>(Pro Gerät)</w:t>
      </w:r>
      <w:r w:rsidRPr="009123CB">
        <w:rPr>
          <w:rFonts w:eastAsia="Calibri" w:cs="Tahoma"/>
          <w:color w:val="000000"/>
          <w:szCs w:val="18"/>
          <w:lang w:val="de-DE"/>
        </w:rPr>
        <w:t xml:space="preserve"> unter diesem Angebot umfassen keine Rechte zur Verwendung des Windows Desktop-Betriebssystems</w:t>
      </w:r>
      <w:r w:rsidR="006257A7">
        <w:rPr>
          <w:rFonts w:eastAsia="Calibri" w:cs="Tahoma"/>
          <w:color w:val="000000"/>
          <w:szCs w:val="18"/>
          <w:lang w:val="de-DE"/>
        </w:rPr>
        <w:t xml:space="preserve">. </w:t>
      </w:r>
      <w:bookmarkStart w:id="1102" w:name="_24_Windows®_Companion"/>
      <w:bookmarkStart w:id="1103" w:name="_24_Windows®_8"/>
      <w:bookmarkStart w:id="1104" w:name="Sys_22WindowsPartnersLearning"/>
      <w:bookmarkEnd w:id="1101"/>
      <w:bookmarkEnd w:id="1102"/>
      <w:bookmarkEnd w:id="1103"/>
    </w:p>
    <w:p w:rsidR="00C7319A" w:rsidRPr="009123CB" w:rsidRDefault="00C7319A" w:rsidP="00C7319A">
      <w:pPr>
        <w:spacing w:after="60"/>
        <w:rPr>
          <w:lang w:val="de-DE"/>
        </w:rPr>
      </w:pPr>
    </w:p>
    <w:p w:rsidR="00C7319A" w:rsidRPr="009123CB" w:rsidRDefault="00C7319A" w:rsidP="00C7319A">
      <w:pPr>
        <w:spacing w:after="60"/>
        <w:rPr>
          <w:lang w:val="de-DE"/>
        </w:rPr>
      </w:pPr>
    </w:p>
    <w:p w:rsidR="00C7319A" w:rsidRPr="008849B7" w:rsidRDefault="00C7319A" w:rsidP="00C7319A">
      <w:pPr>
        <w:pStyle w:val="Heading3"/>
        <w:rPr>
          <w:lang w:val="de-DE"/>
        </w:rPr>
      </w:pPr>
      <w:bookmarkStart w:id="1105" w:name="_25_Windows_Embedded"/>
      <w:bookmarkStart w:id="1106" w:name="_Toc363999022"/>
      <w:bookmarkEnd w:id="1105"/>
      <w:r w:rsidRPr="008849B7">
        <w:rPr>
          <w:rFonts w:ascii="Tahoma" w:hAnsi="Tahoma"/>
          <w:caps/>
          <w:color w:val="F66400"/>
          <w:sz w:val="22"/>
          <w:vertAlign w:val="superscript"/>
          <w:lang w:val="de-DE"/>
        </w:rPr>
        <w:t>26</w:t>
      </w:r>
      <w:r w:rsidRPr="007E1881">
        <w:rPr>
          <w:rFonts w:ascii="Tahoma" w:hAnsi="Tahoma"/>
          <w:caps/>
          <w:color w:val="F66400"/>
          <w:sz w:val="22"/>
          <w:lang w:val="de-DE"/>
        </w:rPr>
        <w:t xml:space="preserve"> </w:t>
      </w:r>
      <w:r w:rsidRPr="008849B7">
        <w:rPr>
          <w:rFonts w:ascii="Tahoma" w:hAnsi="Tahoma"/>
          <w:color w:val="F66400"/>
          <w:sz w:val="22"/>
          <w:lang w:val="de-DE"/>
        </w:rPr>
        <w:t>Windows Embedded 8 Standard Enterprise Kit</w:t>
      </w:r>
      <w:bookmarkEnd w:id="1106"/>
    </w:p>
    <w:p w:rsidR="00C7319A" w:rsidRPr="008849B7" w:rsidRDefault="00C7319A" w:rsidP="00C7319A">
      <w:pPr>
        <w:pStyle w:val="FootnoteBulletLevel1"/>
        <w:tabs>
          <w:tab w:val="clear" w:pos="900"/>
        </w:tabs>
        <w:adjustRightInd/>
        <w:spacing w:before="0" w:after="0"/>
        <w:ind w:left="720" w:hanging="7"/>
        <w:textAlignment w:val="auto"/>
        <w:rPr>
          <w:lang w:val="de-DE"/>
        </w:rPr>
      </w:pPr>
    </w:p>
    <w:p w:rsidR="00C7319A" w:rsidRPr="009123CB" w:rsidRDefault="00C7319A" w:rsidP="00C7319A">
      <w:pPr>
        <w:pStyle w:val="FootnoteBulletLevel1"/>
        <w:tabs>
          <w:tab w:val="clear" w:pos="900"/>
        </w:tabs>
        <w:adjustRightInd/>
        <w:spacing w:before="0" w:after="0"/>
        <w:ind w:left="720" w:firstLine="0"/>
        <w:textAlignment w:val="auto"/>
        <w:rPr>
          <w:lang w:val="de-DE"/>
        </w:rPr>
      </w:pPr>
      <w:r w:rsidRPr="008849B7">
        <w:rPr>
          <w:rFonts w:ascii="Tahoma" w:hAnsi="Tahoma" w:cs="Tahoma"/>
          <w:sz w:val="18"/>
          <w:szCs w:val="22"/>
          <w:lang w:val="de-DE"/>
        </w:rPr>
        <w:t>Kunden, die ein OEM-Gerät mit vorinstallierter Windows Embedded 8 Standard-Software erwerben, können eine Lizenz für Windows Embedded 8 Standard Enterprise Kit erwerben, um bestimmte Softwarefunktionen zu lizenzieren, zu entsperren und zu aktivieren (u</w:t>
      </w:r>
      <w:r w:rsidR="006257A7">
        <w:rPr>
          <w:rFonts w:ascii="Tahoma" w:hAnsi="Tahoma" w:cs="Tahoma"/>
          <w:sz w:val="18"/>
          <w:szCs w:val="22"/>
          <w:lang w:val="de-DE"/>
        </w:rPr>
        <w:t xml:space="preserve">. </w:t>
      </w:r>
      <w:r w:rsidRPr="008849B7">
        <w:rPr>
          <w:rFonts w:ascii="Tahoma" w:hAnsi="Tahoma" w:cs="Tahoma"/>
          <w:sz w:val="18"/>
          <w:szCs w:val="22"/>
          <w:lang w:val="de-DE"/>
        </w:rPr>
        <w:t>a</w:t>
      </w:r>
      <w:r w:rsidR="006257A7">
        <w:rPr>
          <w:rFonts w:ascii="Tahoma" w:hAnsi="Tahoma" w:cs="Tahoma"/>
          <w:sz w:val="18"/>
          <w:szCs w:val="22"/>
          <w:lang w:val="de-DE"/>
        </w:rPr>
        <w:t xml:space="preserve">. </w:t>
      </w:r>
      <w:r w:rsidRPr="008849B7">
        <w:rPr>
          <w:rFonts w:ascii="Tahoma" w:hAnsi="Tahoma" w:cs="Tahoma"/>
          <w:sz w:val="18"/>
          <w:szCs w:val="22"/>
          <w:lang w:val="de-DE"/>
        </w:rPr>
        <w:t>Windows DirectAccess, BranchCache, and AppLocker)</w:t>
      </w:r>
      <w:r w:rsidR="006257A7">
        <w:rPr>
          <w:rFonts w:ascii="Tahoma" w:hAnsi="Tahoma" w:cs="Tahoma"/>
          <w:sz w:val="18"/>
          <w:szCs w:val="22"/>
          <w:lang w:val="de-DE"/>
        </w:rPr>
        <w:t xml:space="preserve">. </w:t>
      </w:r>
      <w:r w:rsidRPr="009123CB">
        <w:rPr>
          <w:rFonts w:ascii="Tahoma" w:hAnsi="Tahoma" w:cs="Tahoma"/>
          <w:sz w:val="18"/>
          <w:szCs w:val="22"/>
          <w:lang w:val="de-DE"/>
        </w:rPr>
        <w:t>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6257A7">
        <w:rPr>
          <w:rFonts w:ascii="Tahoma" w:hAnsi="Tahoma" w:cs="Tahoma"/>
          <w:sz w:val="18"/>
          <w:szCs w:val="22"/>
          <w:lang w:val="de-DE"/>
        </w:rPr>
        <w:t xml:space="preserve">. </w:t>
      </w:r>
      <w:r w:rsidRPr="009123CB">
        <w:rPr>
          <w:rFonts w:ascii="Tahoma" w:hAnsi="Tahoma" w:cs="Tahoma"/>
          <w:sz w:val="18"/>
          <w:szCs w:val="22"/>
          <w:lang w:val="de-DE"/>
        </w:rPr>
        <w:t>Das Recht zur Verwendung der Softwarefunktionen gilt bis zum Ablauf des Rechts zur Nutzung der zugrunde liegenden Windows Embedded 8 Standard-Software</w:t>
      </w:r>
      <w:r w:rsidR="006257A7">
        <w:rPr>
          <w:rFonts w:ascii="Tahoma" w:hAnsi="Tahoma" w:cs="Tahoma"/>
          <w:sz w:val="18"/>
          <w:szCs w:val="22"/>
          <w:lang w:val="de-DE"/>
        </w:rPr>
        <w:t xml:space="preserve">. </w:t>
      </w:r>
      <w:r w:rsidRPr="009123CB">
        <w:rPr>
          <w:rFonts w:ascii="Tahoma" w:hAnsi="Tahoma" w:cs="Tahoma"/>
          <w:sz w:val="18"/>
          <w:szCs w:val="22"/>
          <w:lang w:val="de-DE"/>
        </w:rPr>
        <w:t>Die Lizenz für Windows Embedded 8 Standard Enterprise Kit muss dauerhaft einem einzelnen Gerät zugewiesen werden und darf nicht an ein anderes Gerät übertragen werden</w:t>
      </w:r>
      <w:r w:rsidR="006257A7">
        <w:rPr>
          <w:rFonts w:ascii="Tahoma" w:hAnsi="Tahoma" w:cs="Tahoma"/>
          <w:sz w:val="18"/>
          <w:szCs w:val="22"/>
          <w:lang w:val="de-DE"/>
        </w:rPr>
        <w:t xml:space="preserve">. </w:t>
      </w:r>
    </w:p>
    <w:p w:rsidR="00C7319A" w:rsidRPr="009123CB" w:rsidRDefault="00C7319A" w:rsidP="00C7319A">
      <w:pPr>
        <w:contextualSpacing/>
        <w:rPr>
          <w:lang w:val="de-DE"/>
        </w:rPr>
      </w:pPr>
    </w:p>
    <w:p w:rsidR="00C7319A" w:rsidRPr="009123CB" w:rsidRDefault="00C7319A" w:rsidP="00C7319A">
      <w:pPr>
        <w:contextualSpacing/>
        <w:rPr>
          <w:lang w:val="de-DE"/>
        </w:rPr>
      </w:pPr>
    </w:p>
    <w:p w:rsidR="00C7319A" w:rsidRPr="00EB2C55" w:rsidRDefault="00C7319A" w:rsidP="00C7319A">
      <w:pPr>
        <w:pStyle w:val="Heading3"/>
        <w:rPr>
          <w:lang w:val="de-DE"/>
        </w:rPr>
      </w:pPr>
      <w:bookmarkStart w:id="1107" w:name="_26_Windows_Embedded"/>
      <w:bookmarkStart w:id="1108" w:name="_27_Windows_Embedded"/>
      <w:bookmarkStart w:id="1109" w:name="_Toc363999023"/>
      <w:bookmarkEnd w:id="1107"/>
      <w:bookmarkEnd w:id="1108"/>
      <w:r w:rsidRPr="00EB2C55">
        <w:rPr>
          <w:rFonts w:ascii="Tahoma" w:hAnsi="Tahoma"/>
          <w:caps/>
          <w:color w:val="F66400"/>
          <w:sz w:val="22"/>
          <w:vertAlign w:val="superscript"/>
          <w:lang w:val="de-DE"/>
        </w:rPr>
        <w:t>27</w:t>
      </w:r>
      <w:r w:rsidRPr="007E1881">
        <w:rPr>
          <w:rFonts w:ascii="Tahoma" w:hAnsi="Tahoma"/>
          <w:caps/>
          <w:color w:val="F66400"/>
          <w:sz w:val="22"/>
          <w:lang w:val="de-DE"/>
        </w:rPr>
        <w:t xml:space="preserve"> </w:t>
      </w:r>
      <w:r w:rsidRPr="00EB2C55">
        <w:rPr>
          <w:rFonts w:ascii="Tahoma" w:hAnsi="Tahoma"/>
          <w:color w:val="F66400"/>
          <w:sz w:val="22"/>
          <w:lang w:val="de-DE"/>
        </w:rPr>
        <w:t>Windows Embedded 8 Industry Pro Sideloading</w:t>
      </w:r>
      <w:bookmarkEnd w:id="1109"/>
      <w:r w:rsidRPr="00EB2C55">
        <w:rPr>
          <w:rFonts w:ascii="Tahoma" w:hAnsi="Tahoma"/>
          <w:caps/>
          <w:color w:val="F66400"/>
          <w:sz w:val="22"/>
          <w:vertAlign w:val="superscript"/>
          <w:lang w:val="de-DE"/>
        </w:rPr>
        <w:t xml:space="preserve"> </w:t>
      </w:r>
    </w:p>
    <w:p w:rsidR="00C7319A" w:rsidRPr="00EB2C55" w:rsidRDefault="00C7319A" w:rsidP="00C7319A">
      <w:pPr>
        <w:spacing w:after="60"/>
        <w:ind w:left="720"/>
        <w:rPr>
          <w:lang w:val="de-DE"/>
        </w:rPr>
      </w:pPr>
    </w:p>
    <w:p w:rsidR="00C7319A" w:rsidRPr="00EB2C55" w:rsidRDefault="00C7319A" w:rsidP="00C7319A">
      <w:pPr>
        <w:spacing w:after="60"/>
        <w:ind w:left="720"/>
        <w:rPr>
          <w:lang w:val="de-DE"/>
        </w:rPr>
      </w:pPr>
      <w:r w:rsidRPr="00EB2C55">
        <w:rPr>
          <w:rFonts w:cs="Tahoma"/>
          <w:b/>
          <w:szCs w:val="18"/>
          <w:lang w:val="de-DE"/>
        </w:rPr>
        <w:t>Windows Embedded 8 Industry Pro Sideloading-Lizenz zum Erwerb verfügbar</w:t>
      </w:r>
    </w:p>
    <w:p w:rsidR="00C7319A" w:rsidRPr="009123CB" w:rsidRDefault="00C7319A" w:rsidP="00E04EAB">
      <w:pPr>
        <w:ind w:left="720"/>
        <w:rPr>
          <w:lang w:val="de-DE"/>
        </w:rPr>
      </w:pPr>
      <w:r w:rsidRPr="009123CB">
        <w:rPr>
          <w:rFonts w:cs="Tahoma"/>
          <w:szCs w:val="18"/>
          <w:lang w:val="de-DE"/>
        </w:rPr>
        <w:t>Die Kunden können Windows Embedded 8 Industry Pro Sideloading-Lizenzen für Geräte erwerben, die</w:t>
      </w:r>
      <w:r w:rsidR="00E04EAB">
        <w:rPr>
          <w:rFonts w:cs="Tahoma"/>
          <w:szCs w:val="18"/>
          <w:lang w:val="de-DE"/>
        </w:rPr>
        <w:t> </w:t>
      </w:r>
      <w:r w:rsidRPr="009123CB">
        <w:rPr>
          <w:rFonts w:cs="Tahoma"/>
          <w:szCs w:val="18"/>
          <w:lang w:val="de-DE"/>
        </w:rPr>
        <w:t>für</w:t>
      </w:r>
      <w:r w:rsidR="007E1881">
        <w:rPr>
          <w:rFonts w:cs="Tahoma"/>
          <w:szCs w:val="18"/>
          <w:lang w:val="de-DE"/>
        </w:rPr>
        <w:t> </w:t>
      </w:r>
      <w:r w:rsidRPr="009123CB">
        <w:rPr>
          <w:rFonts w:cs="Tahoma"/>
          <w:szCs w:val="18"/>
          <w:lang w:val="de-DE"/>
        </w:rPr>
        <w:t>Windows Embedded 8 Industry Pro lizenziert sind</w:t>
      </w:r>
      <w:r w:rsidR="006257A7">
        <w:rPr>
          <w:rFonts w:cs="Tahoma"/>
          <w:szCs w:val="18"/>
          <w:lang w:val="de-DE"/>
        </w:rPr>
        <w:t xml:space="preserve">. </w:t>
      </w:r>
      <w:r w:rsidRPr="009123CB">
        <w:rPr>
          <w:rFonts w:cs="Tahoma"/>
          <w:szCs w:val="18"/>
          <w:lang w:val="de-DE"/>
        </w:rPr>
        <w:t>Jede derartige Lizenz muss einem Gerät dauerhaft</w:t>
      </w:r>
      <w:r w:rsidR="00E04EAB">
        <w:rPr>
          <w:rFonts w:cs="Tahoma"/>
          <w:szCs w:val="18"/>
          <w:lang w:val="de-DE"/>
        </w:rPr>
        <w:t> </w:t>
      </w:r>
      <w:r w:rsidRPr="009123CB">
        <w:rPr>
          <w:rFonts w:cs="Tahoma"/>
          <w:szCs w:val="18"/>
          <w:lang w:val="de-DE"/>
        </w:rPr>
        <w:t>zugewiesen sein</w:t>
      </w:r>
      <w:r w:rsidR="006257A7">
        <w:rPr>
          <w:rFonts w:cs="Tahoma"/>
          <w:szCs w:val="18"/>
          <w:lang w:val="de-DE"/>
        </w:rPr>
        <w:t xml:space="preserve">. </w:t>
      </w:r>
      <w:r w:rsidRPr="009123CB">
        <w:rPr>
          <w:rFonts w:cs="Tahoma"/>
          <w:szCs w:val="18"/>
          <w:lang w:val="de-DE"/>
        </w:rPr>
        <w:t>Anmerkung: Sideloading-Lizenzen, die für Windows Embedded 8 Pro erworben</w:t>
      </w:r>
      <w:r w:rsidR="00E04EAB">
        <w:rPr>
          <w:rFonts w:cs="Tahoma"/>
          <w:szCs w:val="18"/>
          <w:lang w:val="de-DE"/>
        </w:rPr>
        <w:t> </w:t>
      </w:r>
      <w:r w:rsidRPr="009123CB">
        <w:rPr>
          <w:rFonts w:cs="Tahoma"/>
          <w:szCs w:val="18"/>
          <w:lang w:val="de-DE"/>
        </w:rPr>
        <w:t>wurden, dürfen nicht auf Geräten verwendet werden, die Windows Embedded 8 Industry Pro</w:t>
      </w:r>
      <w:r w:rsidR="00E04EAB">
        <w:rPr>
          <w:rFonts w:cs="Tahoma"/>
          <w:szCs w:val="18"/>
          <w:lang w:val="de-DE"/>
        </w:rPr>
        <w:t> </w:t>
      </w:r>
      <w:r w:rsidRPr="009123CB">
        <w:rPr>
          <w:rFonts w:cs="Tahoma"/>
          <w:szCs w:val="18"/>
          <w:lang w:val="de-DE"/>
        </w:rPr>
        <w:t>ausführen</w:t>
      </w:r>
      <w:r w:rsidR="006257A7">
        <w:rPr>
          <w:rFonts w:cs="Tahoma"/>
          <w:szCs w:val="18"/>
          <w:lang w:val="de-DE"/>
        </w:rPr>
        <w:t xml:space="preserve">. </w:t>
      </w:r>
      <w:r w:rsidRPr="009123CB">
        <w:rPr>
          <w:rFonts w:cs="Tahoma"/>
          <w:szCs w:val="18"/>
          <w:lang w:val="de-DE"/>
        </w:rPr>
        <w:t>Informationen zu Windows Embedded 8 Pro-Geräten finden Sie im Produkthinweis zu Windows 8 Enterprise Sideloading dieses Dokuments</w:t>
      </w:r>
      <w:r w:rsidR="006257A7">
        <w:rPr>
          <w:rFonts w:cs="Tahoma"/>
          <w:szCs w:val="18"/>
          <w:lang w:val="de-DE"/>
        </w:rPr>
        <w:t xml:space="preserve">. </w:t>
      </w:r>
    </w:p>
    <w:p w:rsidR="00C7319A" w:rsidRPr="009123CB" w:rsidRDefault="00C7319A" w:rsidP="00C7319A">
      <w:pPr>
        <w:rPr>
          <w:lang w:val="de-DE"/>
        </w:rPr>
      </w:pPr>
    </w:p>
    <w:p w:rsidR="00C7319A" w:rsidRPr="009123CB" w:rsidRDefault="00C7319A" w:rsidP="00C7319A">
      <w:pPr>
        <w:contextualSpacing/>
        <w:rPr>
          <w:lang w:val="de-DE"/>
        </w:rPr>
      </w:pPr>
    </w:p>
    <w:p w:rsidR="00C7319A" w:rsidRPr="0062435A" w:rsidRDefault="00C7319A" w:rsidP="00C7319A">
      <w:pPr>
        <w:pStyle w:val="Heading3"/>
      </w:pPr>
      <w:bookmarkStart w:id="1110" w:name="_27_Windows®_Embedded"/>
      <w:bookmarkStart w:id="1111" w:name="_28_Windows®_Embedded"/>
      <w:bookmarkStart w:id="1112" w:name="_Toc363999024"/>
      <w:bookmarkEnd w:id="1110"/>
      <w:bookmarkEnd w:id="1111"/>
      <w:r>
        <w:rPr>
          <w:rFonts w:ascii="Tahoma" w:hAnsi="Tahoma"/>
          <w:caps/>
          <w:color w:val="F66400"/>
          <w:sz w:val="22"/>
          <w:vertAlign w:val="superscript"/>
        </w:rPr>
        <w:t>28</w:t>
      </w:r>
      <w:r w:rsidRPr="007E1881">
        <w:rPr>
          <w:rFonts w:ascii="Tahoma" w:hAnsi="Tahoma"/>
          <w:caps/>
          <w:color w:val="F66400"/>
          <w:sz w:val="22"/>
        </w:rPr>
        <w:t xml:space="preserve"> </w:t>
      </w:r>
      <w:r>
        <w:rPr>
          <w:rFonts w:ascii="Tahoma" w:hAnsi="Tahoma"/>
          <w:color w:val="F66400"/>
          <w:sz w:val="22"/>
        </w:rPr>
        <w:t>Windows</w:t>
      </w:r>
      <w:r w:rsidR="0069040B" w:rsidRPr="0069040B">
        <w:rPr>
          <w:rFonts w:ascii="Tahoma" w:hAnsi="Tahoma"/>
          <w:color w:val="F66400"/>
          <w:sz w:val="22"/>
          <w:vertAlign w:val="superscript"/>
        </w:rPr>
        <w:t>®</w:t>
      </w:r>
      <w:r>
        <w:rPr>
          <w:rFonts w:ascii="Tahoma" w:hAnsi="Tahoma"/>
          <w:color w:val="F66400"/>
          <w:sz w:val="22"/>
        </w:rPr>
        <w:t xml:space="preserve"> Embedded 8 Industry Pro-Upgrade</w:t>
      </w:r>
      <w:bookmarkEnd w:id="1112"/>
    </w:p>
    <w:p w:rsidR="00C7319A" w:rsidRPr="0062435A" w:rsidRDefault="00C7319A" w:rsidP="00C7319A"/>
    <w:p w:rsidR="00C7319A" w:rsidRPr="0062435A" w:rsidRDefault="00C7319A" w:rsidP="00C7319A">
      <w:pPr>
        <w:pStyle w:val="FootnoteBulletLevel1"/>
        <w:tabs>
          <w:tab w:val="clear" w:pos="900"/>
        </w:tabs>
        <w:adjustRightInd/>
        <w:spacing w:before="0" w:after="60"/>
        <w:ind w:left="720" w:firstLine="0"/>
        <w:textAlignment w:val="auto"/>
      </w:pPr>
      <w:r>
        <w:rPr>
          <w:rFonts w:ascii="Tahoma" w:hAnsi="Tahoma" w:cs="Tahoma"/>
          <w:b/>
          <w:bCs/>
          <w:sz w:val="18"/>
          <w:szCs w:val="18"/>
        </w:rPr>
        <w:t>Windows</w:t>
      </w:r>
      <w:r w:rsidR="0069040B" w:rsidRPr="0069040B">
        <w:rPr>
          <w:rFonts w:ascii="Tahoma" w:hAnsi="Tahoma" w:cs="Tahoma"/>
          <w:b/>
          <w:bCs/>
          <w:sz w:val="18"/>
          <w:szCs w:val="18"/>
          <w:vertAlign w:val="superscript"/>
        </w:rPr>
        <w:t>®</w:t>
      </w:r>
      <w:r>
        <w:rPr>
          <w:rFonts w:ascii="Tahoma" w:hAnsi="Tahoma" w:cs="Tahoma"/>
          <w:b/>
          <w:bCs/>
          <w:sz w:val="18"/>
          <w:szCs w:val="18"/>
        </w:rPr>
        <w:t xml:space="preserve"> Embedded 8 Industry Pro-Upgrade und Software Assurance</w:t>
      </w:r>
      <w:r>
        <w:rPr>
          <w:rFonts w:ascii="Tahoma" w:hAnsi="Tahoma" w:cs="Tahoma"/>
          <w:b/>
          <w:sz w:val="18"/>
          <w:szCs w:val="18"/>
          <w:u w:val="single"/>
        </w:rPr>
        <w:t xml:space="preserve"> </w:t>
      </w:r>
    </w:p>
    <w:p w:rsidR="00C7319A" w:rsidRPr="0062435A" w:rsidRDefault="00C7319A" w:rsidP="00C7319A">
      <w:pPr>
        <w:ind w:left="720"/>
      </w:pPr>
      <w:r>
        <w:rPr>
          <w:rFonts w:cs="Tahoma"/>
          <w:szCs w:val="18"/>
          <w:u w:val="single"/>
        </w:rPr>
        <w:t>Betriebssystem-Upgrade-Lizenz für Windows Embedded 8 Industry Pro</w:t>
      </w:r>
    </w:p>
    <w:p w:rsidR="00C7319A" w:rsidRPr="009123CB" w:rsidRDefault="00C7319A" w:rsidP="00C7319A">
      <w:pPr>
        <w:pStyle w:val="FootnoteBulletLevel1"/>
        <w:tabs>
          <w:tab w:val="clear" w:pos="900"/>
        </w:tabs>
        <w:adjustRightInd/>
        <w:spacing w:before="0" w:after="0"/>
        <w:ind w:left="720" w:hanging="7"/>
        <w:textAlignment w:val="auto"/>
        <w:rPr>
          <w:lang w:val="de-DE"/>
        </w:rPr>
      </w:pPr>
      <w:r w:rsidRPr="00EB2C55">
        <w:rPr>
          <w:rFonts w:ascii="Tahoma" w:hAnsi="Tahoma" w:cs="Tahoma"/>
          <w:sz w:val="18"/>
          <w:szCs w:val="18"/>
          <w:lang w:val="de-DE"/>
        </w:rPr>
        <w:t>Die für Windows Embedded 8 Industry Pro gewährten Betriebssystemlizenzen sind ausschließlich Upgrade-Lizenzen</w:t>
      </w:r>
      <w:r w:rsidR="006257A7">
        <w:rPr>
          <w:rFonts w:ascii="Tahoma" w:hAnsi="Tahoma" w:cs="Tahoma"/>
          <w:sz w:val="18"/>
          <w:szCs w:val="18"/>
          <w:lang w:val="de-DE"/>
        </w:rPr>
        <w:t xml:space="preserve">. </w:t>
      </w:r>
      <w:r w:rsidRPr="009123CB">
        <w:rPr>
          <w:rFonts w:ascii="Tahoma" w:hAnsi="Tahoma" w:cs="Tahoma"/>
          <w:sz w:val="18"/>
          <w:szCs w:val="18"/>
          <w:lang w:val="de-DE"/>
        </w:rPr>
        <w:t>Es sind keine Lizenzen für Vollversionen von Desktop-Betriebssystemen verfügbar</w:t>
      </w:r>
      <w:r w:rsidR="006257A7">
        <w:rPr>
          <w:rFonts w:ascii="Tahoma" w:hAnsi="Tahoma" w:cs="Tahoma"/>
          <w:sz w:val="18"/>
          <w:szCs w:val="18"/>
          <w:lang w:val="de-DE"/>
        </w:rPr>
        <w:t xml:space="preserve">. </w:t>
      </w:r>
      <w:r w:rsidRPr="009123CB">
        <w:rPr>
          <w:rFonts w:ascii="Tahoma" w:hAnsi="Tahoma" w:cs="Tahoma"/>
          <w:sz w:val="18"/>
          <w:szCs w:val="18"/>
          <w:lang w:val="de-DE"/>
        </w:rPr>
        <w:t>Daher muss jeder Desktop, für den Sie das Windows Embedded 8 Industry Pro-Upgrade erwerben und auf dem Sie es ausführen, zur Ausführung eines der unten genannten qualifizierenden Betriebssysteme lizenziert sein</w:t>
      </w:r>
      <w:r w:rsidR="006257A7">
        <w:rPr>
          <w:rFonts w:ascii="Tahoma" w:hAnsi="Tahoma" w:cs="Tahoma"/>
          <w:sz w:val="18"/>
          <w:szCs w:val="18"/>
          <w:lang w:val="de-DE"/>
        </w:rPr>
        <w:t xml:space="preserve">. </w:t>
      </w:r>
    </w:p>
    <w:p w:rsidR="00C7319A" w:rsidRPr="009123CB" w:rsidRDefault="00C7319A" w:rsidP="00C7319A">
      <w:pPr>
        <w:ind w:left="720"/>
        <w:rPr>
          <w:lang w:val="de-DE"/>
        </w:rPr>
      </w:pPr>
    </w:p>
    <w:p w:rsidR="00C7319A" w:rsidRPr="009123CB" w:rsidRDefault="00C7319A" w:rsidP="00C7319A">
      <w:pPr>
        <w:ind w:left="720"/>
        <w:rPr>
          <w:lang w:val="de-DE"/>
        </w:rPr>
      </w:pPr>
      <w:r w:rsidRPr="009123CB">
        <w:rPr>
          <w:rFonts w:cs="Tahoma"/>
          <w:szCs w:val="18"/>
          <w:u w:val="single"/>
          <w:lang w:val="de-DE"/>
        </w:rPr>
        <w:t>Regeln für qualifizierende Betriebssysteme für Windows Embedded 8 Industry Pro</w:t>
      </w:r>
    </w:p>
    <w:p w:rsidR="00C7319A" w:rsidRPr="009123CB" w:rsidRDefault="00C7319A" w:rsidP="00C7319A">
      <w:pPr>
        <w:numPr>
          <w:ilvl w:val="0"/>
          <w:numId w:val="84"/>
        </w:numPr>
        <w:spacing w:after="60"/>
        <w:ind w:left="1440"/>
        <w:rPr>
          <w:lang w:val="de-DE"/>
        </w:rPr>
      </w:pPr>
      <w:r w:rsidRPr="009123CB">
        <w:rPr>
          <w:rFonts w:cs="Tahoma"/>
          <w:szCs w:val="18"/>
          <w:lang w:val="de-DE"/>
        </w:rPr>
        <w:t>Das qualifizierende Betriebssystem muss auf dem Gerät installiert sein, dem die Windows Embedded 8 Industry Pro-Upgrade-Lizenz zugewiesen wird</w:t>
      </w:r>
      <w:r w:rsidR="006257A7">
        <w:rPr>
          <w:rFonts w:cs="Tahoma"/>
          <w:szCs w:val="18"/>
          <w:lang w:val="de-DE"/>
        </w:rPr>
        <w:t xml:space="preserve">. </w:t>
      </w:r>
    </w:p>
    <w:p w:rsidR="00C7319A" w:rsidRPr="009123CB" w:rsidRDefault="00C7319A" w:rsidP="00C7319A">
      <w:pPr>
        <w:numPr>
          <w:ilvl w:val="1"/>
          <w:numId w:val="86"/>
        </w:numPr>
        <w:spacing w:after="60"/>
        <w:ind w:left="1440"/>
        <w:rPr>
          <w:lang w:val="de-DE"/>
        </w:rPr>
      </w:pPr>
      <w:r w:rsidRPr="009123CB">
        <w:rPr>
          <w:rFonts w:cs="Tahoma"/>
          <w:szCs w:val="18"/>
          <w:lang w:val="de-DE"/>
        </w:rPr>
        <w:t>Kunden müssen das qualifizierende Betriebssystem von dem Gerät entfernen, um die Windows Embedded 8 Industry Pro-Upgrade-Lizenz bereitstellen zu können, außer unten ist etwas anderes angegeben</w:t>
      </w:r>
      <w:r w:rsidR="006257A7">
        <w:rPr>
          <w:rFonts w:cs="Tahoma"/>
          <w:szCs w:val="18"/>
          <w:lang w:val="de-DE"/>
        </w:rPr>
        <w:t xml:space="preserve">. </w:t>
      </w:r>
    </w:p>
    <w:p w:rsidR="00C7319A" w:rsidRPr="009123CB" w:rsidRDefault="00C7319A" w:rsidP="00C7319A">
      <w:pPr>
        <w:numPr>
          <w:ilvl w:val="1"/>
          <w:numId w:val="86"/>
        </w:numPr>
        <w:spacing w:after="60"/>
        <w:ind w:left="1440"/>
        <w:rPr>
          <w:lang w:val="de-DE"/>
        </w:rPr>
      </w:pPr>
      <w:r w:rsidRPr="009123CB">
        <w:rPr>
          <w:rFonts w:cs="Tahoma"/>
          <w:szCs w:val="18"/>
          <w:lang w:val="de-DE"/>
        </w:rPr>
        <w:t>Kunden, die mehr als ein lizenziertes Betriebssystem gleichzeitig installieren oder ausführen möchten (einschließlich des qualifizierenden Betriebssystems), sind berechtigt, Software Assurance für ihre Windows Embedded 8 Industry Pro-Upgrade-Lizenz zu erwerben</w:t>
      </w:r>
      <w:r w:rsidR="006257A7">
        <w:rPr>
          <w:rFonts w:cs="Tahoma"/>
          <w:szCs w:val="18"/>
          <w:lang w:val="de-DE"/>
        </w:rPr>
        <w:t xml:space="preserve">. </w:t>
      </w:r>
    </w:p>
    <w:p w:rsidR="00C7319A" w:rsidRPr="009123CB" w:rsidRDefault="00C7319A" w:rsidP="00C7319A">
      <w:pPr>
        <w:numPr>
          <w:ilvl w:val="1"/>
          <w:numId w:val="86"/>
        </w:numPr>
        <w:ind w:left="1440"/>
        <w:rPr>
          <w:lang w:val="de-DE"/>
        </w:rPr>
      </w:pPr>
      <w:r w:rsidRPr="009123CB">
        <w:rPr>
          <w:rFonts w:cs="Tahoma"/>
          <w:szCs w:val="18"/>
          <w:lang w:val="de-DE"/>
        </w:rPr>
        <w:t>Kunden mit aktiver Software Assurance müssen das qualifizierende Betriebssystem nicht deinstallieren und können dieses zusammen mit Windows Embedded 8 Industry Pro installieren und ausführen</w:t>
      </w:r>
      <w:r w:rsidR="006257A7">
        <w:rPr>
          <w:rFonts w:cs="Tahoma"/>
          <w:szCs w:val="18"/>
          <w:lang w:val="de-DE"/>
        </w:rPr>
        <w:t xml:space="preserve">. </w:t>
      </w:r>
    </w:p>
    <w:p w:rsidR="00F81961" w:rsidRPr="009123CB" w:rsidRDefault="00F81961" w:rsidP="00C7319A">
      <w:pPr>
        <w:spacing w:after="60"/>
        <w:rPr>
          <w:lang w:val="de-DE"/>
        </w:rPr>
      </w:pPr>
    </w:p>
    <w:p w:rsidR="00C7319A" w:rsidRPr="0062435A" w:rsidRDefault="00C7319A" w:rsidP="00C7319A">
      <w:pPr>
        <w:pStyle w:val="ListParagraph"/>
      </w:pPr>
      <w:r>
        <w:rPr>
          <w:rFonts w:ascii="Tahoma" w:hAnsi="Tahoma" w:cs="Tahoma"/>
          <w:sz w:val="18"/>
          <w:szCs w:val="18"/>
          <w:u w:val="single"/>
        </w:rPr>
        <w:t>Qualifizierende Betriebssysteme</w:t>
      </w:r>
      <w:r w:rsidRPr="007E1881">
        <w:rPr>
          <w:rFonts w:ascii="Tahoma" w:hAnsi="Tahoma" w:cs="Tahoma"/>
          <w:sz w:val="18"/>
          <w:szCs w:val="18"/>
        </w:rPr>
        <w:t>:</w:t>
      </w:r>
    </w:p>
    <w:p w:rsidR="00C7319A" w:rsidRPr="0062435A" w:rsidRDefault="00C7319A" w:rsidP="00C7319A">
      <w:pPr>
        <w:numPr>
          <w:ilvl w:val="1"/>
          <w:numId w:val="86"/>
        </w:numPr>
        <w:spacing w:after="60"/>
        <w:ind w:left="1440"/>
      </w:pPr>
      <w:r>
        <w:rPr>
          <w:rFonts w:cs="Tahoma"/>
          <w:szCs w:val="18"/>
        </w:rPr>
        <w:t>Windows Embedded for Point of Service (WEPOS)</w:t>
      </w:r>
    </w:p>
    <w:p w:rsidR="00C7319A" w:rsidRPr="0062435A" w:rsidRDefault="00C7319A" w:rsidP="00C7319A">
      <w:pPr>
        <w:numPr>
          <w:ilvl w:val="1"/>
          <w:numId w:val="86"/>
        </w:numPr>
        <w:spacing w:after="60"/>
        <w:ind w:left="1440"/>
      </w:pPr>
      <w:r>
        <w:rPr>
          <w:rFonts w:cs="Tahoma"/>
          <w:szCs w:val="18"/>
        </w:rPr>
        <w:t>Windows Embedded POSReady 2009 und POSReady 7</w:t>
      </w:r>
    </w:p>
    <w:p w:rsidR="00C7319A" w:rsidRPr="0062435A" w:rsidRDefault="00C7319A" w:rsidP="00C7319A">
      <w:pPr>
        <w:numPr>
          <w:ilvl w:val="1"/>
          <w:numId w:val="86"/>
        </w:numPr>
        <w:spacing w:after="60"/>
        <w:ind w:left="1440"/>
      </w:pPr>
      <w:r>
        <w:rPr>
          <w:rFonts w:cs="Tahoma"/>
          <w:szCs w:val="18"/>
        </w:rPr>
        <w:t xml:space="preserve">Windows XP Professional for Embedded Systems </w:t>
      </w:r>
    </w:p>
    <w:p w:rsidR="00C7319A" w:rsidRPr="0062435A" w:rsidRDefault="00C7319A" w:rsidP="00C7319A">
      <w:pPr>
        <w:numPr>
          <w:ilvl w:val="1"/>
          <w:numId w:val="86"/>
        </w:numPr>
        <w:spacing w:after="60"/>
        <w:ind w:left="1440"/>
      </w:pPr>
      <w:r>
        <w:rPr>
          <w:rFonts w:cs="Tahoma"/>
          <w:szCs w:val="18"/>
        </w:rPr>
        <w:t>Windows Vista Business for Embedded Systems und Windows Vista Ultimate for Embedded Systems</w:t>
      </w:r>
    </w:p>
    <w:p w:rsidR="00C7319A" w:rsidRPr="0062435A" w:rsidRDefault="00C7319A" w:rsidP="00C7319A">
      <w:pPr>
        <w:numPr>
          <w:ilvl w:val="1"/>
          <w:numId w:val="86"/>
        </w:numPr>
        <w:spacing w:after="60"/>
        <w:ind w:left="1440"/>
      </w:pPr>
      <w:r>
        <w:rPr>
          <w:rFonts w:cs="Tahoma"/>
          <w:szCs w:val="18"/>
        </w:rPr>
        <w:t xml:space="preserve">Windows 2000 Professional for Embedded Systems </w:t>
      </w:r>
    </w:p>
    <w:p w:rsidR="00C7319A" w:rsidRPr="0062435A" w:rsidRDefault="00C7319A" w:rsidP="00C7319A">
      <w:pPr>
        <w:numPr>
          <w:ilvl w:val="1"/>
          <w:numId w:val="86"/>
        </w:numPr>
        <w:spacing w:after="60"/>
        <w:ind w:left="1440"/>
      </w:pPr>
      <w:r>
        <w:rPr>
          <w:rFonts w:cs="Tahoma"/>
          <w:szCs w:val="18"/>
        </w:rPr>
        <w:t>Windows NT Embedded for Embedded Systems</w:t>
      </w:r>
    </w:p>
    <w:p w:rsidR="00C7319A" w:rsidRPr="0062435A" w:rsidRDefault="00C7319A" w:rsidP="00C7319A">
      <w:pPr>
        <w:numPr>
          <w:ilvl w:val="1"/>
          <w:numId w:val="86"/>
        </w:numPr>
        <w:spacing w:after="60"/>
        <w:ind w:left="1440"/>
      </w:pPr>
      <w:r>
        <w:rPr>
          <w:rFonts w:cs="Tahoma"/>
          <w:szCs w:val="18"/>
        </w:rPr>
        <w:t>Windows 7 Professional for Embedded Systems</w:t>
      </w:r>
    </w:p>
    <w:p w:rsidR="00C7319A" w:rsidRPr="0062435A" w:rsidRDefault="00C7319A" w:rsidP="00C7319A">
      <w:pPr>
        <w:numPr>
          <w:ilvl w:val="1"/>
          <w:numId w:val="86"/>
        </w:numPr>
        <w:spacing w:after="60"/>
        <w:ind w:left="1440"/>
      </w:pPr>
      <w:r>
        <w:rPr>
          <w:rFonts w:cs="Tahoma"/>
          <w:szCs w:val="18"/>
        </w:rPr>
        <w:t>Windows 7 Ultimate for Embedded Systems</w:t>
      </w:r>
    </w:p>
    <w:p w:rsidR="00C7319A" w:rsidRPr="0062435A" w:rsidRDefault="00C7319A" w:rsidP="00C7319A">
      <w:pPr>
        <w:numPr>
          <w:ilvl w:val="1"/>
          <w:numId w:val="86"/>
        </w:numPr>
        <w:spacing w:after="60"/>
        <w:ind w:left="1440"/>
      </w:pPr>
      <w:r>
        <w:rPr>
          <w:rFonts w:cs="Tahoma"/>
          <w:szCs w:val="18"/>
        </w:rPr>
        <w:t>Windows XP Embedded</w:t>
      </w:r>
    </w:p>
    <w:p w:rsidR="00C7319A" w:rsidRPr="0062435A" w:rsidRDefault="00C7319A" w:rsidP="00C7319A">
      <w:pPr>
        <w:numPr>
          <w:ilvl w:val="1"/>
          <w:numId w:val="86"/>
        </w:numPr>
        <w:spacing w:after="60"/>
        <w:ind w:left="1440"/>
      </w:pPr>
      <w:r>
        <w:rPr>
          <w:rFonts w:cs="Tahoma"/>
          <w:szCs w:val="18"/>
        </w:rPr>
        <w:t>Windows Embedded Standard 7, 2009 und Windows Embedded 8 Standard</w:t>
      </w:r>
    </w:p>
    <w:p w:rsidR="00C7319A" w:rsidRPr="0062435A" w:rsidRDefault="00C7319A" w:rsidP="00C7319A">
      <w:pPr>
        <w:numPr>
          <w:ilvl w:val="1"/>
          <w:numId w:val="86"/>
        </w:numPr>
        <w:spacing w:after="60"/>
        <w:ind w:left="1440"/>
      </w:pPr>
      <w:r>
        <w:rPr>
          <w:rFonts w:cs="Tahoma"/>
          <w:szCs w:val="18"/>
        </w:rPr>
        <w:t>Windows Embedded 8 Pro</w:t>
      </w:r>
    </w:p>
    <w:p w:rsidR="00C7319A" w:rsidRPr="009123CB" w:rsidRDefault="00C7319A" w:rsidP="00C7319A">
      <w:pPr>
        <w:numPr>
          <w:ilvl w:val="1"/>
          <w:numId w:val="86"/>
        </w:numPr>
        <w:spacing w:after="60"/>
        <w:ind w:left="1440"/>
        <w:rPr>
          <w:lang w:val="de-DE"/>
        </w:rPr>
      </w:pPr>
      <w:r w:rsidRPr="009123CB">
        <w:rPr>
          <w:rFonts w:cs="Tahoma"/>
          <w:szCs w:val="18"/>
          <w:lang w:val="de-DE"/>
        </w:rPr>
        <w:t>Windows Embedded 8 Industry Pro: Allgemein und Einzelhandel</w:t>
      </w:r>
    </w:p>
    <w:p w:rsidR="00C7319A" w:rsidRPr="009123CB" w:rsidRDefault="00C7319A" w:rsidP="00C7319A">
      <w:pPr>
        <w:rPr>
          <w:lang w:val="de-DE"/>
        </w:rPr>
      </w:pPr>
    </w:p>
    <w:p w:rsidR="00C7319A" w:rsidRPr="009123CB" w:rsidRDefault="00C7319A" w:rsidP="00C7319A">
      <w:pPr>
        <w:pStyle w:val="FootnoteBulletLevel1"/>
        <w:tabs>
          <w:tab w:val="clear" w:pos="900"/>
        </w:tabs>
        <w:spacing w:before="0" w:after="0"/>
        <w:ind w:left="0" w:firstLine="0"/>
        <w:rPr>
          <w:lang w:val="de-DE"/>
        </w:rPr>
      </w:pPr>
      <w:r w:rsidRPr="009123CB">
        <w:rPr>
          <w:rFonts w:ascii="Tahoma" w:hAnsi="Tahoma" w:cs="Tahoma"/>
          <w:sz w:val="18"/>
          <w:szCs w:val="18"/>
          <w:lang w:val="de-DE"/>
        </w:rPr>
        <w:t>Oben nicht aufgeführte Betriebssysteme sind keine qualifizierenden Betriebssysteme</w:t>
      </w:r>
      <w:r w:rsidR="006257A7">
        <w:rPr>
          <w:rFonts w:ascii="Tahoma" w:hAnsi="Tahoma" w:cs="Tahoma"/>
          <w:sz w:val="18"/>
          <w:szCs w:val="18"/>
          <w:lang w:val="de-DE"/>
        </w:rPr>
        <w:t xml:space="preserve">. </w:t>
      </w:r>
      <w:r w:rsidRPr="009123CB">
        <w:rPr>
          <w:rFonts w:ascii="Tahoma" w:hAnsi="Tahoma" w:cs="Tahoma"/>
          <w:sz w:val="18"/>
          <w:szCs w:val="18"/>
          <w:lang w:val="de-DE"/>
        </w:rPr>
        <w:t>So qualifiziert z</w:t>
      </w:r>
      <w:r w:rsidR="006257A7">
        <w:rPr>
          <w:rFonts w:ascii="Tahoma" w:hAnsi="Tahoma" w:cs="Tahoma"/>
          <w:sz w:val="18"/>
          <w:szCs w:val="18"/>
          <w:lang w:val="de-DE"/>
        </w:rPr>
        <w:t xml:space="preserve">. </w:t>
      </w:r>
      <w:r w:rsidRPr="009123CB">
        <w:rPr>
          <w:rFonts w:ascii="Tahoma" w:hAnsi="Tahoma" w:cs="Tahoma"/>
          <w:sz w:val="18"/>
          <w:szCs w:val="18"/>
          <w:lang w:val="de-DE"/>
        </w:rPr>
        <w:t>B</w:t>
      </w:r>
      <w:r w:rsidR="006257A7">
        <w:rPr>
          <w:rFonts w:ascii="Tahoma" w:hAnsi="Tahoma" w:cs="Tahoma"/>
          <w:sz w:val="18"/>
          <w:szCs w:val="18"/>
          <w:lang w:val="de-DE"/>
        </w:rPr>
        <w:t xml:space="preserve">. </w:t>
      </w:r>
      <w:r w:rsidRPr="009123CB">
        <w:rPr>
          <w:rFonts w:ascii="Tahoma" w:hAnsi="Tahoma" w:cs="Tahoma"/>
          <w:sz w:val="18"/>
          <w:szCs w:val="18"/>
          <w:lang w:val="de-DE"/>
        </w:rPr>
        <w:t>eine Windows 8 Pro-Lizenz nicht für das Windows Embedded 8 Industry-Upgrade</w:t>
      </w:r>
      <w:r w:rsidR="006257A7">
        <w:rPr>
          <w:rFonts w:ascii="Tahoma" w:hAnsi="Tahoma" w:cs="Tahoma"/>
          <w:sz w:val="18"/>
          <w:szCs w:val="18"/>
          <w:lang w:val="de-DE"/>
        </w:rPr>
        <w:t xml:space="preserve">. </w:t>
      </w:r>
    </w:p>
    <w:p w:rsidR="00C7319A" w:rsidRPr="009123CB" w:rsidRDefault="00C7319A" w:rsidP="00C7319A">
      <w:pPr>
        <w:pStyle w:val="FootnoteBulletLevel1"/>
        <w:tabs>
          <w:tab w:val="clear" w:pos="900"/>
        </w:tabs>
        <w:spacing w:before="0" w:after="0"/>
        <w:ind w:left="0" w:firstLine="0"/>
        <w:rPr>
          <w:lang w:val="de-DE"/>
        </w:rPr>
      </w:pPr>
    </w:p>
    <w:p w:rsidR="00C7319A" w:rsidRPr="009123CB" w:rsidRDefault="00C7319A" w:rsidP="00C7319A">
      <w:pPr>
        <w:pStyle w:val="FootnoteBulletLevel2"/>
        <w:tabs>
          <w:tab w:val="clear" w:pos="1260"/>
        </w:tabs>
        <w:adjustRightInd/>
        <w:spacing w:before="0"/>
        <w:ind w:left="0" w:firstLine="0"/>
        <w:textAlignment w:val="auto"/>
        <w:rPr>
          <w:lang w:val="de-DE"/>
        </w:rPr>
      </w:pPr>
      <w:r w:rsidRPr="009123CB">
        <w:rPr>
          <w:rFonts w:ascii="Tahoma" w:hAnsi="Tahoma" w:cs="Tahoma"/>
          <w:sz w:val="18"/>
          <w:szCs w:val="18"/>
          <w:lang w:val="de-DE"/>
        </w:rPr>
        <w:t>Kunden, die Windows Embedded 8 Industry Pro-Upgrades und Software Assurance zusammen erwerben möchten, stehen folgende Möglichkeiten offen:</w:t>
      </w:r>
    </w:p>
    <w:p w:rsidR="00C7319A" w:rsidRPr="009123CB" w:rsidRDefault="00C7319A" w:rsidP="00C7319A">
      <w:pPr>
        <w:pStyle w:val="FootnoteBulletLevel2"/>
        <w:numPr>
          <w:ilvl w:val="0"/>
          <w:numId w:val="25"/>
        </w:numPr>
        <w:adjustRightInd/>
        <w:spacing w:before="0" w:after="60"/>
        <w:ind w:left="1440"/>
        <w:textAlignment w:val="auto"/>
        <w:rPr>
          <w:lang w:val="de-DE"/>
        </w:rPr>
      </w:pPr>
      <w:r w:rsidRPr="009123CB">
        <w:rPr>
          <w:rFonts w:ascii="Tahoma" w:hAnsi="Tahoma" w:cs="Tahoma"/>
          <w:sz w:val="18"/>
          <w:szCs w:val="18"/>
          <w:lang w:val="de-DE"/>
        </w:rPr>
        <w:t>Konzernvertrag-, Select Plus-, Open Value- (nicht unternehmensweit) und Open-Lizenzprogramme:</w:t>
      </w:r>
    </w:p>
    <w:p w:rsidR="00C7319A" w:rsidRPr="009123CB" w:rsidRDefault="00C7319A" w:rsidP="00C7319A">
      <w:pPr>
        <w:pStyle w:val="AppendixBodyText"/>
        <w:numPr>
          <w:ilvl w:val="0"/>
          <w:numId w:val="80"/>
        </w:numPr>
        <w:ind w:left="1800" w:right="720"/>
        <w:rPr>
          <w:lang w:val="de-DE"/>
        </w:rPr>
      </w:pPr>
      <w:r w:rsidRPr="009123CB">
        <w:rPr>
          <w:rFonts w:ascii="Tahoma" w:hAnsi="Tahoma" w:cs="Tahoma"/>
          <w:color w:val="000000"/>
          <w:sz w:val="18"/>
          <w:szCs w:val="18"/>
          <w:lang w:val="de-DE"/>
        </w:rPr>
        <w:t>Kunden können Upgrade und Software Assurance für Windows Embedded 8 Industry Pro für Industry Devices erwerben, auf denen der Kunde eines der in der obigen Liste für Windows Embedded-Upgrades genannten qualifizierenden Betriebssysteme lizenziert und installiert hat</w:t>
      </w:r>
      <w:r w:rsidR="006257A7">
        <w:rPr>
          <w:rFonts w:ascii="Tahoma" w:hAnsi="Tahoma" w:cs="Tahoma"/>
          <w:color w:val="000000"/>
          <w:sz w:val="18"/>
          <w:szCs w:val="18"/>
          <w:lang w:val="de-DE"/>
        </w:rPr>
        <w:t xml:space="preserve">. </w:t>
      </w:r>
    </w:p>
    <w:p w:rsidR="00C7319A" w:rsidRPr="009123CB" w:rsidRDefault="00C7319A" w:rsidP="00C7319A">
      <w:pPr>
        <w:pStyle w:val="AppendixBodyText"/>
        <w:numPr>
          <w:ilvl w:val="0"/>
          <w:numId w:val="80"/>
        </w:numPr>
        <w:ind w:left="1800" w:right="720"/>
        <w:rPr>
          <w:lang w:val="de-DE"/>
        </w:rPr>
      </w:pPr>
      <w:r w:rsidRPr="009123CB">
        <w:rPr>
          <w:rFonts w:ascii="Tahoma" w:hAnsi="Tahoma" w:cs="Tahoma"/>
          <w:color w:val="000000"/>
          <w:sz w:val="18"/>
          <w:szCs w:val="18"/>
          <w:lang w:val="de-DE"/>
        </w:rPr>
        <w:t>Der Kunde ist berechtigt, Software Assurance für Windows Embedded 8 Industry Pro vom ursprünglichen Gerät einem Ersatzgerät neu zuzuweisen, jedoch nicht kurzzeitig (d</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h</w:t>
      </w:r>
      <w:r w:rsidR="006257A7">
        <w:rPr>
          <w:rFonts w:ascii="Tahoma" w:hAnsi="Tahoma" w:cs="Tahoma"/>
          <w:color w:val="000000"/>
          <w:sz w:val="18"/>
          <w:szCs w:val="18"/>
          <w:lang w:val="de-DE"/>
        </w:rPr>
        <w:t xml:space="preserve">. </w:t>
      </w:r>
      <w:r w:rsidRPr="009123CB">
        <w:rPr>
          <w:rFonts w:ascii="Tahoma" w:hAnsi="Tahoma" w:cs="Tahoma"/>
          <w:color w:val="000000"/>
          <w:sz w:val="18"/>
          <w:szCs w:val="18"/>
          <w:lang w:val="de-DE"/>
        </w:rPr>
        <w:t>nicht innerhalb von 90 Tagen nach der letzten Zuweisung), solange (1) der Kunde die neueste Version dieses Betriebssystems lizenziert und auf dem Ersatzgerät installiert hat und (2) der Kunde von dem ursprünglichen Gerät alle zugehörigen Betriebssystem-Upgrades entfernt</w:t>
      </w:r>
      <w:r w:rsidR="006257A7">
        <w:rPr>
          <w:rFonts w:ascii="Tahoma" w:hAnsi="Tahoma" w:cs="Tahoma"/>
          <w:color w:val="000000"/>
          <w:sz w:val="18"/>
          <w:szCs w:val="18"/>
          <w:lang w:val="de-DE"/>
        </w:rPr>
        <w:t xml:space="preserve">. </w:t>
      </w:r>
    </w:p>
    <w:p w:rsidR="00C7319A" w:rsidRPr="009123CB" w:rsidRDefault="00C7319A" w:rsidP="00C7319A">
      <w:pPr>
        <w:pStyle w:val="Footnotedash"/>
        <w:spacing w:before="0" w:after="0"/>
        <w:ind w:left="360"/>
        <w:rPr>
          <w:lang w:val="de-DE"/>
        </w:rPr>
      </w:pPr>
      <w:r w:rsidRPr="009123CB">
        <w:rPr>
          <w:rFonts w:ascii="Tahoma" w:hAnsi="Tahoma" w:cs="Tahoma"/>
          <w:sz w:val="18"/>
          <w:szCs w:val="18"/>
          <w:u w:val="single"/>
          <w:lang w:val="de-DE"/>
        </w:rPr>
        <w:t>Downgraderechte</w:t>
      </w:r>
    </w:p>
    <w:p w:rsidR="00C7319A" w:rsidRPr="009123CB" w:rsidRDefault="00C7319A" w:rsidP="00C7319A">
      <w:pPr>
        <w:pStyle w:val="ListParagraph"/>
        <w:ind w:left="0"/>
        <w:contextualSpacing w:val="0"/>
        <w:rPr>
          <w:lang w:val="de-DE"/>
        </w:rPr>
      </w:pPr>
      <w:r w:rsidRPr="009123CB">
        <w:rPr>
          <w:rFonts w:ascii="Tahoma" w:hAnsi="Tahoma" w:cs="Tahoma"/>
          <w:bCs/>
          <w:sz w:val="18"/>
          <w:szCs w:val="18"/>
          <w:lang w:val="de-DE"/>
        </w:rPr>
        <w:t>Microsoft Windows Embedded 8 Industry Pro:</w:t>
      </w:r>
      <w:r w:rsidRPr="009123CB">
        <w:rPr>
          <w:rFonts w:ascii="Tahoma" w:hAnsi="Tahoma" w:cs="Tahoma"/>
          <w:b/>
          <w:bCs/>
          <w:sz w:val="18"/>
          <w:szCs w:val="18"/>
          <w:lang w:val="de-DE"/>
        </w:rPr>
        <w:t xml:space="preserve"> </w:t>
      </w:r>
      <w:r w:rsidRPr="009123CB">
        <w:rPr>
          <w:rFonts w:ascii="Tahoma" w:hAnsi="Tahoma" w:cs="Tahoma"/>
          <w:sz w:val="18"/>
          <w:szCs w:val="18"/>
          <w:lang w:val="de-DE"/>
        </w:rPr>
        <w:t>Volumenlizenzkunden mit einer gültigen Lizenz für Windows Embedded 8 Industry Pro, die im Rahmen des Volumenlizenzprogramms für Windows Embedded 8 Industry erworben wurde, sind berechtigt, eine frühere Version als die lizenzierte zu verwenden</w:t>
      </w:r>
      <w:r w:rsidR="006257A7">
        <w:rPr>
          <w:rFonts w:ascii="Tahoma" w:hAnsi="Tahoma" w:cs="Tahoma"/>
          <w:sz w:val="18"/>
          <w:szCs w:val="18"/>
          <w:lang w:val="de-DE"/>
        </w:rPr>
        <w:t xml:space="preserve">. </w:t>
      </w:r>
      <w:r w:rsidRPr="009123CB">
        <w:rPr>
          <w:rFonts w:ascii="Tahoma" w:hAnsi="Tahoma" w:cs="Tahoma"/>
          <w:sz w:val="18"/>
          <w:szCs w:val="18"/>
          <w:lang w:val="de-DE"/>
        </w:rPr>
        <w:t>Berechtigte frühere Versionen von Windows Embedded 8 Industry sind Windows Embedded POSReady 7 und Windows Embedded POSReady 2009</w:t>
      </w:r>
      <w:r w:rsidR="006257A7">
        <w:rPr>
          <w:rFonts w:ascii="Tahoma" w:hAnsi="Tahoma" w:cs="Tahoma"/>
          <w:sz w:val="18"/>
          <w:szCs w:val="18"/>
          <w:lang w:val="de-DE"/>
        </w:rPr>
        <w:t xml:space="preserve">. </w:t>
      </w:r>
    </w:p>
    <w:p w:rsidR="00C7319A" w:rsidRPr="009123CB" w:rsidRDefault="00C7319A" w:rsidP="00C7319A">
      <w:pPr>
        <w:pStyle w:val="FootnoteBulletLevel2"/>
        <w:tabs>
          <w:tab w:val="clear" w:pos="1260"/>
        </w:tabs>
        <w:spacing w:before="0"/>
        <w:ind w:left="0" w:firstLine="0"/>
        <w:rPr>
          <w:lang w:val="de-DE"/>
        </w:rPr>
      </w:pPr>
    </w:p>
    <w:p w:rsidR="00C7319A" w:rsidRPr="007E1881" w:rsidRDefault="00C7319A" w:rsidP="00C7319A">
      <w:pPr>
        <w:pStyle w:val="FootnoteBulletLevel2"/>
        <w:tabs>
          <w:tab w:val="clear" w:pos="1260"/>
        </w:tabs>
        <w:spacing w:before="0"/>
        <w:ind w:left="0" w:firstLine="0"/>
        <w:rPr>
          <w:lang w:val="de-DE"/>
        </w:rPr>
      </w:pPr>
      <w:r w:rsidRPr="009123CB">
        <w:rPr>
          <w:rFonts w:ascii="Tahoma" w:hAnsi="Tahoma" w:cs="Tahoma"/>
          <w:sz w:val="18"/>
          <w:szCs w:val="18"/>
          <w:u w:val="single"/>
          <w:lang w:val="de-DE"/>
        </w:rPr>
        <w:t>Für das Re-imaging von Windows Embedded gelten die folgenden Anforderungen</w:t>
      </w:r>
      <w:r w:rsidRPr="007E1881">
        <w:rPr>
          <w:rFonts w:ascii="Tahoma" w:hAnsi="Tahoma" w:cs="Tahoma"/>
          <w:sz w:val="18"/>
          <w:szCs w:val="18"/>
          <w:lang w:val="de-DE"/>
        </w:rPr>
        <w:t>:</w:t>
      </w:r>
    </w:p>
    <w:p w:rsidR="00C7319A" w:rsidRDefault="00C7319A" w:rsidP="008775F2">
      <w:pPr>
        <w:pStyle w:val="FootnoteBulletLevel2"/>
        <w:tabs>
          <w:tab w:val="clear" w:pos="1260"/>
        </w:tabs>
        <w:spacing w:before="0"/>
        <w:ind w:left="0" w:firstLine="0"/>
        <w:rPr>
          <w:rFonts w:ascii="Tahoma" w:hAnsi="Tahoma" w:cs="Tahoma"/>
          <w:sz w:val="18"/>
          <w:szCs w:val="18"/>
          <w:lang w:val="de-DE"/>
        </w:rPr>
      </w:pPr>
      <w:r w:rsidRPr="008849B7">
        <w:rPr>
          <w:rFonts w:ascii="Tahoma" w:hAnsi="Tahoma" w:cs="Tahoma"/>
          <w:sz w:val="18"/>
          <w:szCs w:val="18"/>
          <w:lang w:val="de-DE"/>
        </w:rPr>
        <w:t>Wenn ein Dritter ein Re-imaging von Windows Embedded auf einem Gerät eines Kunden durchführen möchte, muss</w:t>
      </w:r>
      <w:r w:rsidR="008775F2">
        <w:rPr>
          <w:rFonts w:ascii="Tahoma" w:hAnsi="Tahoma" w:cs="Tahoma"/>
          <w:sz w:val="18"/>
          <w:szCs w:val="18"/>
          <w:lang w:val="de-DE"/>
        </w:rPr>
        <w:t> </w:t>
      </w:r>
      <w:r w:rsidRPr="008849B7">
        <w:rPr>
          <w:rFonts w:ascii="Tahoma" w:hAnsi="Tahoma" w:cs="Tahoma"/>
          <w:sz w:val="18"/>
          <w:szCs w:val="18"/>
          <w:lang w:val="de-DE"/>
        </w:rPr>
        <w:t>der Kunde diesem Dritten zunächst entweder (a) ein ausgefülltes Formular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oder (b) Kopien des Formblattes für Unterschriften von dem Microsoft-Volumenlizenzvertrag, der auf die zu installierende Upgradesoftware für das Microsoft-Betriebssystem anwendbar ist,</w:t>
      </w:r>
      <w:r w:rsidR="007E1881">
        <w:rPr>
          <w:rFonts w:ascii="Tahoma" w:hAnsi="Tahoma" w:cs="Tahoma"/>
          <w:sz w:val="18"/>
          <w:szCs w:val="18"/>
          <w:lang w:val="de-DE"/>
        </w:rPr>
        <w:t> </w:t>
      </w:r>
      <w:r w:rsidRPr="008849B7">
        <w:rPr>
          <w:rFonts w:ascii="Tahoma" w:hAnsi="Tahoma" w:cs="Tahoma"/>
          <w:sz w:val="18"/>
          <w:szCs w:val="18"/>
          <w:lang w:val="de-DE"/>
        </w:rPr>
        <w:t>bereitstellen</w:t>
      </w:r>
      <w:r w:rsidR="006257A7">
        <w:rPr>
          <w:rFonts w:ascii="Tahoma" w:hAnsi="Tahoma" w:cs="Tahoma"/>
          <w:sz w:val="18"/>
          <w:szCs w:val="18"/>
          <w:lang w:val="de-DE"/>
        </w:rPr>
        <w:t xml:space="preserve">. </w:t>
      </w:r>
      <w:r w:rsidRPr="008849B7">
        <w:rPr>
          <w:rFonts w:ascii="Tahoma" w:hAnsi="Tahoma" w:cs="Tahoma"/>
          <w:sz w:val="18"/>
          <w:szCs w:val="18"/>
          <w:lang w:val="de-DE"/>
        </w:rPr>
        <w:t xml:space="preserve">Das Formular „Microsoft License Verification for Third Party Imaging/Installing Microsoft Operating System Software“ finden Sie unter </w:t>
      </w:r>
      <w:hyperlink r:id="rId40" w:history="1">
        <w:r w:rsidRPr="008849B7">
          <w:rPr>
            <w:rFonts w:ascii="Tahoma" w:hAnsi="Tahoma" w:cs="Tahoma"/>
            <w:sz w:val="18"/>
            <w:szCs w:val="18"/>
            <w:lang w:val="de-DE"/>
          </w:rPr>
          <w:t>www</w:t>
        </w:r>
        <w:r w:rsidR="006257A7">
          <w:rPr>
            <w:rFonts w:ascii="Tahoma" w:hAnsi="Tahoma" w:cs="Tahoma"/>
            <w:sz w:val="18"/>
            <w:szCs w:val="18"/>
            <w:lang w:val="de-DE"/>
          </w:rPr>
          <w:t xml:space="preserve">. </w:t>
        </w:r>
        <w:r w:rsidRPr="008849B7">
          <w:rPr>
            <w:rFonts w:ascii="Tahoma" w:hAnsi="Tahoma" w:cs="Tahoma"/>
            <w:sz w:val="18"/>
            <w:szCs w:val="18"/>
            <w:lang w:val="de-DE"/>
          </w:rPr>
          <w:t>microsoft</w:t>
        </w:r>
        <w:r w:rsidR="00E869D6">
          <w:rPr>
            <w:rFonts w:ascii="Tahoma" w:hAnsi="Tahoma" w:cs="Tahoma"/>
            <w:sz w:val="18"/>
            <w:szCs w:val="18"/>
            <w:lang w:val="de-DE"/>
          </w:rPr>
          <w:t>.</w:t>
        </w:r>
        <w:r w:rsidRPr="008849B7">
          <w:rPr>
            <w:rFonts w:ascii="Tahoma" w:hAnsi="Tahoma" w:cs="Tahoma"/>
            <w:sz w:val="18"/>
            <w:szCs w:val="18"/>
            <w:lang w:val="de-DE"/>
          </w:rPr>
          <w:t>com/licensing/contracts</w:t>
        </w:r>
      </w:hyperlink>
      <w:r w:rsidR="006257A7">
        <w:rPr>
          <w:rFonts w:ascii="Tahoma" w:hAnsi="Tahoma" w:cs="Tahoma"/>
          <w:sz w:val="18"/>
          <w:szCs w:val="18"/>
          <w:lang w:val="de-DE"/>
        </w:rPr>
        <w:t xml:space="preserve">. </w:t>
      </w:r>
    </w:p>
    <w:p w:rsidR="00C7319A" w:rsidRPr="008849B7" w:rsidRDefault="00C7319A" w:rsidP="00C7319A">
      <w:pPr>
        <w:pStyle w:val="Footnotedash"/>
        <w:tabs>
          <w:tab w:val="clear" w:pos="1620"/>
        </w:tabs>
        <w:spacing w:before="0" w:after="0"/>
        <w:ind w:left="360"/>
        <w:rPr>
          <w:lang w:val="de-DE"/>
        </w:rPr>
      </w:pPr>
      <w:r w:rsidRPr="008849B7">
        <w:rPr>
          <w:rFonts w:ascii="Tahoma" w:eastAsia="Calibri" w:hAnsi="Tahoma" w:cs="Tahoma"/>
          <w:sz w:val="18"/>
          <w:szCs w:val="18"/>
          <w:u w:val="single"/>
          <w:lang w:val="de-DE"/>
        </w:rPr>
        <w:t>Beschränkung auf Industry Devices</w:t>
      </w:r>
    </w:p>
    <w:p w:rsidR="00C7319A" w:rsidRPr="009123CB" w:rsidRDefault="00C7319A" w:rsidP="007E1881">
      <w:pPr>
        <w:pStyle w:val="Footnotedash"/>
        <w:tabs>
          <w:tab w:val="clear" w:pos="1620"/>
        </w:tabs>
        <w:spacing w:before="0"/>
        <w:ind w:left="0" w:firstLine="0"/>
        <w:rPr>
          <w:lang w:val="de-DE"/>
        </w:rPr>
      </w:pPr>
      <w:r w:rsidRPr="009123CB">
        <w:rPr>
          <w:rFonts w:ascii="Tahoma" w:eastAsia="Calibri" w:hAnsi="Tahoma" w:cs="Tahoma"/>
          <w:sz w:val="18"/>
          <w:szCs w:val="18"/>
          <w:lang w:val="de-DE"/>
        </w:rPr>
        <w:t>Windows Embedded 8 Industry Pro darf nur auf Industry Devices installiert werden</w:t>
      </w:r>
      <w:r w:rsidR="006257A7">
        <w:rPr>
          <w:rFonts w:ascii="Tahoma" w:eastAsia="Calibri" w:hAnsi="Tahoma" w:cs="Tahoma"/>
          <w:sz w:val="18"/>
          <w:szCs w:val="18"/>
          <w:lang w:val="de-DE"/>
        </w:rPr>
        <w:t xml:space="preserve">. </w:t>
      </w:r>
      <w:r w:rsidRPr="009123CB">
        <w:rPr>
          <w:rFonts w:ascii="Tahoma" w:eastAsia="Calibri" w:hAnsi="Tahoma" w:cs="Tahoma"/>
          <w:sz w:val="18"/>
          <w:szCs w:val="18"/>
          <w:lang w:val="de-DE"/>
        </w:rPr>
        <w:t>Keine anderen Geräte sind zulässig</w:t>
      </w:r>
      <w:r w:rsidR="006257A7">
        <w:rPr>
          <w:rFonts w:ascii="Tahoma" w:eastAsia="Calibri" w:hAnsi="Tahoma" w:cs="Tahoma"/>
          <w:sz w:val="18"/>
          <w:szCs w:val="18"/>
          <w:lang w:val="de-DE"/>
        </w:rPr>
        <w:t xml:space="preserve">. </w:t>
      </w:r>
      <w:r w:rsidRPr="009123CB">
        <w:rPr>
          <w:rFonts w:ascii="Tahoma" w:hAnsi="Tahoma" w:cs="Tahoma"/>
          <w:sz w:val="18"/>
          <w:szCs w:val="18"/>
          <w:lang w:val="de-DE"/>
        </w:rPr>
        <w:t>„Industry Devices“ (auch Line-of-Business-Geräte genannt) sind alle Geräte, die (1) in der bereitgestellten Konfiguration nicht als allgemein verwendbares Computergerät (z</w:t>
      </w:r>
      <w:r w:rsidR="006257A7">
        <w:rPr>
          <w:rFonts w:ascii="Tahoma" w:hAnsi="Tahoma" w:cs="Tahoma"/>
          <w:sz w:val="18"/>
          <w:szCs w:val="18"/>
          <w:lang w:val="de-DE"/>
        </w:rPr>
        <w:t xml:space="preserve">. </w:t>
      </w:r>
      <w:r w:rsidRPr="009123CB">
        <w:rPr>
          <w:rFonts w:ascii="Tahoma" w:hAnsi="Tahoma" w:cs="Tahoma"/>
          <w:sz w:val="18"/>
          <w:szCs w:val="18"/>
          <w:lang w:val="de-DE"/>
        </w:rPr>
        <w:t>B</w:t>
      </w:r>
      <w:r w:rsidR="006257A7">
        <w:rPr>
          <w:rFonts w:ascii="Tahoma" w:hAnsi="Tahoma" w:cs="Tahoma"/>
          <w:sz w:val="18"/>
          <w:szCs w:val="18"/>
          <w:lang w:val="de-DE"/>
        </w:rPr>
        <w:t xml:space="preserve">. </w:t>
      </w:r>
      <w:r w:rsidRPr="009123CB">
        <w:rPr>
          <w:rFonts w:ascii="Tahoma" w:hAnsi="Tahoma" w:cs="Tahoma"/>
          <w:sz w:val="18"/>
          <w:szCs w:val="18"/>
          <w:lang w:val="de-DE"/>
        </w:rPr>
        <w:t>ein PC), als Multifunktionsserver oder als wirtschaftlich rentabler Ersatz für eines dieser Systeme verwendet werden können sowie (2) nur ein branchen- oder aufgabenspezifisches Softwareprogramm (z</w:t>
      </w:r>
      <w:r w:rsidR="006257A7">
        <w:rPr>
          <w:rFonts w:ascii="Tahoma" w:hAnsi="Tahoma" w:cs="Tahoma"/>
          <w:sz w:val="18"/>
          <w:szCs w:val="18"/>
          <w:lang w:val="de-DE"/>
        </w:rPr>
        <w:t xml:space="preserve">. </w:t>
      </w:r>
      <w:r w:rsidRPr="009123CB">
        <w:rPr>
          <w:rFonts w:ascii="Tahoma" w:hAnsi="Tahoma" w:cs="Tahoma"/>
          <w:sz w:val="18"/>
          <w:szCs w:val="18"/>
          <w:lang w:val="de-DE"/>
        </w:rPr>
        <w:t>B</w:t>
      </w:r>
      <w:r w:rsidR="006257A7">
        <w:rPr>
          <w:rFonts w:ascii="Tahoma" w:hAnsi="Tahoma" w:cs="Tahoma"/>
          <w:sz w:val="18"/>
          <w:szCs w:val="18"/>
          <w:lang w:val="de-DE"/>
        </w:rPr>
        <w:t xml:space="preserve">. </w:t>
      </w:r>
      <w:r w:rsidRPr="009123CB">
        <w:rPr>
          <w:rFonts w:ascii="Tahoma" w:hAnsi="Tahoma" w:cs="Tahoma"/>
          <w:sz w:val="18"/>
          <w:szCs w:val="18"/>
          <w:lang w:val="de-DE"/>
        </w:rPr>
        <w:t>ein Computer-Aided-Design-Programm, das von einem Architekten verwendet wird, oder ein Programm für den Einsatz am Verkaufsort) („Branchenprogramm“) einsetzen</w:t>
      </w:r>
      <w:r w:rsidR="006257A7">
        <w:rPr>
          <w:rFonts w:ascii="Tahoma" w:hAnsi="Tahoma" w:cs="Tahoma"/>
          <w:sz w:val="18"/>
          <w:szCs w:val="18"/>
          <w:lang w:val="de-DE"/>
        </w:rPr>
        <w:t xml:space="preserve">. </w:t>
      </w:r>
      <w:r w:rsidRPr="009123CB">
        <w:rPr>
          <w:rFonts w:ascii="Tahoma" w:hAnsi="Tahoma" w:cs="Tahoma"/>
          <w:sz w:val="18"/>
          <w:szCs w:val="18"/>
          <w:lang w:val="de-DE"/>
        </w:rPr>
        <w:t>Das Gerät kann Features und Funktionen umfassen, die aus Microsoft-Software oder der Software Dritter abgeleitet sind</w:t>
      </w:r>
      <w:r w:rsidR="006257A7">
        <w:rPr>
          <w:rFonts w:ascii="Tahoma" w:hAnsi="Tahoma" w:cs="Tahoma"/>
          <w:sz w:val="18"/>
          <w:szCs w:val="18"/>
          <w:lang w:val="de-DE"/>
        </w:rPr>
        <w:t xml:space="preserve">. </w:t>
      </w:r>
      <w:r w:rsidRPr="009123CB">
        <w:rPr>
          <w:rFonts w:ascii="Tahoma" w:hAnsi="Tahoma" w:cs="Tahoma"/>
          <w:sz w:val="18"/>
          <w:szCs w:val="18"/>
          <w:lang w:val="de-DE"/>
        </w:rPr>
        <w:t>Falls das Gerät Desktop-Funktionen (z</w:t>
      </w:r>
      <w:r w:rsidR="006257A7">
        <w:rPr>
          <w:rFonts w:ascii="Tahoma" w:hAnsi="Tahoma" w:cs="Tahoma"/>
          <w:sz w:val="18"/>
          <w:szCs w:val="18"/>
          <w:lang w:val="de-DE"/>
        </w:rPr>
        <w:t xml:space="preserve">. </w:t>
      </w:r>
      <w:r w:rsidRPr="009123CB">
        <w:rPr>
          <w:rFonts w:ascii="Tahoma" w:hAnsi="Tahoma" w:cs="Tahoma"/>
          <w:sz w:val="18"/>
          <w:szCs w:val="18"/>
          <w:lang w:val="de-DE"/>
        </w:rPr>
        <w:t>B</w:t>
      </w:r>
      <w:r w:rsidR="006257A7">
        <w:rPr>
          <w:rFonts w:ascii="Tahoma" w:hAnsi="Tahoma" w:cs="Tahoma"/>
          <w:sz w:val="18"/>
          <w:szCs w:val="18"/>
          <w:lang w:val="de-DE"/>
        </w:rPr>
        <w:t xml:space="preserve">. </w:t>
      </w:r>
      <w:r w:rsidRPr="009123CB">
        <w:rPr>
          <w:rFonts w:ascii="Tahoma" w:hAnsi="Tahoma" w:cs="Tahoma"/>
          <w:sz w:val="18"/>
          <w:szCs w:val="18"/>
          <w:lang w:val="de-DE"/>
        </w:rPr>
        <w:t>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w:t>
      </w:r>
      <w:r w:rsidR="007E1881">
        <w:rPr>
          <w:rFonts w:ascii="Tahoma" w:hAnsi="Tahoma" w:cs="Tahoma"/>
          <w:sz w:val="18"/>
          <w:szCs w:val="18"/>
          <w:lang w:val="de-DE"/>
        </w:rPr>
        <w:t> </w:t>
      </w:r>
      <w:r w:rsidRPr="009123CB">
        <w:rPr>
          <w:rFonts w:ascii="Tahoma" w:hAnsi="Tahoma" w:cs="Tahoma"/>
          <w:sz w:val="18"/>
          <w:szCs w:val="18"/>
          <w:lang w:val="de-DE"/>
        </w:rPr>
        <w:t>(2) müssen technisch in das Branchenprogramm integriert sein oder über technisch umgesetzte Richtlinien oder</w:t>
      </w:r>
      <w:r w:rsidR="007E1881">
        <w:rPr>
          <w:rFonts w:ascii="Tahoma" w:hAnsi="Tahoma" w:cs="Tahoma"/>
          <w:sz w:val="18"/>
          <w:szCs w:val="18"/>
          <w:lang w:val="de-DE"/>
        </w:rPr>
        <w:t> </w:t>
      </w:r>
      <w:r w:rsidRPr="009123CB">
        <w:rPr>
          <w:rFonts w:ascii="Tahoma" w:hAnsi="Tahoma" w:cs="Tahoma"/>
          <w:sz w:val="18"/>
          <w:szCs w:val="18"/>
          <w:lang w:val="de-DE"/>
        </w:rPr>
        <w:t>eine Architektur verfügen, durch die ihr Betrieb nur in Verbindung mit der Funktionalität des Branchenprogramms möglich ist</w:t>
      </w:r>
      <w:r w:rsidR="006257A7">
        <w:rPr>
          <w:rFonts w:ascii="Tahoma" w:hAnsi="Tahoma" w:cs="Tahoma"/>
          <w:sz w:val="18"/>
          <w:szCs w:val="18"/>
          <w:lang w:val="de-DE"/>
        </w:rPr>
        <w:t xml:space="preserve">. </w:t>
      </w:r>
    </w:p>
    <w:p w:rsidR="00C7319A" w:rsidRPr="009123CB" w:rsidRDefault="00C7319A" w:rsidP="00C7319A">
      <w:pPr>
        <w:contextualSpacing/>
        <w:rPr>
          <w:lang w:val="de-DE"/>
        </w:rPr>
      </w:pPr>
    </w:p>
    <w:p w:rsidR="00C7319A" w:rsidRPr="009123CB" w:rsidRDefault="00C7319A" w:rsidP="00C7319A">
      <w:pPr>
        <w:contextualSpacing/>
        <w:rPr>
          <w:lang w:val="de-DE"/>
        </w:rPr>
      </w:pPr>
    </w:p>
    <w:p w:rsidR="00C7319A" w:rsidRPr="009123CB" w:rsidRDefault="00C7319A" w:rsidP="00C7319A">
      <w:pPr>
        <w:pStyle w:val="Heading3"/>
        <w:keepNext/>
        <w:rPr>
          <w:lang w:val="de-DE"/>
        </w:rPr>
      </w:pPr>
      <w:bookmarkStart w:id="1113" w:name="_25_Windows®_Companion"/>
      <w:bookmarkStart w:id="1114" w:name="_28_Windows®_Companion"/>
      <w:bookmarkStart w:id="1115" w:name="_29_Windows®_Companion-Abonnementliz"/>
      <w:bookmarkStart w:id="1116" w:name="_Toc336338281"/>
      <w:bookmarkStart w:id="1117" w:name="_Toc363999025"/>
      <w:bookmarkEnd w:id="1113"/>
      <w:bookmarkEnd w:id="1114"/>
      <w:bookmarkEnd w:id="1115"/>
      <w:r w:rsidRPr="009123CB">
        <w:rPr>
          <w:rFonts w:ascii="Tahoma" w:hAnsi="Tahoma"/>
          <w:caps/>
          <w:color w:val="F66400"/>
          <w:sz w:val="22"/>
          <w:vertAlign w:val="superscript"/>
          <w:lang w:val="de-DE"/>
        </w:rPr>
        <w:t>29</w:t>
      </w:r>
      <w:r w:rsidRPr="007E1881">
        <w:rPr>
          <w:rFonts w:ascii="Tahoma" w:hAnsi="Tahoma"/>
          <w:caps/>
          <w:color w:val="F66400"/>
          <w:sz w:val="22"/>
          <w:lang w:val="de-DE"/>
        </w:rPr>
        <w:t xml:space="preserve"> </w:t>
      </w:r>
      <w:r w:rsidRPr="009123CB">
        <w:rPr>
          <w:rFonts w:ascii="Tahoma" w:hAnsi="Tahoma"/>
          <w:color w:val="F66400"/>
          <w:sz w:val="22"/>
          <w:lang w:val="de-DE"/>
        </w:rPr>
        <w:t>Windows</w:t>
      </w:r>
      <w:r w:rsidR="0069040B" w:rsidRPr="0069040B">
        <w:rPr>
          <w:rFonts w:ascii="Tahoma" w:hAnsi="Tahoma"/>
          <w:color w:val="F66400"/>
          <w:sz w:val="22"/>
          <w:vertAlign w:val="superscript"/>
          <w:lang w:val="de-DE"/>
        </w:rPr>
        <w:t>®</w:t>
      </w:r>
      <w:r w:rsidRPr="009123CB">
        <w:rPr>
          <w:rFonts w:ascii="Tahoma" w:hAnsi="Tahoma"/>
          <w:color w:val="F66400"/>
          <w:sz w:val="22"/>
          <w:lang w:val="de-DE"/>
        </w:rPr>
        <w:t xml:space="preserve"> Companion-Abonnementlizenz</w:t>
      </w:r>
      <w:bookmarkEnd w:id="1116"/>
      <w:bookmarkEnd w:id="1117"/>
    </w:p>
    <w:p w:rsidR="00C7319A" w:rsidRPr="009123CB" w:rsidRDefault="00C7319A" w:rsidP="00C7319A">
      <w:pPr>
        <w:rPr>
          <w:lang w:val="de-DE"/>
        </w:rPr>
      </w:pPr>
    </w:p>
    <w:p w:rsidR="00C7319A" w:rsidRPr="009123CB" w:rsidRDefault="00C7319A" w:rsidP="00C7319A">
      <w:pPr>
        <w:spacing w:after="60"/>
        <w:ind w:left="720"/>
        <w:rPr>
          <w:lang w:val="de-DE"/>
        </w:rPr>
      </w:pPr>
      <w:r w:rsidRPr="009123CB">
        <w:rPr>
          <w:b/>
          <w:color w:val="000000"/>
          <w:lang w:val="de-DE"/>
        </w:rPr>
        <w:t>Einrichtungen mit einem School-Vertrag</w:t>
      </w:r>
    </w:p>
    <w:p w:rsidR="00C7319A" w:rsidRPr="009123CB" w:rsidRDefault="00C7319A" w:rsidP="00C7319A">
      <w:pPr>
        <w:ind w:left="720"/>
        <w:rPr>
          <w:lang w:val="de-DE"/>
        </w:rPr>
      </w:pPr>
      <w:r w:rsidRPr="009123CB">
        <w:rPr>
          <w:color w:val="000000"/>
          <w:lang w:val="de-DE"/>
        </w:rPr>
        <w:t>Einrichtungen sind berechtigt, die Windows Companion-Abonnementlizenz (CSL) zu erwerben, wenn die qualifizierenden Produkte abgedeckt sind</w:t>
      </w:r>
      <w:r w:rsidR="006257A7">
        <w:rPr>
          <w:color w:val="000000"/>
          <w:lang w:val="de-DE"/>
        </w:rPr>
        <w:t xml:space="preserve">. </w:t>
      </w:r>
      <w:r w:rsidRPr="009123CB">
        <w:rPr>
          <w:color w:val="000000"/>
          <w:lang w:val="de-DE"/>
        </w:rPr>
        <w:t>Die maximale Anzahl von CSLs, die erworben werden dürfen, entspricht der Anzahl Berechtigter PCs der qualifizierenden Produkte</w:t>
      </w:r>
      <w:r w:rsidR="006257A7">
        <w:rPr>
          <w:color w:val="000000"/>
          <w:lang w:val="de-DE"/>
        </w:rPr>
        <w:t xml:space="preserve">. </w:t>
      </w:r>
    </w:p>
    <w:p w:rsidR="00C7319A" w:rsidRPr="009123CB" w:rsidRDefault="00C7319A" w:rsidP="00C7319A">
      <w:pPr>
        <w:rPr>
          <w:lang w:val="de-DE"/>
        </w:rPr>
      </w:pPr>
    </w:p>
    <w:p w:rsidR="00C7319A" w:rsidRPr="008849B7" w:rsidRDefault="00C7319A" w:rsidP="00C7319A">
      <w:pPr>
        <w:spacing w:after="60"/>
        <w:ind w:left="720"/>
        <w:rPr>
          <w:lang w:val="de-DE"/>
        </w:rPr>
      </w:pPr>
      <w:r w:rsidRPr="008849B7">
        <w:rPr>
          <w:b/>
          <w:color w:val="000000"/>
          <w:lang w:val="de-DE"/>
        </w:rPr>
        <w:t>Companion-Geräte und Qualifizierte Geräte</w:t>
      </w:r>
    </w:p>
    <w:p w:rsidR="00C7319A" w:rsidRPr="009123CB" w:rsidRDefault="00C7319A" w:rsidP="00C7319A">
      <w:pPr>
        <w:ind w:left="720"/>
        <w:rPr>
          <w:lang w:val="de-DE"/>
        </w:rPr>
      </w:pPr>
      <w:r w:rsidRPr="009123CB">
        <w:rPr>
          <w:color w:val="000000"/>
          <w:lang w:val="de-DE"/>
        </w:rPr>
        <w:t>Companion-Geräte, bei denen Nutzungsrechte angewendet werden, die von der CSL bereitgestellt werden, sind Qualifizierte Geräte</w:t>
      </w:r>
      <w:r w:rsidR="006257A7">
        <w:rPr>
          <w:color w:val="000000"/>
          <w:lang w:val="de-DE"/>
        </w:rPr>
        <w:t xml:space="preserve">. </w:t>
      </w:r>
      <w:r w:rsidRPr="009123CB">
        <w:rPr>
          <w:color w:val="000000"/>
          <w:lang w:val="de-DE"/>
        </w:rPr>
        <w:t>Die CSL ist ein Konzernprodukt und erfüllt daher den Systemteil einer jeden Abnahmeverpflichtung für Qualifizierte Geräte</w:t>
      </w:r>
      <w:r w:rsidR="006257A7">
        <w:rPr>
          <w:color w:val="000000"/>
          <w:lang w:val="de-DE"/>
        </w:rPr>
        <w:t xml:space="preserve">. </w:t>
      </w:r>
      <w:r w:rsidRPr="009123CB">
        <w:rPr>
          <w:color w:val="000000"/>
          <w:lang w:val="de-DE"/>
        </w:rPr>
        <w:t xml:space="preserve">Die CSLs können in beliebiger Menge erworben werden und müssen nicht für alle Qualifizierten </w:t>
      </w:r>
      <w:r w:rsidRPr="009123CB">
        <w:rPr>
          <w:lang w:val="de-DE"/>
        </w:rPr>
        <w:t>Geräte einer Organisation erworben werden, jedoch darf die Anzahl der CSLs in keinem Fall die Zahl der Summe aus Windows-Upgrades und VDA-Lizenzen übersteigen</w:t>
      </w:r>
      <w:r w:rsidR="006257A7">
        <w:rPr>
          <w:lang w:val="de-DE"/>
        </w:rPr>
        <w:t xml:space="preserve">. </w:t>
      </w:r>
    </w:p>
    <w:p w:rsidR="00C7319A" w:rsidRPr="009123CB" w:rsidRDefault="00C7319A" w:rsidP="00C7319A">
      <w:pPr>
        <w:rPr>
          <w:lang w:val="de-DE"/>
        </w:rPr>
      </w:pPr>
    </w:p>
    <w:p w:rsidR="00C7319A" w:rsidRPr="009123CB" w:rsidRDefault="00C7319A" w:rsidP="00C7319A">
      <w:pPr>
        <w:rPr>
          <w:lang w:val="de-DE"/>
        </w:rPr>
      </w:pPr>
    </w:p>
    <w:p w:rsidR="00C7319A" w:rsidRPr="009123CB" w:rsidRDefault="00C7319A" w:rsidP="00C7319A">
      <w:pPr>
        <w:pStyle w:val="Heading3"/>
        <w:rPr>
          <w:lang w:val="de-DE"/>
        </w:rPr>
      </w:pPr>
      <w:bookmarkStart w:id="1118" w:name="_26_Windows_Vista"/>
      <w:bookmarkStart w:id="1119" w:name="_29_Windows_Vista"/>
      <w:bookmarkStart w:id="1120" w:name="_29_30_Windows"/>
      <w:bookmarkStart w:id="1121" w:name="_30_Windows_Vista"/>
      <w:bookmarkStart w:id="1122" w:name="_Toc336338282"/>
      <w:bookmarkStart w:id="1123" w:name="_Toc363999026"/>
      <w:bookmarkStart w:id="1124" w:name="Sys_24WindowsVistaDVDPack"/>
      <w:bookmarkEnd w:id="1118"/>
      <w:bookmarkEnd w:id="1119"/>
      <w:bookmarkEnd w:id="1120"/>
      <w:bookmarkEnd w:id="1121"/>
      <w:r w:rsidRPr="009123CB">
        <w:rPr>
          <w:rFonts w:ascii="Tahoma" w:hAnsi="Tahoma"/>
          <w:caps/>
          <w:color w:val="F66400"/>
          <w:sz w:val="22"/>
          <w:vertAlign w:val="superscript"/>
          <w:lang w:val="de-DE"/>
        </w:rPr>
        <w:t>30</w:t>
      </w:r>
      <w:r w:rsidRPr="009123CB">
        <w:rPr>
          <w:rFonts w:ascii="Tahoma" w:eastAsia="Times New Roman" w:hAnsi="Tahoma" w:cs="Tahoma"/>
          <w:bCs/>
          <w:color w:val="F66400"/>
          <w:sz w:val="22"/>
          <w:szCs w:val="22"/>
          <w:lang w:val="de-DE"/>
        </w:rPr>
        <w:t xml:space="preserve"> Windows Vista DVD Playback Pack</w:t>
      </w:r>
      <w:bookmarkEnd w:id="1122"/>
      <w:bookmarkEnd w:id="1123"/>
    </w:p>
    <w:bookmarkEnd w:id="1124"/>
    <w:p w:rsidR="00C7319A" w:rsidRPr="009123CB" w:rsidRDefault="00C7319A" w:rsidP="00C7319A">
      <w:pPr>
        <w:rPr>
          <w:lang w:val="de-DE"/>
        </w:rPr>
      </w:pPr>
    </w:p>
    <w:p w:rsidR="00C7319A" w:rsidRPr="009123CB" w:rsidRDefault="00C7319A" w:rsidP="00C9761E">
      <w:pPr>
        <w:ind w:left="720"/>
        <w:rPr>
          <w:lang w:val="de-DE"/>
        </w:rPr>
      </w:pPr>
      <w:r w:rsidRPr="009123CB">
        <w:rPr>
          <w:rFonts w:eastAsia="Calibri" w:cs="Tahoma"/>
          <w:color w:val="000000"/>
          <w:szCs w:val="18"/>
          <w:lang w:val="de-DE"/>
        </w:rPr>
        <w:t>Kunden mit Volumenlizenzverträgen, die Windows Vista DVD Playback Pack installieren oder nutzen, sollten</w:t>
      </w:r>
      <w:r w:rsidR="00C9761E">
        <w:rPr>
          <w:rFonts w:eastAsia="Calibri" w:cs="Tahoma"/>
          <w:color w:val="000000"/>
          <w:szCs w:val="18"/>
          <w:lang w:val="de-DE"/>
        </w:rPr>
        <w:t> </w:t>
      </w:r>
      <w:r w:rsidRPr="009123CB">
        <w:rPr>
          <w:rFonts w:eastAsia="Calibri" w:cs="Tahoma"/>
          <w:color w:val="000000"/>
          <w:szCs w:val="18"/>
          <w:lang w:val="de-DE"/>
        </w:rPr>
        <w:t>sich in den Microsoft Licensing-Produktbenutzungsrechten (PUR) für Dezember 2010 über die Lizenzbestimmungen informieren</w:t>
      </w:r>
      <w:r w:rsidR="006257A7">
        <w:rPr>
          <w:rFonts w:eastAsia="Calibri" w:cs="Tahoma"/>
          <w:color w:val="000000"/>
          <w:szCs w:val="18"/>
          <w:lang w:val="de-DE"/>
        </w:rPr>
        <w:t xml:space="preserve">. </w:t>
      </w:r>
    </w:p>
    <w:p w:rsidR="00C7319A" w:rsidRPr="009123CB" w:rsidRDefault="00C7319A" w:rsidP="00C7319A">
      <w:pPr>
        <w:rPr>
          <w:lang w:val="de-DE"/>
        </w:rPr>
      </w:pPr>
    </w:p>
    <w:p w:rsidR="00C7319A" w:rsidRPr="009123CB" w:rsidRDefault="00C7319A" w:rsidP="00C7319A">
      <w:pPr>
        <w:contextualSpacing/>
        <w:rPr>
          <w:lang w:val="de-DE"/>
        </w:rPr>
      </w:pPr>
    </w:p>
    <w:p w:rsidR="00C7319A" w:rsidRPr="009123CB" w:rsidRDefault="00C7319A" w:rsidP="00C7319A">
      <w:pPr>
        <w:pStyle w:val="Heading3"/>
        <w:rPr>
          <w:lang w:val="de-DE"/>
        </w:rPr>
      </w:pPr>
      <w:bookmarkStart w:id="1125" w:name="_30_Windows®_7"/>
      <w:bookmarkStart w:id="1126" w:name="_31_Windows®_7"/>
      <w:bookmarkStart w:id="1127" w:name="Sys_25WindowsPartnersLearning"/>
      <w:bookmarkStart w:id="1128" w:name="_Toc363999027"/>
      <w:bookmarkStart w:id="1129" w:name="_Toc336338284"/>
      <w:bookmarkEnd w:id="1125"/>
      <w:bookmarkEnd w:id="1126"/>
      <w:r w:rsidRPr="009123CB">
        <w:rPr>
          <w:rFonts w:ascii="Tahoma" w:hAnsi="Tahoma"/>
          <w:caps/>
          <w:color w:val="F66400"/>
          <w:sz w:val="22"/>
          <w:vertAlign w:val="superscript"/>
          <w:lang w:val="de-DE"/>
        </w:rPr>
        <w:t>31</w:t>
      </w:r>
      <w:r w:rsidRPr="009123CB">
        <w:rPr>
          <w:rFonts w:ascii="Tahoma" w:hAnsi="Tahoma"/>
          <w:color w:val="F66400"/>
          <w:sz w:val="22"/>
          <w:lang w:val="de-DE"/>
        </w:rPr>
        <w:t xml:space="preserve"> Windows</w:t>
      </w:r>
      <w:r w:rsidR="0069040B" w:rsidRPr="0069040B">
        <w:rPr>
          <w:rFonts w:ascii="Tahoma" w:hAnsi="Tahoma"/>
          <w:color w:val="F66400"/>
          <w:sz w:val="22"/>
          <w:vertAlign w:val="superscript"/>
          <w:lang w:val="de-DE"/>
        </w:rPr>
        <w:t>®</w:t>
      </w:r>
      <w:r w:rsidRPr="009123CB">
        <w:rPr>
          <w:rFonts w:ascii="Tahoma" w:hAnsi="Tahoma"/>
          <w:color w:val="F66400"/>
          <w:sz w:val="22"/>
          <w:lang w:val="de-DE"/>
        </w:rPr>
        <w:t xml:space="preserve"> 7 Partners in Learning</w:t>
      </w:r>
      <w:bookmarkEnd w:id="1127"/>
      <w:bookmarkEnd w:id="1128"/>
    </w:p>
    <w:p w:rsidR="00C7319A" w:rsidRPr="009123CB" w:rsidRDefault="00C7319A" w:rsidP="00C7319A">
      <w:pPr>
        <w:rPr>
          <w:lang w:val="de-DE"/>
        </w:rPr>
      </w:pPr>
    </w:p>
    <w:p w:rsidR="00C7319A" w:rsidRPr="009123CB" w:rsidRDefault="00C7319A" w:rsidP="00C9761E">
      <w:pPr>
        <w:ind w:left="720" w:right="-810"/>
        <w:rPr>
          <w:lang w:val="de-DE"/>
        </w:rPr>
      </w:pPr>
      <w:r w:rsidRPr="009123CB">
        <w:rPr>
          <w:rFonts w:cs="Tahoma"/>
          <w:color w:val="000000"/>
          <w:szCs w:val="18"/>
          <w:lang w:val="de-DE"/>
        </w:rPr>
        <w:t xml:space="preserve">Informationen zur Lizenzberechtigung und zum Beitritt für Partner erhalten Sie unter </w:t>
      </w:r>
      <w:hyperlink r:id="rId41" w:history="1">
        <w:r w:rsidR="00C9761E" w:rsidRPr="006C7619">
          <w:rPr>
            <w:rStyle w:val="Hyperlink"/>
            <w:rFonts w:cs="Tahoma"/>
            <w:szCs w:val="18"/>
            <w:lang w:val="de-DE"/>
          </w:rPr>
          <w:t>http://www.microsoft.com/education/pil/partnersinlearning.aspx</w:t>
        </w:r>
      </w:hyperlink>
      <w:r w:rsidRPr="009123CB">
        <w:rPr>
          <w:color w:val="000000"/>
          <w:lang w:val="de-DE"/>
        </w:rPr>
        <w:t xml:space="preserve"> </w:t>
      </w:r>
    </w:p>
    <w:p w:rsidR="00C7319A" w:rsidRPr="009123CB" w:rsidRDefault="00C7319A" w:rsidP="00C7319A">
      <w:pPr>
        <w:ind w:right="-810"/>
        <w:rPr>
          <w:lang w:val="de-DE"/>
        </w:rPr>
      </w:pPr>
    </w:p>
    <w:p w:rsidR="00C7319A" w:rsidRPr="009123CB" w:rsidRDefault="00C7319A" w:rsidP="00C7319A">
      <w:pPr>
        <w:ind w:right="-810"/>
        <w:rPr>
          <w:lang w:val="de-DE"/>
        </w:rPr>
      </w:pPr>
    </w:p>
    <w:p w:rsidR="00C7319A" w:rsidRPr="0062435A" w:rsidRDefault="00C7319A" w:rsidP="00C7319A">
      <w:pPr>
        <w:pStyle w:val="Heading3"/>
      </w:pPr>
      <w:bookmarkStart w:id="1130" w:name="_28_Windows®_8"/>
      <w:bookmarkStart w:id="1131" w:name="_31_Windows®_8"/>
      <w:bookmarkStart w:id="1132" w:name="_Toc363999028"/>
      <w:bookmarkEnd w:id="1130"/>
      <w:bookmarkEnd w:id="1131"/>
      <w:r>
        <w:rPr>
          <w:rFonts w:ascii="Tahoma" w:hAnsi="Tahoma"/>
          <w:caps/>
          <w:color w:val="F66400"/>
          <w:sz w:val="22"/>
          <w:vertAlign w:val="superscript"/>
        </w:rPr>
        <w:t>32</w:t>
      </w:r>
      <w:r>
        <w:rPr>
          <w:rFonts w:ascii="Tahoma" w:hAnsi="Tahoma"/>
          <w:color w:val="F66400"/>
          <w:sz w:val="22"/>
        </w:rPr>
        <w:t xml:space="preserve"> Windows</w:t>
      </w:r>
      <w:r w:rsidR="0069040B" w:rsidRPr="0069040B">
        <w:rPr>
          <w:rFonts w:ascii="Tahoma" w:hAnsi="Tahoma"/>
          <w:color w:val="F66400"/>
          <w:sz w:val="22"/>
          <w:vertAlign w:val="superscript"/>
        </w:rPr>
        <w:t>®</w:t>
      </w:r>
      <w:r>
        <w:rPr>
          <w:rFonts w:ascii="Tahoma" w:hAnsi="Tahoma"/>
          <w:color w:val="F66400"/>
          <w:sz w:val="22"/>
        </w:rPr>
        <w:t xml:space="preserve"> 8 Enterprise Sideloading</w:t>
      </w:r>
      <w:bookmarkEnd w:id="1129"/>
      <w:bookmarkEnd w:id="1132"/>
    </w:p>
    <w:p w:rsidR="00C7319A" w:rsidRPr="0062435A" w:rsidRDefault="00C7319A" w:rsidP="00C7319A"/>
    <w:p w:rsidR="00C7319A" w:rsidRPr="0062435A" w:rsidRDefault="00C7319A" w:rsidP="00C7319A"/>
    <w:tbl>
      <w:tblPr>
        <w:tblW w:w="5838" w:type="dxa"/>
        <w:tblInd w:w="780" w:type="dxa"/>
        <w:tblCellMar>
          <w:left w:w="0" w:type="dxa"/>
          <w:right w:w="0" w:type="dxa"/>
        </w:tblCellMar>
        <w:tblLook w:val="04A0" w:firstRow="1" w:lastRow="0" w:firstColumn="1" w:lastColumn="0" w:noHBand="0" w:noVBand="1"/>
      </w:tblPr>
      <w:tblGrid>
        <w:gridCol w:w="2920"/>
        <w:gridCol w:w="1373"/>
        <w:gridCol w:w="1545"/>
      </w:tblGrid>
      <w:tr w:rsidR="00C7319A" w:rsidRPr="005D4DAB" w:rsidTr="007E1881">
        <w:trPr>
          <w:trHeight w:val="900"/>
          <w:tblHeader/>
        </w:trPr>
        <w:tc>
          <w:tcPr>
            <w:tcW w:w="292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C7319A" w:rsidRPr="005D4DAB" w:rsidRDefault="00C7319A" w:rsidP="00A67771">
            <w:pPr>
              <w:jc w:val="center"/>
              <w:rPr>
                <w:rFonts w:eastAsia="Calibri" w:cs="Tahoma"/>
                <w:b/>
                <w:bCs/>
                <w:szCs w:val="18"/>
              </w:rPr>
            </w:pPr>
            <w:r>
              <w:rPr>
                <w:rFonts w:cs="Tahoma"/>
                <w:b/>
                <w:bCs/>
                <w:szCs w:val="18"/>
              </w:rPr>
              <w:t>Programmverfügbarkeit</w:t>
            </w:r>
          </w:p>
        </w:tc>
        <w:tc>
          <w:tcPr>
            <w:tcW w:w="1373" w:type="dxa"/>
            <w:tcBorders>
              <w:top w:val="single" w:sz="4" w:space="0" w:color="auto"/>
              <w:left w:val="nil"/>
              <w:bottom w:val="single" w:sz="4" w:space="0" w:color="auto"/>
              <w:right w:val="single" w:sz="4" w:space="0" w:color="auto"/>
            </w:tcBorders>
            <w:shd w:val="clear" w:color="auto" w:fill="FABF8F"/>
            <w:vAlign w:val="bottom"/>
          </w:tcPr>
          <w:p w:rsidR="00C7319A" w:rsidRPr="005D4DAB" w:rsidRDefault="00C7319A" w:rsidP="00A67771">
            <w:pPr>
              <w:jc w:val="center"/>
              <w:rPr>
                <w:rFonts w:cs="Tahoma"/>
                <w:b/>
                <w:bCs/>
                <w:szCs w:val="18"/>
              </w:rPr>
            </w:pPr>
            <w:r>
              <w:rPr>
                <w:rFonts w:cs="Tahoma"/>
                <w:b/>
                <w:bCs/>
                <w:szCs w:val="18"/>
              </w:rPr>
              <w:t>Zum Erwerb verfügbare Lizenzen</w:t>
            </w:r>
          </w:p>
        </w:tc>
        <w:tc>
          <w:tcPr>
            <w:tcW w:w="1545"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C7319A" w:rsidRPr="005D4DAB" w:rsidRDefault="00C7319A" w:rsidP="00A67771">
            <w:pPr>
              <w:jc w:val="center"/>
              <w:rPr>
                <w:rFonts w:eastAsia="Calibri" w:cs="Tahoma"/>
                <w:b/>
                <w:bCs/>
                <w:szCs w:val="18"/>
              </w:rPr>
            </w:pPr>
            <w:r>
              <w:rPr>
                <w:rFonts w:cs="Tahoma"/>
                <w:b/>
                <w:bCs/>
                <w:szCs w:val="18"/>
              </w:rPr>
              <w:t>Als SA-Vergünstigung verfügbar</w:t>
            </w:r>
          </w:p>
        </w:tc>
      </w:tr>
      <w:tr w:rsidR="00C7319A" w:rsidRPr="005D4DAB" w:rsidTr="007E1881">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C7319A" w:rsidRPr="005D4DAB" w:rsidRDefault="00C7319A" w:rsidP="00A67771">
            <w:pPr>
              <w:jc w:val="center"/>
              <w:rPr>
                <w:rFonts w:eastAsia="Calibri" w:cs="Tahoma"/>
                <w:b/>
                <w:bCs/>
                <w:szCs w:val="18"/>
              </w:rPr>
            </w:pPr>
            <w:r>
              <w:rPr>
                <w:rFonts w:cs="Tahoma"/>
                <w:b/>
                <w:bCs/>
                <w:szCs w:val="18"/>
              </w:rPr>
              <w:t>Open-Lizenz</w:t>
            </w:r>
          </w:p>
        </w:tc>
        <w:tc>
          <w:tcPr>
            <w:tcW w:w="1373" w:type="dxa"/>
            <w:tcBorders>
              <w:top w:val="single" w:sz="4" w:space="0" w:color="auto"/>
              <w:left w:val="single" w:sz="4" w:space="0" w:color="auto"/>
              <w:bottom w:val="single" w:sz="4" w:space="0" w:color="auto"/>
              <w:right w:val="single" w:sz="4" w:space="0" w:color="auto"/>
            </w:tcBorders>
            <w:vAlign w:val="center"/>
          </w:tcPr>
          <w:p w:rsidR="00C7319A" w:rsidRPr="005D4DAB" w:rsidRDefault="00C7319A" w:rsidP="00A67771">
            <w:pPr>
              <w:jc w:val="center"/>
              <w:rPr>
                <w:rFonts w:cs="Tahoma"/>
                <w:szCs w:val="18"/>
              </w:rPr>
            </w:pPr>
            <w:r>
              <w:rPr>
                <w:rFonts w:cs="Tahoma"/>
                <w:szCs w:val="18"/>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C7319A" w:rsidRPr="005D4DAB" w:rsidRDefault="00C7319A" w:rsidP="00A67771">
            <w:pPr>
              <w:jc w:val="center"/>
              <w:rPr>
                <w:rFonts w:eastAsia="Calibri" w:cs="Tahoma"/>
                <w:szCs w:val="18"/>
              </w:rPr>
            </w:pPr>
          </w:p>
        </w:tc>
      </w:tr>
      <w:tr w:rsidR="00C7319A" w:rsidRPr="005D4DAB" w:rsidTr="007E1881">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C7319A" w:rsidRPr="005D4DAB" w:rsidRDefault="00C7319A" w:rsidP="00A67771">
            <w:pPr>
              <w:jc w:val="center"/>
              <w:rPr>
                <w:rFonts w:cs="Tahoma"/>
                <w:b/>
                <w:bCs/>
                <w:szCs w:val="18"/>
              </w:rPr>
            </w:pPr>
            <w:r>
              <w:rPr>
                <w:rFonts w:cs="Tahoma"/>
                <w:b/>
                <w:bCs/>
                <w:szCs w:val="18"/>
              </w:rPr>
              <w:t>Select/Select Plus</w:t>
            </w:r>
          </w:p>
        </w:tc>
        <w:tc>
          <w:tcPr>
            <w:tcW w:w="1373" w:type="dxa"/>
            <w:tcBorders>
              <w:top w:val="single" w:sz="4" w:space="0" w:color="auto"/>
              <w:left w:val="single" w:sz="4" w:space="0" w:color="auto"/>
              <w:bottom w:val="single" w:sz="4" w:space="0" w:color="auto"/>
              <w:right w:val="single" w:sz="4" w:space="0" w:color="auto"/>
            </w:tcBorders>
            <w:vAlign w:val="center"/>
          </w:tcPr>
          <w:p w:rsidR="00C7319A" w:rsidRPr="005D4DAB" w:rsidRDefault="00C7319A" w:rsidP="00A67771">
            <w:pPr>
              <w:jc w:val="center"/>
              <w:rPr>
                <w:rFonts w:cs="Tahoma"/>
                <w:szCs w:val="18"/>
              </w:rPr>
            </w:pPr>
            <w:r>
              <w:rPr>
                <w:rFonts w:cs="Tahoma"/>
                <w:szCs w:val="18"/>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C7319A" w:rsidRPr="005D4DAB" w:rsidRDefault="00C7319A" w:rsidP="00A67771">
            <w:pPr>
              <w:jc w:val="center"/>
              <w:rPr>
                <w:rFonts w:eastAsia="Calibri" w:cs="Tahoma"/>
                <w:szCs w:val="18"/>
              </w:rPr>
            </w:pPr>
            <w:r>
              <w:rPr>
                <w:rFonts w:eastAsia="Calibri" w:cs="Tahoma"/>
                <w:szCs w:val="18"/>
              </w:rPr>
              <w:t>x</w:t>
            </w:r>
          </w:p>
        </w:tc>
      </w:tr>
      <w:tr w:rsidR="00C7319A" w:rsidRPr="005D4DAB" w:rsidTr="007E1881">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C7319A" w:rsidRPr="005D4DAB" w:rsidRDefault="00C7319A" w:rsidP="00A67771">
            <w:pPr>
              <w:jc w:val="center"/>
              <w:rPr>
                <w:rFonts w:cs="Tahoma"/>
                <w:b/>
                <w:bCs/>
                <w:szCs w:val="18"/>
              </w:rPr>
            </w:pPr>
            <w:r>
              <w:rPr>
                <w:rFonts w:cs="Tahoma"/>
                <w:b/>
                <w:bCs/>
                <w:szCs w:val="18"/>
              </w:rPr>
              <w:t>Konzernvertrag/EAS</w:t>
            </w:r>
          </w:p>
        </w:tc>
        <w:tc>
          <w:tcPr>
            <w:tcW w:w="1373" w:type="dxa"/>
            <w:tcBorders>
              <w:top w:val="single" w:sz="4" w:space="0" w:color="auto"/>
              <w:left w:val="single" w:sz="4" w:space="0" w:color="auto"/>
              <w:bottom w:val="single" w:sz="4" w:space="0" w:color="auto"/>
              <w:right w:val="single" w:sz="4" w:space="0" w:color="auto"/>
            </w:tcBorders>
            <w:vAlign w:val="center"/>
          </w:tcPr>
          <w:p w:rsidR="00C7319A" w:rsidRPr="005D4DAB" w:rsidRDefault="00C7319A" w:rsidP="00A67771">
            <w:pPr>
              <w:jc w:val="center"/>
              <w:rPr>
                <w:rFonts w:cs="Tahoma"/>
                <w:szCs w:val="18"/>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C7319A" w:rsidRPr="005D4DAB" w:rsidRDefault="00C7319A" w:rsidP="00A67771">
            <w:pPr>
              <w:jc w:val="center"/>
              <w:rPr>
                <w:rFonts w:eastAsia="Calibri" w:cs="Tahoma"/>
                <w:szCs w:val="18"/>
              </w:rPr>
            </w:pPr>
            <w:r>
              <w:rPr>
                <w:rFonts w:eastAsia="Calibri" w:cs="Tahoma"/>
                <w:szCs w:val="18"/>
              </w:rPr>
              <w:t>x</w:t>
            </w:r>
          </w:p>
        </w:tc>
      </w:tr>
      <w:tr w:rsidR="00C7319A" w:rsidRPr="005D4DAB" w:rsidTr="007E1881">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C7319A" w:rsidRPr="005D4DAB" w:rsidRDefault="00C7319A" w:rsidP="00A67771">
            <w:pPr>
              <w:jc w:val="center"/>
              <w:rPr>
                <w:rFonts w:cs="Tahoma"/>
                <w:b/>
                <w:bCs/>
                <w:szCs w:val="18"/>
              </w:rPr>
            </w:pPr>
            <w:r>
              <w:rPr>
                <w:rFonts w:cs="Tahoma"/>
                <w:b/>
                <w:bCs/>
                <w:szCs w:val="18"/>
              </w:rPr>
              <w:t>EES</w:t>
            </w:r>
          </w:p>
        </w:tc>
        <w:tc>
          <w:tcPr>
            <w:tcW w:w="1373" w:type="dxa"/>
            <w:tcBorders>
              <w:top w:val="single" w:sz="4" w:space="0" w:color="auto"/>
              <w:left w:val="single" w:sz="4" w:space="0" w:color="auto"/>
              <w:bottom w:val="single" w:sz="4" w:space="0" w:color="auto"/>
              <w:right w:val="single" w:sz="4" w:space="0" w:color="auto"/>
            </w:tcBorders>
            <w:vAlign w:val="center"/>
          </w:tcPr>
          <w:p w:rsidR="00C7319A" w:rsidRPr="005D4DAB" w:rsidRDefault="00C7319A" w:rsidP="00A67771">
            <w:pPr>
              <w:jc w:val="center"/>
              <w:rPr>
                <w:rFonts w:cs="Tahoma"/>
                <w:szCs w:val="18"/>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C7319A" w:rsidRPr="005D4DAB" w:rsidRDefault="00C7319A" w:rsidP="00A67771">
            <w:pPr>
              <w:jc w:val="center"/>
              <w:rPr>
                <w:rFonts w:eastAsia="Calibri" w:cs="Tahoma"/>
                <w:szCs w:val="18"/>
              </w:rPr>
            </w:pPr>
            <w:r>
              <w:rPr>
                <w:rFonts w:eastAsia="Calibri" w:cs="Tahoma"/>
                <w:szCs w:val="18"/>
              </w:rPr>
              <w:t>x</w:t>
            </w:r>
          </w:p>
        </w:tc>
      </w:tr>
    </w:tbl>
    <w:p w:rsidR="00C7319A" w:rsidRPr="009123CB" w:rsidRDefault="00C7319A" w:rsidP="008775F2">
      <w:pPr>
        <w:ind w:left="720"/>
        <w:rPr>
          <w:lang w:val="de-DE"/>
        </w:rPr>
      </w:pPr>
      <w:r w:rsidRPr="009123CB">
        <w:rPr>
          <w:rFonts w:cs="Tahoma"/>
          <w:szCs w:val="18"/>
          <w:lang w:val="de-DE"/>
        </w:rPr>
        <w:t>Windows Enterprise Sideloading bezeichnet die Installation neuer Windows 8-Apps, die zu Gunsten des Kunden direkt ohne Windows Store als Zwischenstation auf einem Gerät verwendet werden</w:t>
      </w:r>
      <w:r w:rsidR="006257A7">
        <w:rPr>
          <w:rFonts w:cs="Tahoma"/>
          <w:szCs w:val="18"/>
          <w:lang w:val="de-DE"/>
        </w:rPr>
        <w:t xml:space="preserve">. </w:t>
      </w:r>
      <w:r w:rsidRPr="009123CB">
        <w:rPr>
          <w:rFonts w:cs="Tahoma"/>
          <w:szCs w:val="18"/>
          <w:lang w:val="de-DE"/>
        </w:rPr>
        <w:t>Bei Geräten mit</w:t>
      </w:r>
      <w:r w:rsidR="008775F2">
        <w:rPr>
          <w:rFonts w:cs="Tahoma"/>
          <w:szCs w:val="18"/>
          <w:lang w:val="de-DE"/>
        </w:rPr>
        <w:t> </w:t>
      </w:r>
      <w:r w:rsidRPr="009123CB">
        <w:rPr>
          <w:rFonts w:cs="Tahoma"/>
          <w:szCs w:val="18"/>
          <w:lang w:val="de-DE"/>
        </w:rPr>
        <w:t>Beitritt zur Domäne, die Windows 8 Enterprise Edition in einem beliebigen VL-Programm ausführen, sind</w:t>
      </w:r>
      <w:r w:rsidR="008775F2">
        <w:rPr>
          <w:rFonts w:cs="Tahoma"/>
          <w:szCs w:val="18"/>
          <w:lang w:val="de-DE"/>
        </w:rPr>
        <w:t> </w:t>
      </w:r>
      <w:r w:rsidRPr="009123CB">
        <w:rPr>
          <w:rFonts w:cs="Tahoma"/>
          <w:szCs w:val="18"/>
          <w:lang w:val="de-DE"/>
        </w:rPr>
        <w:t>die Features für Windows Enterprise Sideloading aktiviert</w:t>
      </w:r>
      <w:r w:rsidR="006257A7">
        <w:rPr>
          <w:rFonts w:cs="Tahoma"/>
          <w:szCs w:val="18"/>
          <w:lang w:val="de-DE"/>
        </w:rPr>
        <w:t xml:space="preserve">. </w:t>
      </w:r>
      <w:r w:rsidRPr="009123CB">
        <w:rPr>
          <w:rFonts w:cs="Tahoma"/>
          <w:szCs w:val="18"/>
          <w:lang w:val="de-DE"/>
        </w:rPr>
        <w:t>Windows Enterprise Sideloading kann auch auf Geräten unter Windows 8 Enterprise aktiviert werden, die nicht über einen Beitritt zur Domäne verfügen, sowie auf Geräten unter Windows 8 Pro oder Windows RT über die Verwendung eines Product Key</w:t>
      </w:r>
      <w:r w:rsidR="006257A7">
        <w:rPr>
          <w:rFonts w:cs="Tahoma"/>
          <w:szCs w:val="18"/>
          <w:lang w:val="de-DE"/>
        </w:rPr>
        <w:t xml:space="preserve">. </w:t>
      </w:r>
      <w:r w:rsidRPr="009123CB">
        <w:rPr>
          <w:rFonts w:cs="Tahoma"/>
          <w:szCs w:val="18"/>
          <w:lang w:val="de-DE"/>
        </w:rPr>
        <w:t>In jedem Fall darf Windows Enterprise Sideloading nur zur Bereitstellung von Apps verwendet werden, die zu Gunsten des Volumenlizenzkunden verwendet werden</w:t>
      </w:r>
      <w:r w:rsidR="006257A7">
        <w:rPr>
          <w:rFonts w:cs="Tahoma"/>
          <w:szCs w:val="18"/>
          <w:lang w:val="de-DE"/>
        </w:rPr>
        <w:t xml:space="preserve">. </w:t>
      </w:r>
      <w:r w:rsidRPr="009123CB">
        <w:rPr>
          <w:rFonts w:cs="Tahoma"/>
          <w:szCs w:val="18"/>
          <w:lang w:val="de-DE"/>
        </w:rPr>
        <w:t>Die Windows Enterprise Sideloading-Funktionalität ergänzt das Windows Desktop-Betriebssystem, und daher gelten die auf das Windows Desktop-Betriebssystem anwendbaren Lizenzbestimmungen, wie hier ergänzt, für dessen Verwendung durch den Kunden</w:t>
      </w:r>
      <w:r w:rsidR="006257A7">
        <w:rPr>
          <w:rFonts w:cs="Tahoma"/>
          <w:szCs w:val="18"/>
          <w:lang w:val="de-DE"/>
        </w:rPr>
        <w:t xml:space="preserve">. </w:t>
      </w:r>
    </w:p>
    <w:p w:rsidR="00C7319A" w:rsidRPr="007E1881" w:rsidRDefault="00C7319A" w:rsidP="0095262C">
      <w:pPr>
        <w:spacing w:line="192" w:lineRule="auto"/>
        <w:ind w:left="900"/>
        <w:rPr>
          <w:szCs w:val="18"/>
          <w:lang w:val="de-DE"/>
        </w:rPr>
      </w:pPr>
    </w:p>
    <w:p w:rsidR="00C7319A" w:rsidRPr="009123CB" w:rsidRDefault="00C7319A" w:rsidP="00C7319A">
      <w:pPr>
        <w:spacing w:after="60"/>
        <w:ind w:left="720"/>
        <w:rPr>
          <w:lang w:val="de-DE"/>
        </w:rPr>
      </w:pPr>
      <w:r w:rsidRPr="009123CB">
        <w:rPr>
          <w:rFonts w:cs="Tahoma"/>
          <w:b/>
          <w:szCs w:val="18"/>
          <w:lang w:val="de-DE"/>
        </w:rPr>
        <w:t>Software Assurance-Vergünstigung</w:t>
      </w:r>
    </w:p>
    <w:p w:rsidR="00C7319A" w:rsidRPr="009123CB" w:rsidRDefault="00C7319A" w:rsidP="008775F2">
      <w:pPr>
        <w:ind w:left="720"/>
        <w:rPr>
          <w:lang w:val="de-DE"/>
        </w:rPr>
      </w:pPr>
      <w:r w:rsidRPr="009123CB">
        <w:rPr>
          <w:rFonts w:cs="Tahoma"/>
          <w:szCs w:val="18"/>
          <w:lang w:val="de-DE"/>
        </w:rPr>
        <w:t>Ein Product Key kann zur Aktivierung von Windows Enterprise Sideloading auf folgenden Geräten verwendet</w:t>
      </w:r>
      <w:r w:rsidR="008775F2">
        <w:rPr>
          <w:rFonts w:cs="Tahoma"/>
          <w:szCs w:val="18"/>
          <w:lang w:val="de-DE"/>
        </w:rPr>
        <w:t> </w:t>
      </w:r>
      <w:r w:rsidRPr="009123CB">
        <w:rPr>
          <w:rFonts w:cs="Tahoma"/>
          <w:szCs w:val="18"/>
          <w:lang w:val="de-DE"/>
        </w:rPr>
        <w:t>werden:</w:t>
      </w:r>
    </w:p>
    <w:p w:rsidR="00C7319A" w:rsidRPr="007E1881" w:rsidRDefault="00C7319A" w:rsidP="0095262C">
      <w:pPr>
        <w:spacing w:line="192" w:lineRule="auto"/>
        <w:ind w:left="720"/>
        <w:rPr>
          <w:szCs w:val="18"/>
          <w:lang w:val="de-DE"/>
        </w:rPr>
      </w:pPr>
    </w:p>
    <w:p w:rsidR="00C7319A" w:rsidRPr="009123CB" w:rsidRDefault="00C7319A" w:rsidP="00C7319A">
      <w:pPr>
        <w:pStyle w:val="ListParagraph"/>
        <w:numPr>
          <w:ilvl w:val="0"/>
          <w:numId w:val="83"/>
        </w:numPr>
        <w:spacing w:after="60"/>
        <w:ind w:left="1440"/>
        <w:contextualSpacing w:val="0"/>
        <w:rPr>
          <w:lang w:val="de-DE"/>
        </w:rPr>
      </w:pPr>
      <w:r w:rsidRPr="009123CB">
        <w:rPr>
          <w:rFonts w:ascii="Tahoma" w:hAnsi="Tahoma" w:cs="Tahoma"/>
          <w:sz w:val="18"/>
          <w:szCs w:val="18"/>
          <w:lang w:val="de-DE"/>
        </w:rPr>
        <w:t>Geräte mit aktiver Windows-Software Assurance</w:t>
      </w:r>
    </w:p>
    <w:p w:rsidR="00C7319A" w:rsidRPr="009123CB" w:rsidRDefault="00C7319A" w:rsidP="00C7319A">
      <w:pPr>
        <w:pStyle w:val="ListParagraph"/>
        <w:numPr>
          <w:ilvl w:val="0"/>
          <w:numId w:val="83"/>
        </w:numPr>
        <w:spacing w:after="60"/>
        <w:ind w:left="1440"/>
        <w:contextualSpacing w:val="0"/>
        <w:rPr>
          <w:lang w:val="de-DE"/>
        </w:rPr>
      </w:pPr>
      <w:r w:rsidRPr="009123CB">
        <w:rPr>
          <w:rFonts w:ascii="Tahoma" w:hAnsi="Tahoma" w:cs="Tahoma"/>
          <w:sz w:val="18"/>
          <w:szCs w:val="18"/>
          <w:lang w:val="de-DE"/>
        </w:rPr>
        <w:t>Geräte mit aktivem Windows Intune (Pro Gerät)- oder VDA-Abonnement</w:t>
      </w:r>
    </w:p>
    <w:p w:rsidR="00C7319A" w:rsidRPr="0062435A" w:rsidRDefault="00C7319A" w:rsidP="00C7319A">
      <w:pPr>
        <w:pStyle w:val="ListParagraph"/>
        <w:numPr>
          <w:ilvl w:val="0"/>
          <w:numId w:val="83"/>
        </w:numPr>
        <w:spacing w:after="60"/>
        <w:ind w:left="1440"/>
        <w:contextualSpacing w:val="0"/>
      </w:pPr>
      <w:r>
        <w:rPr>
          <w:rFonts w:ascii="Tahoma" w:hAnsi="Tahoma" w:cs="Tahoma"/>
          <w:sz w:val="18"/>
          <w:szCs w:val="18"/>
        </w:rPr>
        <w:t>Windows RT-Geräte</w:t>
      </w:r>
    </w:p>
    <w:p w:rsidR="00C7319A" w:rsidRPr="009123CB" w:rsidRDefault="00C7319A" w:rsidP="00C7319A">
      <w:pPr>
        <w:pStyle w:val="ListParagraph"/>
        <w:numPr>
          <w:ilvl w:val="0"/>
          <w:numId w:val="83"/>
        </w:numPr>
        <w:spacing w:after="60"/>
        <w:ind w:left="1440"/>
        <w:contextualSpacing w:val="0"/>
        <w:rPr>
          <w:lang w:val="de-DE"/>
        </w:rPr>
      </w:pPr>
      <w:r w:rsidRPr="009123CB">
        <w:rPr>
          <w:rFonts w:ascii="Tahoma" w:hAnsi="Tahoma" w:cs="Tahoma"/>
          <w:sz w:val="18"/>
          <w:szCs w:val="18"/>
          <w:lang w:val="de-DE"/>
        </w:rPr>
        <w:t>Geräte, die durch die Windows Companion-Abonnementlizenz abgedeckt sind</w:t>
      </w:r>
    </w:p>
    <w:p w:rsidR="00C7319A" w:rsidRPr="007E1881" w:rsidRDefault="00C7319A" w:rsidP="0095262C">
      <w:pPr>
        <w:spacing w:line="192" w:lineRule="auto"/>
        <w:ind w:left="900"/>
        <w:rPr>
          <w:szCs w:val="18"/>
          <w:lang w:val="de-DE"/>
        </w:rPr>
      </w:pPr>
    </w:p>
    <w:p w:rsidR="00C7319A" w:rsidRPr="009123CB" w:rsidRDefault="00C7319A" w:rsidP="00C7319A">
      <w:pPr>
        <w:ind w:left="720"/>
        <w:rPr>
          <w:lang w:val="de-DE"/>
        </w:rPr>
      </w:pPr>
      <w:r w:rsidRPr="009123CB">
        <w:rPr>
          <w:rFonts w:cs="Tahoma"/>
          <w:szCs w:val="18"/>
          <w:lang w:val="de-DE"/>
        </w:rPr>
        <w:t>Windows Enterprise Sideloading darf nur auf einem zulässigen Gerät vor Ablauf der entsprechenden Software Assurance oder Abonnementlizenz aktiviert werden</w:t>
      </w:r>
      <w:r w:rsidR="006257A7">
        <w:rPr>
          <w:rFonts w:cs="Tahoma"/>
          <w:szCs w:val="18"/>
          <w:lang w:val="de-DE"/>
        </w:rPr>
        <w:t xml:space="preserve">. </w:t>
      </w:r>
      <w:r w:rsidRPr="009123CB">
        <w:rPr>
          <w:lang w:val="de-DE"/>
        </w:rPr>
        <w:t>Bei Programmen für Forschung &amp; Lehre darf Windows Enterprise Sideloading nur auf Geräten aktiviert werden, die Eigentum der Einrichtung sind</w:t>
      </w:r>
      <w:r w:rsidR="006257A7">
        <w:rPr>
          <w:lang w:val="de-DE"/>
        </w:rPr>
        <w:t xml:space="preserve">. </w:t>
      </w:r>
    </w:p>
    <w:p w:rsidR="00C7319A" w:rsidRPr="007E1881" w:rsidRDefault="00C7319A" w:rsidP="0095262C">
      <w:pPr>
        <w:spacing w:line="192" w:lineRule="auto"/>
        <w:ind w:left="900"/>
        <w:rPr>
          <w:szCs w:val="18"/>
          <w:lang w:val="de-DE"/>
        </w:rPr>
      </w:pPr>
    </w:p>
    <w:p w:rsidR="00C7319A" w:rsidRPr="009123CB" w:rsidRDefault="00C7319A" w:rsidP="00C7319A">
      <w:pPr>
        <w:spacing w:after="60"/>
        <w:ind w:left="720"/>
        <w:rPr>
          <w:lang w:val="de-DE"/>
        </w:rPr>
      </w:pPr>
      <w:r w:rsidRPr="009123CB">
        <w:rPr>
          <w:rFonts w:cs="Tahoma"/>
          <w:b/>
          <w:szCs w:val="18"/>
          <w:lang w:val="de-DE"/>
        </w:rPr>
        <w:t>Enterprise Sideloading-Lizenz zum Erwerb verfügbar</w:t>
      </w:r>
    </w:p>
    <w:p w:rsidR="00C7319A" w:rsidRPr="009123CB" w:rsidRDefault="00C7319A" w:rsidP="00C7319A">
      <w:pPr>
        <w:ind w:left="720"/>
        <w:rPr>
          <w:lang w:val="de-DE"/>
        </w:rPr>
      </w:pPr>
      <w:r w:rsidRPr="009123CB">
        <w:rPr>
          <w:rFonts w:cs="Tahoma"/>
          <w:szCs w:val="18"/>
          <w:lang w:val="de-DE"/>
        </w:rPr>
        <w:t>Kunden sind berechtigt Enterprise Sideloading-Lizenzen zu erwerben</w:t>
      </w:r>
      <w:r w:rsidR="006257A7">
        <w:rPr>
          <w:rFonts w:cs="Tahoma"/>
          <w:szCs w:val="18"/>
          <w:lang w:val="de-DE"/>
        </w:rPr>
        <w:t xml:space="preserve">. </w:t>
      </w:r>
      <w:r w:rsidRPr="009123CB">
        <w:rPr>
          <w:rFonts w:cs="Tahoma"/>
          <w:szCs w:val="18"/>
          <w:lang w:val="de-DE"/>
        </w:rPr>
        <w:t>Jede solche Enterprise Sideloading-Lizenz muss einem Gerät dauerhaft zugewiesen sein</w:t>
      </w:r>
      <w:r w:rsidR="006257A7">
        <w:rPr>
          <w:rFonts w:cs="Tahoma"/>
          <w:szCs w:val="18"/>
          <w:lang w:val="de-DE"/>
        </w:rPr>
        <w:t xml:space="preserve">. </w:t>
      </w:r>
      <w:r w:rsidRPr="009123CB">
        <w:rPr>
          <w:lang w:val="de-DE"/>
        </w:rPr>
        <w:t>Bei Programmen für Forschung &amp; Lehre darf Windows Enterprise Sideloading nur auf Geräten aktiviert werden, die Eigentum der Einrichtung sind</w:t>
      </w:r>
      <w:r w:rsidR="006257A7">
        <w:rPr>
          <w:rFonts w:cs="Tahoma"/>
          <w:szCs w:val="18"/>
          <w:lang w:val="de-DE"/>
        </w:rPr>
        <w:t xml:space="preserve">. </w:t>
      </w:r>
      <w:bookmarkStart w:id="1133" w:name="_Toc336338285"/>
    </w:p>
    <w:p w:rsidR="00C7319A" w:rsidRPr="007E1881" w:rsidRDefault="00C7319A" w:rsidP="0095262C">
      <w:pPr>
        <w:spacing w:line="192" w:lineRule="auto"/>
        <w:rPr>
          <w:szCs w:val="18"/>
          <w:lang w:val="de-DE"/>
        </w:rPr>
      </w:pPr>
    </w:p>
    <w:p w:rsidR="00C7319A" w:rsidRPr="009123CB" w:rsidRDefault="00C7319A" w:rsidP="00C7319A">
      <w:pPr>
        <w:spacing w:after="60"/>
        <w:ind w:left="720"/>
        <w:rPr>
          <w:lang w:val="de-DE"/>
        </w:rPr>
      </w:pPr>
      <w:r w:rsidRPr="009123CB">
        <w:rPr>
          <w:rFonts w:cs="Tahoma"/>
          <w:b/>
          <w:szCs w:val="18"/>
          <w:lang w:val="de-DE"/>
        </w:rPr>
        <w:t>Windows Embedded 8 Pro Sideloading</w:t>
      </w:r>
    </w:p>
    <w:p w:rsidR="00C7319A" w:rsidRPr="009123CB" w:rsidRDefault="00C7319A" w:rsidP="00C7319A">
      <w:pPr>
        <w:ind w:left="720"/>
        <w:rPr>
          <w:lang w:val="de-DE"/>
        </w:rPr>
      </w:pPr>
      <w:r w:rsidRPr="009123CB">
        <w:rPr>
          <w:rFonts w:cs="Tahoma"/>
          <w:szCs w:val="18"/>
          <w:lang w:val="de-DE"/>
        </w:rPr>
        <w:t>Kunden, die Windows Embedded 8 Pro-Lizenzen erwerben, können für diese Geräte Windows 8 Enterprise Sideloading-Lizenzen erwerben</w:t>
      </w:r>
      <w:r w:rsidR="006257A7">
        <w:rPr>
          <w:rFonts w:cs="Tahoma"/>
          <w:szCs w:val="18"/>
          <w:lang w:val="de-DE"/>
        </w:rPr>
        <w:t xml:space="preserve">. </w:t>
      </w:r>
      <w:r w:rsidRPr="009123CB">
        <w:rPr>
          <w:rFonts w:cs="Tahoma"/>
          <w:szCs w:val="18"/>
          <w:lang w:val="de-DE"/>
        </w:rPr>
        <w:t>Anmerkung: Für Windows Embedded 8 Industry Pro-Geräte muss Windows Embedded 8 Industry Pro Sideloading erworben werden</w:t>
      </w:r>
      <w:r w:rsidR="006257A7">
        <w:rPr>
          <w:rFonts w:cs="Tahoma"/>
          <w:szCs w:val="18"/>
          <w:lang w:val="de-DE"/>
        </w:rPr>
        <w:t xml:space="preserve">. </w:t>
      </w:r>
    </w:p>
    <w:p w:rsidR="00C7319A" w:rsidRPr="007E1881" w:rsidRDefault="00C7319A" w:rsidP="0095262C">
      <w:pPr>
        <w:spacing w:line="192" w:lineRule="auto"/>
        <w:ind w:left="720"/>
        <w:rPr>
          <w:szCs w:val="18"/>
          <w:lang w:val="de-DE"/>
        </w:rPr>
      </w:pPr>
    </w:p>
    <w:p w:rsidR="00C7319A" w:rsidRPr="007E1881" w:rsidRDefault="00C7319A" w:rsidP="0095262C">
      <w:pPr>
        <w:spacing w:line="192" w:lineRule="auto"/>
        <w:rPr>
          <w:szCs w:val="18"/>
          <w:lang w:val="de-DE"/>
        </w:rPr>
      </w:pPr>
    </w:p>
    <w:p w:rsidR="00C7319A" w:rsidRPr="009123CB" w:rsidRDefault="00C7319A" w:rsidP="00C7319A">
      <w:pPr>
        <w:pStyle w:val="Heading3"/>
        <w:rPr>
          <w:lang w:val="de-DE"/>
        </w:rPr>
      </w:pPr>
      <w:bookmarkStart w:id="1134" w:name="_29_Windows®_8"/>
      <w:bookmarkStart w:id="1135" w:name="_32_Windows®_8"/>
      <w:bookmarkStart w:id="1136" w:name="_33_Windows®_8"/>
      <w:bookmarkStart w:id="1137" w:name="_Toc336338286"/>
      <w:bookmarkStart w:id="1138" w:name="_Toc363999029"/>
      <w:bookmarkStart w:id="1139" w:name="Sys_27Win7ProUpgradeWinIntune"/>
      <w:bookmarkStart w:id="1140" w:name="Sys_26WinVistaBizUpgrade"/>
      <w:bookmarkStart w:id="1141" w:name="Sys_23Windows7ProUpgrade"/>
      <w:bookmarkStart w:id="1142" w:name="Sys_27WindowsVistaProUpgrade"/>
      <w:bookmarkEnd w:id="1104"/>
      <w:bookmarkEnd w:id="1133"/>
      <w:bookmarkEnd w:id="1134"/>
      <w:bookmarkEnd w:id="1135"/>
      <w:bookmarkEnd w:id="1136"/>
      <w:r w:rsidRPr="009123CB">
        <w:rPr>
          <w:rFonts w:ascii="Tahoma" w:hAnsi="Tahoma"/>
          <w:caps/>
          <w:color w:val="F66400"/>
          <w:sz w:val="22"/>
          <w:vertAlign w:val="superscript"/>
          <w:lang w:val="de-DE"/>
        </w:rPr>
        <w:t>33</w:t>
      </w:r>
      <w:r w:rsidRPr="009123CB">
        <w:rPr>
          <w:rFonts w:ascii="Tahoma" w:hAnsi="Tahoma"/>
          <w:color w:val="F66400"/>
          <w:sz w:val="22"/>
          <w:lang w:val="de-DE"/>
        </w:rPr>
        <w:t xml:space="preserve"> </w:t>
      </w:r>
      <w:r w:rsidRPr="009123CB">
        <w:rPr>
          <w:rFonts w:ascii="Tahoma" w:hAnsi="Tahoma"/>
          <w:color w:val="FF6D09"/>
          <w:sz w:val="22"/>
          <w:lang w:val="de-DE"/>
        </w:rPr>
        <w:t>Windows</w:t>
      </w:r>
      <w:r w:rsidR="0069040B" w:rsidRPr="0069040B">
        <w:rPr>
          <w:rFonts w:ascii="Tahoma" w:hAnsi="Tahoma"/>
          <w:color w:val="FF6D09"/>
          <w:sz w:val="22"/>
          <w:vertAlign w:val="superscript"/>
          <w:lang w:val="de-DE"/>
        </w:rPr>
        <w:t>®</w:t>
      </w:r>
      <w:r w:rsidRPr="009123CB">
        <w:rPr>
          <w:rFonts w:ascii="Tahoma" w:hAnsi="Tahoma"/>
          <w:color w:val="FF6D09"/>
          <w:sz w:val="22"/>
          <w:lang w:val="de-DE"/>
        </w:rPr>
        <w:t xml:space="preserve"> 8 Pro Upgrade und Windows Intune</w:t>
      </w:r>
      <w:bookmarkEnd w:id="1137"/>
      <w:r w:rsidRPr="009123CB">
        <w:rPr>
          <w:rFonts w:ascii="Tahoma" w:hAnsi="Tahoma"/>
          <w:color w:val="FF6D09"/>
          <w:sz w:val="22"/>
          <w:lang w:val="de-DE"/>
        </w:rPr>
        <w:t xml:space="preserve"> (pro Gerät)</w:t>
      </w:r>
      <w:bookmarkEnd w:id="1138"/>
    </w:p>
    <w:bookmarkEnd w:id="1139"/>
    <w:p w:rsidR="00C7319A" w:rsidRPr="007E1881" w:rsidRDefault="00C7319A" w:rsidP="0095262C">
      <w:pPr>
        <w:spacing w:line="192" w:lineRule="auto"/>
        <w:rPr>
          <w:szCs w:val="18"/>
          <w:lang w:val="de-DE"/>
        </w:rPr>
      </w:pPr>
    </w:p>
    <w:p w:rsidR="00C7319A" w:rsidRPr="009123CB" w:rsidRDefault="00C7319A" w:rsidP="00C7319A">
      <w:pPr>
        <w:pStyle w:val="FootnoteBulletLevel1"/>
        <w:tabs>
          <w:tab w:val="clear" w:pos="900"/>
        </w:tabs>
        <w:adjustRightInd/>
        <w:spacing w:before="0" w:after="60"/>
        <w:ind w:left="720" w:firstLine="0"/>
        <w:textAlignment w:val="auto"/>
        <w:rPr>
          <w:lang w:val="de-DE"/>
        </w:rPr>
      </w:pPr>
      <w:r w:rsidRPr="009123CB">
        <w:rPr>
          <w:rFonts w:ascii="Tahoma" w:hAnsi="Tahoma" w:cs="Tahoma"/>
          <w:b/>
          <w:bCs/>
          <w:sz w:val="18"/>
          <w:szCs w:val="18"/>
          <w:lang w:val="de-DE"/>
        </w:rPr>
        <w:t>Windows 8 Pro-Upgrade</w:t>
      </w:r>
    </w:p>
    <w:p w:rsidR="00C7319A" w:rsidRPr="009123CB" w:rsidRDefault="00C7319A" w:rsidP="00C7319A">
      <w:pPr>
        <w:ind w:left="720"/>
        <w:rPr>
          <w:lang w:val="de-DE"/>
        </w:rPr>
      </w:pPr>
      <w:r w:rsidRPr="009123CB">
        <w:rPr>
          <w:rFonts w:cs="Tahoma"/>
          <w:szCs w:val="18"/>
          <w:u w:val="single"/>
          <w:lang w:val="de-DE"/>
        </w:rPr>
        <w:t>Betriebssystem-Upgrade-Lizenz</w:t>
      </w:r>
    </w:p>
    <w:p w:rsidR="00C7319A" w:rsidRPr="009123CB" w:rsidRDefault="00C7319A" w:rsidP="00C7319A">
      <w:pPr>
        <w:pStyle w:val="FootnoteBulletLevel1"/>
        <w:tabs>
          <w:tab w:val="clear" w:pos="900"/>
        </w:tabs>
        <w:adjustRightInd/>
        <w:spacing w:before="0" w:after="0"/>
        <w:ind w:left="720" w:hanging="7"/>
        <w:textAlignment w:val="auto"/>
        <w:rPr>
          <w:lang w:val="de-DE"/>
        </w:rPr>
      </w:pPr>
      <w:r w:rsidRPr="009123CB">
        <w:rPr>
          <w:rFonts w:ascii="Tahoma" w:hAnsi="Tahoma" w:cs="Tahoma"/>
          <w:sz w:val="18"/>
          <w:szCs w:val="18"/>
          <w:lang w:val="de-DE"/>
        </w:rPr>
        <w:t>Die gewährten Desktop-Betriebssystemlizenzen sind ausschließlich Upgrade-Lizenzen</w:t>
      </w:r>
      <w:r w:rsidR="006257A7">
        <w:rPr>
          <w:rFonts w:ascii="Tahoma" w:hAnsi="Tahoma" w:cs="Tahoma"/>
          <w:sz w:val="18"/>
          <w:szCs w:val="18"/>
          <w:lang w:val="de-DE"/>
        </w:rPr>
        <w:t xml:space="preserve">. </w:t>
      </w:r>
      <w:r w:rsidRPr="009123CB">
        <w:rPr>
          <w:rFonts w:ascii="Tahoma" w:hAnsi="Tahoma" w:cs="Tahoma"/>
          <w:sz w:val="18"/>
          <w:szCs w:val="18"/>
          <w:lang w:val="de-DE"/>
        </w:rPr>
        <w:t>Es sind keine Lizenzen für Vollversionen von Desktop-Betriebssystemen verfügbar</w:t>
      </w:r>
      <w:r w:rsidR="006257A7">
        <w:rPr>
          <w:rFonts w:ascii="Tahoma" w:hAnsi="Tahoma" w:cs="Tahoma"/>
          <w:sz w:val="18"/>
          <w:szCs w:val="18"/>
          <w:lang w:val="de-DE"/>
        </w:rPr>
        <w:t xml:space="preserve">. </w:t>
      </w:r>
      <w:r w:rsidRPr="009123CB">
        <w:rPr>
          <w:rFonts w:ascii="Tahoma" w:hAnsi="Tahoma" w:cs="Tahoma"/>
          <w:sz w:val="18"/>
          <w:szCs w:val="18"/>
          <w:lang w:val="de-DE"/>
        </w:rPr>
        <w:t>Daher muss jeder Desktop, für den Sie das Windows 8 Pro-Upgrade erwerben und auf dem Sie es ausführen, zur Ausführung eines der unten genannten qualifizierenden Betriebssysteme lizenziert sein</w:t>
      </w:r>
      <w:r w:rsidR="006257A7">
        <w:rPr>
          <w:rFonts w:ascii="Tahoma" w:hAnsi="Tahoma" w:cs="Tahoma"/>
          <w:sz w:val="18"/>
          <w:szCs w:val="18"/>
          <w:lang w:val="de-DE"/>
        </w:rPr>
        <w:t xml:space="preserve">. </w:t>
      </w:r>
    </w:p>
    <w:p w:rsidR="00C7319A" w:rsidRPr="007E1881" w:rsidRDefault="00C7319A" w:rsidP="0095262C">
      <w:pPr>
        <w:spacing w:line="192" w:lineRule="auto"/>
        <w:ind w:left="720"/>
        <w:rPr>
          <w:szCs w:val="18"/>
          <w:lang w:val="de-DE"/>
        </w:rPr>
      </w:pPr>
    </w:p>
    <w:p w:rsidR="00C7319A" w:rsidRPr="0062435A" w:rsidRDefault="00C7319A" w:rsidP="00C7319A">
      <w:pPr>
        <w:ind w:left="720"/>
      </w:pPr>
      <w:r>
        <w:rPr>
          <w:rFonts w:cs="Tahoma"/>
          <w:szCs w:val="18"/>
          <w:u w:val="single"/>
        </w:rPr>
        <w:t>Regeln für qualifizierende Betriebssysteme</w:t>
      </w:r>
    </w:p>
    <w:p w:rsidR="00C7319A" w:rsidRPr="009123CB" w:rsidRDefault="00C7319A" w:rsidP="00C7319A">
      <w:pPr>
        <w:numPr>
          <w:ilvl w:val="1"/>
          <w:numId w:val="84"/>
        </w:numPr>
        <w:spacing w:after="60"/>
        <w:ind w:left="1440"/>
        <w:rPr>
          <w:lang w:val="de-DE"/>
        </w:rPr>
      </w:pPr>
      <w:r w:rsidRPr="009123CB">
        <w:rPr>
          <w:rFonts w:cs="Tahoma"/>
          <w:szCs w:val="18"/>
          <w:lang w:val="de-DE"/>
        </w:rPr>
        <w:t>Das qualifizierende Betriebssystem muss auf dem Gerät installiert sein, dem die VL-Upgrade-Lizenz zugewiesen wird</w:t>
      </w:r>
      <w:r w:rsidR="006257A7">
        <w:rPr>
          <w:rFonts w:cs="Tahoma"/>
          <w:szCs w:val="18"/>
          <w:lang w:val="de-DE"/>
        </w:rPr>
        <w:t xml:space="preserve">. </w:t>
      </w:r>
    </w:p>
    <w:p w:rsidR="00C7319A" w:rsidRPr="009123CB" w:rsidRDefault="00C7319A" w:rsidP="00C7319A">
      <w:pPr>
        <w:numPr>
          <w:ilvl w:val="2"/>
          <w:numId w:val="85"/>
        </w:numPr>
        <w:spacing w:after="60"/>
        <w:ind w:left="1980"/>
        <w:rPr>
          <w:lang w:val="de-DE"/>
        </w:rPr>
      </w:pPr>
      <w:r w:rsidRPr="009123CB">
        <w:rPr>
          <w:color w:val="000000"/>
          <w:lang w:val="de-DE"/>
        </w:rPr>
        <w:t>Apple Macintosh ist nur ein qualifizierendes Betriebssystem, wenn es vom autorisierten Hersteller vor dem ersten Verkauf des Computers vorinstalliert wird</w:t>
      </w:r>
      <w:r w:rsidR="006257A7">
        <w:rPr>
          <w:color w:val="000000"/>
          <w:lang w:val="de-DE"/>
        </w:rPr>
        <w:t xml:space="preserve">. </w:t>
      </w:r>
    </w:p>
    <w:p w:rsidR="00C7319A" w:rsidRPr="009123CB" w:rsidRDefault="00C7319A" w:rsidP="00C7319A">
      <w:pPr>
        <w:numPr>
          <w:ilvl w:val="1"/>
          <w:numId w:val="86"/>
        </w:numPr>
        <w:spacing w:after="60"/>
        <w:ind w:left="1440"/>
        <w:rPr>
          <w:lang w:val="de-DE"/>
        </w:rPr>
      </w:pPr>
      <w:r w:rsidRPr="009123CB">
        <w:rPr>
          <w:rFonts w:cs="Tahoma"/>
          <w:szCs w:val="18"/>
          <w:lang w:val="de-DE"/>
        </w:rPr>
        <w:t>Kunden müssen das qualifizierende Betriebssystem von dem Gerät entfernen, um die VL-Upgrade-Lizenz bereitstellen zu können, außer unten ist etwas anderes angegeben</w:t>
      </w:r>
      <w:r w:rsidR="006257A7">
        <w:rPr>
          <w:rFonts w:cs="Tahoma"/>
          <w:szCs w:val="18"/>
          <w:lang w:val="de-DE"/>
        </w:rPr>
        <w:t xml:space="preserve">. </w:t>
      </w:r>
    </w:p>
    <w:p w:rsidR="00C7319A" w:rsidRPr="009123CB" w:rsidRDefault="00C7319A" w:rsidP="00C7319A">
      <w:pPr>
        <w:numPr>
          <w:ilvl w:val="1"/>
          <w:numId w:val="86"/>
        </w:numPr>
        <w:spacing w:after="60"/>
        <w:ind w:left="1440"/>
        <w:rPr>
          <w:lang w:val="de-DE"/>
        </w:rPr>
      </w:pPr>
      <w:r w:rsidRPr="009123CB">
        <w:rPr>
          <w:rFonts w:cs="Tahoma"/>
          <w:szCs w:val="18"/>
          <w:lang w:val="de-DE"/>
        </w:rPr>
        <w:t>Kunden, die mehr als ein lizenziertes Betriebssystem gleichzeitig installieren oder ausführen möchten (einschließlich des qualifizierenden Betriebssystems), sind berechtigt, Software Assurance für ihre VL-Upgrade-Lizenz zu erwerben</w:t>
      </w:r>
      <w:r w:rsidR="006257A7">
        <w:rPr>
          <w:rFonts w:cs="Tahoma"/>
          <w:szCs w:val="18"/>
          <w:lang w:val="de-DE"/>
        </w:rPr>
        <w:t xml:space="preserve">. </w:t>
      </w:r>
    </w:p>
    <w:p w:rsidR="00C7319A" w:rsidRPr="00F81961" w:rsidRDefault="00C7319A" w:rsidP="00C7319A">
      <w:pPr>
        <w:numPr>
          <w:ilvl w:val="1"/>
          <w:numId w:val="86"/>
        </w:numPr>
        <w:spacing w:after="60"/>
        <w:ind w:left="1440"/>
        <w:rPr>
          <w:lang w:val="de-DE"/>
        </w:rPr>
      </w:pPr>
      <w:r w:rsidRPr="009123CB">
        <w:rPr>
          <w:rFonts w:cs="Tahoma"/>
          <w:szCs w:val="18"/>
          <w:lang w:val="de-DE"/>
        </w:rPr>
        <w:t>Kunden mit aktiver Software Assurance müssen das qualifizierende Betriebssystem nicht deinstallieren und können dieses zusammen mit Windows 8 installieren und ausführen</w:t>
      </w:r>
      <w:r w:rsidR="006257A7">
        <w:rPr>
          <w:rFonts w:cs="Tahoma"/>
          <w:szCs w:val="18"/>
          <w:lang w:val="de-DE"/>
        </w:rPr>
        <w:t xml:space="preserve">. </w:t>
      </w:r>
    </w:p>
    <w:p w:rsidR="00C7319A" w:rsidRPr="009123CB" w:rsidRDefault="00C7319A" w:rsidP="00C7319A">
      <w:pPr>
        <w:pStyle w:val="EndnoteText"/>
        <w:ind w:left="770"/>
        <w:rPr>
          <w:lang w:val="de-DE"/>
        </w:rPr>
      </w:pPr>
      <w:r w:rsidRPr="009123CB">
        <w:rPr>
          <w:rFonts w:ascii="Tahoma" w:hAnsi="Tahoma" w:cs="Tahoma"/>
          <w:sz w:val="18"/>
          <w:szCs w:val="18"/>
          <w:lang w:val="de-DE"/>
        </w:rPr>
        <w:t>Die qualifizierenden Betriebssysteme nach Programmart sind:</w:t>
      </w:r>
    </w:p>
    <w:p w:rsidR="00C7319A" w:rsidRPr="009123CB" w:rsidRDefault="00C7319A" w:rsidP="00C7319A">
      <w:pPr>
        <w:pStyle w:val="EndnoteText"/>
        <w:rPr>
          <w:lang w:val="de-DE"/>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52"/>
        <w:gridCol w:w="1410"/>
        <w:gridCol w:w="1410"/>
      </w:tblGrid>
      <w:tr w:rsidR="00C7319A" w:rsidRPr="00FB51BA" w:rsidTr="00A67771">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C7319A" w:rsidRPr="0043735F" w:rsidRDefault="00C7319A" w:rsidP="00A67771">
            <w:pPr>
              <w:jc w:val="center"/>
              <w:rPr>
                <w:rFonts w:eastAsia="Calibri" w:cs="Tahoma"/>
                <w:b/>
                <w:bCs/>
                <w:szCs w:val="18"/>
              </w:rPr>
            </w:pPr>
            <w:r>
              <w:rPr>
                <w:rFonts w:cs="Tahoma"/>
                <w:b/>
                <w:bCs/>
                <w:szCs w:val="18"/>
              </w:rPr>
              <w:t>Qualifizierende Betriebssysteme</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7319A" w:rsidRPr="00290BBF" w:rsidRDefault="00C7319A" w:rsidP="00A67771">
            <w:pPr>
              <w:jc w:val="center"/>
              <w:rPr>
                <w:rFonts w:eastAsia="Calibri" w:cs="Tahoma"/>
                <w:b/>
                <w:bCs/>
                <w:sz w:val="16"/>
                <w:szCs w:val="18"/>
              </w:rPr>
            </w:pPr>
            <w:r>
              <w:rPr>
                <w:rFonts w:cs="Tahoma"/>
                <w:b/>
                <w:bCs/>
                <w:sz w:val="16"/>
                <w:szCs w:val="18"/>
              </w:rPr>
              <w:t>EA/OV-CW</w:t>
            </w:r>
            <w:r>
              <w:rPr>
                <w:rFonts w:cs="Tahoma"/>
                <w:b/>
                <w:bCs/>
                <w:sz w:val="16"/>
                <w:szCs w:val="18"/>
              </w:rPr>
              <w:br/>
              <w:t>(neu)</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7319A" w:rsidRPr="00290BBF" w:rsidRDefault="00C7319A" w:rsidP="00A67771">
            <w:pPr>
              <w:jc w:val="center"/>
              <w:rPr>
                <w:rFonts w:eastAsia="Calibri" w:cs="Tahoma"/>
                <w:b/>
                <w:bCs/>
                <w:sz w:val="16"/>
                <w:szCs w:val="18"/>
              </w:rPr>
            </w:pPr>
            <w:r>
              <w:rPr>
                <w:rFonts w:cs="Tahoma"/>
                <w:b/>
                <w:bCs/>
                <w:sz w:val="16"/>
                <w:szCs w:val="18"/>
              </w:rPr>
              <w:t>EA/OV-CW (vorhanden)</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7319A" w:rsidRPr="009123CB" w:rsidRDefault="00C7319A" w:rsidP="00A67771">
            <w:pPr>
              <w:jc w:val="center"/>
              <w:rPr>
                <w:rFonts w:eastAsia="Calibri" w:cs="Tahoma"/>
                <w:b/>
                <w:bCs/>
                <w:sz w:val="16"/>
                <w:szCs w:val="18"/>
                <w:lang w:val="de-DE"/>
              </w:rPr>
            </w:pPr>
            <w:r w:rsidRPr="009123CB">
              <w:rPr>
                <w:rFonts w:cs="Tahoma"/>
                <w:b/>
                <w:bCs/>
                <w:sz w:val="16"/>
                <w:szCs w:val="18"/>
                <w:lang w:val="de-DE"/>
              </w:rPr>
              <w:t>Select (alle außer Forschung &amp; Lehre</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7319A" w:rsidRPr="009123CB" w:rsidRDefault="00C7319A" w:rsidP="00A67771">
            <w:pPr>
              <w:jc w:val="center"/>
              <w:rPr>
                <w:rFonts w:eastAsia="Calibri" w:cs="Tahoma"/>
                <w:b/>
                <w:bCs/>
                <w:sz w:val="16"/>
                <w:szCs w:val="18"/>
                <w:lang w:val="de-DE"/>
              </w:rPr>
            </w:pPr>
            <w:r w:rsidRPr="009123CB">
              <w:rPr>
                <w:rFonts w:cs="Tahoma"/>
                <w:b/>
                <w:bCs/>
                <w:sz w:val="16"/>
                <w:szCs w:val="18"/>
                <w:lang w:val="de-DE"/>
              </w:rPr>
              <w:t>Open (alle außer Forschung &amp; Lehre und gemeinnützige Einrichtungen und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7319A" w:rsidRPr="009123CB" w:rsidRDefault="00C7319A" w:rsidP="00A67771">
            <w:pPr>
              <w:jc w:val="center"/>
              <w:rPr>
                <w:rFonts w:eastAsia="Calibri" w:cs="Tahoma"/>
                <w:b/>
                <w:bCs/>
                <w:sz w:val="16"/>
                <w:szCs w:val="18"/>
                <w:lang w:val="de-DE"/>
              </w:rPr>
            </w:pPr>
            <w:r w:rsidRPr="009123CB">
              <w:rPr>
                <w:rFonts w:cs="Tahoma"/>
                <w:b/>
                <w:bCs/>
                <w:sz w:val="16"/>
                <w:szCs w:val="18"/>
                <w:lang w:val="de-DE"/>
              </w:rPr>
              <w:t>Forschung &amp; Lehre und gemeinnützige Einrichtungen</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rPr>
                <w:rFonts w:cs="Tahoma"/>
                <w:b/>
                <w:bCs/>
                <w:szCs w:val="18"/>
              </w:rPr>
            </w:pPr>
            <w:r>
              <w:rPr>
                <w:rFonts w:cs="Tahoma"/>
                <w:b/>
                <w:bCs/>
                <w:szCs w:val="18"/>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ind w:left="522"/>
              <w:rPr>
                <w:rFonts w:cs="Tahoma"/>
                <w:b/>
                <w:bCs/>
                <w:szCs w:val="18"/>
              </w:rPr>
            </w:pPr>
            <w:r>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ind w:left="522"/>
              <w:rPr>
                <w:rFonts w:cs="Tahoma"/>
                <w:b/>
                <w:bCs/>
                <w:szCs w:val="18"/>
              </w:rPr>
            </w:pPr>
            <w:r>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ind w:left="522"/>
              <w:rPr>
                <w:rFonts w:cs="Tahoma"/>
                <w:b/>
                <w:bCs/>
                <w:szCs w:val="18"/>
              </w:rPr>
            </w:pPr>
            <w:r>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C7319A" w:rsidRDefault="00C7319A" w:rsidP="00A67771">
            <w:pPr>
              <w:ind w:left="522"/>
              <w:rPr>
                <w:rFonts w:cs="Tahoma"/>
                <w:szCs w:val="18"/>
              </w:rPr>
            </w:pPr>
            <w:r>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Default="00C7319A" w:rsidP="00A67771">
            <w:pPr>
              <w:jc w:val="center"/>
              <w:rPr>
                <w:rFonts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rPr>
                <w:rFonts w:eastAsia="Calibri" w:cs="Tahoma"/>
                <w:b/>
                <w:bCs/>
                <w:szCs w:val="18"/>
              </w:rPr>
            </w:pPr>
            <w:r>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firstLine="540"/>
              <w:rPr>
                <w:rFonts w:eastAsia="Calibri" w:cs="Tahoma"/>
                <w:szCs w:val="18"/>
              </w:rPr>
            </w:pPr>
            <w:r>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9123CB" w:rsidRDefault="00C7319A" w:rsidP="00A67771">
            <w:pPr>
              <w:ind w:left="522" w:firstLine="18"/>
              <w:rPr>
                <w:rFonts w:eastAsia="Calibri" w:cs="Tahoma"/>
                <w:szCs w:val="18"/>
                <w:lang w:val="pt-BR"/>
              </w:rPr>
            </w:pPr>
            <w:r w:rsidRPr="009123CB">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firstLine="540"/>
              <w:rPr>
                <w:rFonts w:eastAsia="Calibri" w:cs="Tahoma"/>
                <w:szCs w:val="18"/>
              </w:rPr>
            </w:pPr>
            <w:r>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firstLine="540"/>
              <w:rPr>
                <w:rFonts w:eastAsia="Calibri" w:cs="Tahoma"/>
                <w:szCs w:val="18"/>
              </w:rPr>
            </w:pPr>
            <w:r>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firstLine="540"/>
              <w:rPr>
                <w:rFonts w:eastAsia="Calibri" w:cs="Tahoma"/>
                <w:szCs w:val="18"/>
              </w:rPr>
            </w:pPr>
            <w:r>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left="522"/>
              <w:rPr>
                <w:rFonts w:eastAsia="Calibri" w:cs="Tahoma"/>
                <w:szCs w:val="18"/>
              </w:rPr>
            </w:pPr>
            <w:r>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1B6F67"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8775F2" w:rsidRDefault="00C7319A" w:rsidP="00A67771">
            <w:pPr>
              <w:rPr>
                <w:rFonts w:eastAsia="Calibri" w:cs="Tahoma"/>
                <w:b/>
                <w:bCs/>
                <w:szCs w:val="18"/>
                <w:lang w:val="de-DE"/>
              </w:rPr>
            </w:pPr>
            <w:r w:rsidRPr="008775F2">
              <w:rPr>
                <w:rFonts w:cs="Tahoma"/>
                <w:b/>
                <w:bCs/>
                <w:szCs w:val="18"/>
                <w:lang w:val="de-DE"/>
              </w:rPr>
              <w:t xml:space="preserve">Windows Vista </w:t>
            </w:r>
            <w:r w:rsidR="007E1881" w:rsidRPr="008775F2">
              <w:rPr>
                <w:rFonts w:cs="Tahoma"/>
                <w:b/>
                <w:bCs/>
                <w:szCs w:val="18"/>
                <w:lang w:val="de-DE"/>
              </w:rPr>
              <w:br/>
            </w:r>
            <w:r w:rsidRPr="008775F2">
              <w:rPr>
                <w:rFonts w:cs="Tahoma"/>
                <w:b/>
                <w:bCs/>
                <w:szCs w:val="18"/>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8775F2" w:rsidRDefault="00C7319A" w:rsidP="00A67771">
            <w:pPr>
              <w:jc w:val="center"/>
              <w:rPr>
                <w:rFonts w:eastAsia="Calibri" w:cs="Tahoma"/>
                <w:szCs w:val="18"/>
                <w:lang w:val="de-DE"/>
              </w:rPr>
            </w:pPr>
            <w:r w:rsidRPr="008775F2">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8775F2" w:rsidRDefault="00C7319A" w:rsidP="00A67771">
            <w:pPr>
              <w:jc w:val="center"/>
              <w:rPr>
                <w:rFonts w:eastAsia="Calibri" w:cs="Tahoma"/>
                <w:szCs w:val="18"/>
                <w:lang w:val="de-DE"/>
              </w:rPr>
            </w:pPr>
            <w:r w:rsidRPr="008775F2">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8775F2" w:rsidRDefault="00C7319A" w:rsidP="00A67771">
            <w:pPr>
              <w:jc w:val="center"/>
              <w:rPr>
                <w:rFonts w:eastAsia="Calibri" w:cs="Tahoma"/>
                <w:szCs w:val="18"/>
                <w:lang w:val="de-DE"/>
              </w:rPr>
            </w:pPr>
            <w:r w:rsidRPr="008775F2">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8775F2" w:rsidRDefault="00C7319A" w:rsidP="00A67771">
            <w:pPr>
              <w:jc w:val="center"/>
              <w:rPr>
                <w:rFonts w:eastAsia="Calibri" w:cs="Tahoma"/>
                <w:szCs w:val="18"/>
                <w:lang w:val="de-DE"/>
              </w:rPr>
            </w:pPr>
            <w:r w:rsidRPr="008775F2">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8775F2" w:rsidRDefault="00C7319A" w:rsidP="00A67771">
            <w:pPr>
              <w:jc w:val="center"/>
              <w:rPr>
                <w:rFonts w:eastAsia="Calibri" w:cs="Tahoma"/>
                <w:szCs w:val="18"/>
                <w:lang w:val="de-DE"/>
              </w:rPr>
            </w:pPr>
            <w:r w:rsidRPr="008775F2">
              <w:rPr>
                <w:rFonts w:cs="Tahoma"/>
                <w:szCs w:val="18"/>
                <w:lang w:val="de-DE"/>
              </w:rPr>
              <w:t xml:space="preserve"> </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firstLine="540"/>
              <w:rPr>
                <w:rFonts w:eastAsia="Calibri" w:cs="Tahoma"/>
                <w:szCs w:val="18"/>
              </w:rPr>
            </w:pPr>
            <w:r>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firstLine="540"/>
              <w:rPr>
                <w:rFonts w:eastAsia="Calibri" w:cs="Tahoma"/>
                <w:szCs w:val="18"/>
              </w:rPr>
            </w:pPr>
            <w:r>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firstLine="540"/>
              <w:rPr>
                <w:rFonts w:eastAsia="Calibri" w:cs="Tahoma"/>
                <w:szCs w:val="18"/>
              </w:rPr>
            </w:pPr>
            <w:r>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firstLine="540"/>
              <w:rPr>
                <w:rFonts w:eastAsia="Calibri" w:cs="Tahoma"/>
                <w:szCs w:val="18"/>
              </w:rPr>
            </w:pPr>
            <w:r>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firstLine="540"/>
              <w:rPr>
                <w:rFonts w:eastAsia="Calibri" w:cs="Tahoma"/>
                <w:szCs w:val="18"/>
              </w:rPr>
            </w:pPr>
            <w:r>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left="522"/>
              <w:rPr>
                <w:rFonts w:eastAsia="Calibri" w:cs="Tahoma"/>
                <w:bCs/>
                <w:szCs w:val="18"/>
              </w:rPr>
            </w:pPr>
            <w:r>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1B6F67"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8775F2" w:rsidRDefault="00C7319A" w:rsidP="00A67771">
            <w:pPr>
              <w:rPr>
                <w:rFonts w:eastAsia="Calibri" w:cs="Tahoma"/>
                <w:b/>
                <w:szCs w:val="18"/>
                <w:lang w:val="de-DE"/>
              </w:rPr>
            </w:pPr>
            <w:r w:rsidRPr="008775F2">
              <w:rPr>
                <w:rFonts w:cs="Tahoma"/>
                <w:b/>
                <w:bCs/>
                <w:szCs w:val="18"/>
                <w:lang w:val="de-DE"/>
              </w:rPr>
              <w:t xml:space="preserve">Windows XP </w:t>
            </w:r>
            <w:r w:rsidR="007E1881" w:rsidRPr="008775F2">
              <w:rPr>
                <w:rFonts w:cs="Tahoma"/>
                <w:b/>
                <w:bCs/>
                <w:szCs w:val="18"/>
                <w:lang w:val="de-DE"/>
              </w:rPr>
              <w:br/>
            </w:r>
            <w:r w:rsidRPr="008775F2">
              <w:rPr>
                <w:rFonts w:cs="Tahoma"/>
                <w:b/>
                <w:bCs/>
                <w:szCs w:val="18"/>
                <w:lang w:val="de-DE"/>
              </w:rPr>
              <w:t>(32-Bit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8775F2" w:rsidRDefault="00C7319A" w:rsidP="00A67771">
            <w:pPr>
              <w:jc w:val="center"/>
              <w:rPr>
                <w:rFonts w:eastAsia="Calibri" w:cs="Tahoma"/>
                <w:szCs w:val="18"/>
                <w:lang w:val="de-DE"/>
              </w:rPr>
            </w:pPr>
            <w:r w:rsidRPr="008775F2">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8775F2" w:rsidRDefault="00C7319A" w:rsidP="00A67771">
            <w:pPr>
              <w:jc w:val="center"/>
              <w:rPr>
                <w:rFonts w:eastAsia="Calibri" w:cs="Tahoma"/>
                <w:szCs w:val="18"/>
                <w:lang w:val="de-DE"/>
              </w:rPr>
            </w:pPr>
            <w:r w:rsidRPr="008775F2">
              <w:rPr>
                <w:rFonts w:cs="Tahoma"/>
                <w:szCs w:val="18"/>
                <w:lang w:val="de-DE"/>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8775F2" w:rsidRDefault="00C7319A" w:rsidP="00A67771">
            <w:pPr>
              <w:jc w:val="center"/>
              <w:rPr>
                <w:rFonts w:eastAsia="Calibri" w:cs="Tahoma"/>
                <w:szCs w:val="18"/>
                <w:lang w:val="de-DE"/>
              </w:rPr>
            </w:pPr>
            <w:r w:rsidRPr="008775F2">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8775F2" w:rsidRDefault="00C7319A" w:rsidP="00A67771">
            <w:pPr>
              <w:jc w:val="center"/>
              <w:rPr>
                <w:rFonts w:eastAsia="Calibri" w:cs="Tahoma"/>
                <w:szCs w:val="18"/>
                <w:lang w:val="de-DE"/>
              </w:rPr>
            </w:pPr>
            <w:r w:rsidRPr="008775F2">
              <w:rPr>
                <w:rFonts w:cs="Tahoma"/>
                <w:szCs w:val="18"/>
                <w:lang w:val="de-DE"/>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8775F2" w:rsidRDefault="00C7319A" w:rsidP="00A67771">
            <w:pPr>
              <w:jc w:val="center"/>
              <w:rPr>
                <w:rFonts w:eastAsia="Calibri" w:cs="Tahoma"/>
                <w:szCs w:val="18"/>
                <w:lang w:val="de-DE"/>
              </w:rPr>
            </w:pPr>
            <w:r w:rsidRPr="008775F2">
              <w:rPr>
                <w:rFonts w:cs="Tahoma"/>
                <w:szCs w:val="18"/>
                <w:lang w:val="de-DE"/>
              </w:rPr>
              <w:t xml:space="preserve"> </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7E1881" w:rsidRDefault="00C7319A" w:rsidP="00A67771">
            <w:pPr>
              <w:ind w:left="564"/>
              <w:rPr>
                <w:rFonts w:eastAsia="Calibri" w:cs="Tahoma"/>
                <w:szCs w:val="18"/>
              </w:rPr>
            </w:pPr>
            <w:r>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left="564"/>
              <w:rPr>
                <w:rFonts w:eastAsia="Calibri" w:cs="Tahoma"/>
                <w:szCs w:val="18"/>
              </w:rPr>
            </w:pPr>
            <w:r>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left="564"/>
              <w:rPr>
                <w:rFonts w:eastAsia="Calibri" w:cs="Tahoma"/>
                <w:szCs w:val="18"/>
              </w:rPr>
            </w:pPr>
            <w:r>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left="564"/>
              <w:rPr>
                <w:rFonts w:eastAsia="Calibri" w:cs="Tahoma"/>
                <w:szCs w:val="18"/>
              </w:rPr>
            </w:pPr>
            <w:r>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43735F" w:rsidRDefault="00C7319A" w:rsidP="00A67771">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ind w:left="564"/>
              <w:rPr>
                <w:rFonts w:eastAsia="Calibri" w:cs="Tahoma"/>
                <w:szCs w:val="18"/>
              </w:rPr>
            </w:pPr>
            <w:r>
              <w:rPr>
                <w:rFonts w:cs="Tahoma"/>
                <w:szCs w:val="18"/>
              </w:rPr>
              <w:t>Home Edition,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C7319A" w:rsidRPr="0043735F" w:rsidRDefault="00C7319A" w:rsidP="00A67771">
            <w:pPr>
              <w:rPr>
                <w:rFonts w:eastAsia="Calibri" w:cs="Tahoma"/>
                <w:b/>
                <w:szCs w:val="18"/>
              </w:rPr>
            </w:pPr>
            <w:r>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C7319A" w:rsidRPr="0043735F" w:rsidRDefault="00C7319A" w:rsidP="00A67771">
            <w:pPr>
              <w:rPr>
                <w:rFonts w:eastAsia="Calibri" w:cs="Tahoma"/>
                <w:b/>
                <w:bCs/>
                <w:szCs w:val="18"/>
              </w:rPr>
            </w:pPr>
            <w:r>
              <w:rPr>
                <w:rFonts w:cs="Tahoma"/>
                <w:b/>
                <w:bCs/>
                <w:szCs w:val="18"/>
              </w:rPr>
              <w:t>Windows NT Workstation 4</w:t>
            </w:r>
            <w:r w:rsidR="00844B7C">
              <w:rPr>
                <w:rFonts w:cs="Tahoma"/>
                <w:b/>
                <w:bCs/>
                <w:szCs w:val="18"/>
              </w:rPr>
              <w:t>.</w:t>
            </w:r>
            <w:r>
              <w:rPr>
                <w:rFonts w:cs="Tahoma"/>
                <w:b/>
                <w:bCs/>
                <w:szCs w:val="18"/>
              </w:rPr>
              <w:t>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C7319A" w:rsidRPr="0043735F" w:rsidRDefault="00C7319A" w:rsidP="00A67771">
            <w:pPr>
              <w:rPr>
                <w:rFonts w:eastAsia="Calibri" w:cs="Tahoma"/>
                <w:b/>
                <w:bCs/>
                <w:szCs w:val="18"/>
              </w:rPr>
            </w:pPr>
            <w:r>
              <w:rPr>
                <w:rFonts w:cs="Tahoma"/>
                <w:b/>
                <w:bCs/>
                <w:szCs w:val="18"/>
              </w:rPr>
              <w:t xml:space="preserve">Windows 98 </w:t>
            </w:r>
            <w:r w:rsidR="00C9761E">
              <w:rPr>
                <w:rFonts w:cs="Tahoma"/>
                <w:b/>
                <w:bCs/>
                <w:szCs w:val="18"/>
              </w:rPr>
              <w:br/>
            </w:r>
            <w:r>
              <w:rPr>
                <w:rFonts w:cs="Tahoma"/>
                <w:b/>
                <w:bCs/>
                <w:szCs w:val="18"/>
              </w:rPr>
              <w:t>(einschl</w:t>
            </w:r>
            <w:r w:rsidR="006257A7">
              <w:rPr>
                <w:rFonts w:cs="Tahoma"/>
                <w:b/>
                <w:bCs/>
                <w:szCs w:val="18"/>
              </w:rPr>
              <w:t xml:space="preserve">. </w:t>
            </w:r>
            <w:r>
              <w:rPr>
                <w:rFonts w:cs="Tahoma"/>
                <w:b/>
                <w:bCs/>
                <w:szCs w:val="18"/>
              </w:rPr>
              <w:t>Zweiter Ausgabe)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r w:rsidR="00C7319A" w:rsidRPr="0043735F" w:rsidTr="00A6777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C7319A" w:rsidRPr="0043735F" w:rsidRDefault="00C7319A" w:rsidP="00A67771">
            <w:pPr>
              <w:rPr>
                <w:rFonts w:eastAsia="Calibri" w:cs="Tahoma"/>
                <w:b/>
                <w:bCs/>
                <w:szCs w:val="18"/>
              </w:rPr>
            </w:pPr>
            <w:r>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43735F" w:rsidRDefault="00C7319A" w:rsidP="00A67771">
            <w:pPr>
              <w:jc w:val="center"/>
              <w:rPr>
                <w:rFonts w:eastAsia="Calibri" w:cs="Tahoma"/>
                <w:szCs w:val="18"/>
              </w:rPr>
            </w:pPr>
            <w:r>
              <w:rPr>
                <w:rFonts w:cs="Tahoma"/>
                <w:szCs w:val="18"/>
              </w:rPr>
              <w:t>x</w:t>
            </w:r>
          </w:p>
        </w:tc>
      </w:tr>
    </w:tbl>
    <w:p w:rsidR="00C7319A" w:rsidRPr="0062435A" w:rsidRDefault="00C7319A" w:rsidP="00C7319A">
      <w:pPr>
        <w:ind w:left="770"/>
      </w:pPr>
      <w:r>
        <w:rPr>
          <w:rFonts w:cs="Tahoma"/>
          <w:bCs/>
          <w:i/>
          <w:iCs/>
          <w:sz w:val="14"/>
          <w:szCs w:val="14"/>
          <w:u w:val="single"/>
        </w:rPr>
        <w:t>Anmerkung</w:t>
      </w:r>
      <w:r>
        <w:rPr>
          <w:rFonts w:cs="Tahoma"/>
          <w:i/>
          <w:iCs/>
          <w:sz w:val="14"/>
          <w:szCs w:val="14"/>
        </w:rPr>
        <w:t xml:space="preserve">: </w:t>
      </w:r>
      <w:r>
        <w:rPr>
          <w:rFonts w:cs="Tahoma"/>
          <w:i/>
          <w:iCs/>
          <w:sz w:val="14"/>
          <w:szCs w:val="14"/>
        </w:rPr>
        <w:br/>
        <w:t>Forschung &amp; Lehre umfasst den Campus- und School-Vertrag, die Programme Open Value Subscription – Bildungslösungen, Select – Forschung &amp; Lehre sowie Open – Forschung &amp; Lehre</w:t>
      </w:r>
      <w:r>
        <w:rPr>
          <w:rFonts w:cs="Tahoma"/>
          <w:i/>
          <w:iCs/>
          <w:sz w:val="14"/>
          <w:szCs w:val="14"/>
        </w:rPr>
        <w:br/>
        <w:t>EA = Enterprise Agreement (Konzernvertrag)</w:t>
      </w:r>
      <w:r>
        <w:rPr>
          <w:rFonts w:cs="Tahoma"/>
          <w:i/>
          <w:iCs/>
          <w:sz w:val="14"/>
          <w:szCs w:val="14"/>
        </w:rPr>
        <w:br/>
        <w:t>OV-CW = Open Value - unternehmensweite Option</w:t>
      </w:r>
    </w:p>
    <w:p w:rsidR="00C7319A" w:rsidRPr="009123CB" w:rsidRDefault="00C7319A" w:rsidP="00C7319A">
      <w:pPr>
        <w:ind w:left="770"/>
        <w:rPr>
          <w:lang w:val="de-DE"/>
        </w:rPr>
      </w:pPr>
      <w:r w:rsidRPr="009123CB">
        <w:rPr>
          <w:rFonts w:cs="Tahoma"/>
          <w:i/>
          <w:iCs/>
          <w:sz w:val="14"/>
          <w:szCs w:val="14"/>
          <w:lang w:val="de-DE"/>
        </w:rPr>
        <w:t>N, K und KN sind Spezialversionen, die nur in bestimmten Märkten verfügbar sind</w:t>
      </w:r>
      <w:r w:rsidR="006257A7">
        <w:rPr>
          <w:rFonts w:cs="Tahoma"/>
          <w:i/>
          <w:iCs/>
          <w:sz w:val="14"/>
          <w:szCs w:val="14"/>
          <w:lang w:val="de-DE"/>
        </w:rPr>
        <w:t xml:space="preserve">. </w:t>
      </w:r>
    </w:p>
    <w:p w:rsidR="00C7319A" w:rsidRDefault="00C7319A" w:rsidP="00C7319A">
      <w:pPr>
        <w:rPr>
          <w:lang w:val="de-DE"/>
        </w:rPr>
      </w:pPr>
    </w:p>
    <w:p w:rsidR="007E1881" w:rsidRDefault="007E1881" w:rsidP="00C7319A">
      <w:pPr>
        <w:rPr>
          <w:lang w:val="de-DE"/>
        </w:rPr>
      </w:pPr>
    </w:p>
    <w:p w:rsidR="007E1881" w:rsidRDefault="007E1881" w:rsidP="00C7319A">
      <w:pPr>
        <w:rPr>
          <w:lang w:val="de-DE"/>
        </w:rPr>
      </w:pPr>
    </w:p>
    <w:p w:rsidR="007E1881" w:rsidRPr="009123CB" w:rsidRDefault="007E1881" w:rsidP="00C7319A">
      <w:pPr>
        <w:rPr>
          <w:lang w:val="de-DE"/>
        </w:rPr>
      </w:pPr>
    </w:p>
    <w:p w:rsidR="00F81961" w:rsidRDefault="00F81961" w:rsidP="00C7319A">
      <w:pPr>
        <w:ind w:left="720"/>
        <w:rPr>
          <w:rFonts w:cs="Tahoma"/>
          <w:szCs w:val="18"/>
          <w:lang w:val="de-DE"/>
        </w:rPr>
      </w:pPr>
    </w:p>
    <w:p w:rsidR="00C7319A" w:rsidRPr="009123CB" w:rsidRDefault="00C7319A" w:rsidP="00C7319A">
      <w:pPr>
        <w:ind w:left="720"/>
        <w:rPr>
          <w:lang w:val="de-DE"/>
        </w:rPr>
      </w:pPr>
      <w:r w:rsidRPr="009123CB">
        <w:rPr>
          <w:rFonts w:cs="Tahoma"/>
          <w:szCs w:val="18"/>
          <w:lang w:val="de-DE"/>
        </w:rPr>
        <w:t>Folgende Bedingungen gelten für Windows XP Starter Edition (SE) und Windows Vista Starter Edition (SE) und Windows 7 Starter Edition:</w:t>
      </w:r>
    </w:p>
    <w:p w:rsidR="00C7319A" w:rsidRPr="009123CB" w:rsidRDefault="00C7319A" w:rsidP="00C7319A">
      <w:pPr>
        <w:ind w:left="720"/>
        <w:rPr>
          <w:lang w:val="de-DE"/>
        </w:rPr>
      </w:pPr>
    </w:p>
    <w:p w:rsidR="00C7319A" w:rsidRPr="008849B7" w:rsidRDefault="00C7319A" w:rsidP="00C7319A">
      <w:pPr>
        <w:pStyle w:val="ColorfulList-Accent11"/>
        <w:numPr>
          <w:ilvl w:val="0"/>
          <w:numId w:val="33"/>
        </w:numPr>
        <w:ind w:left="1440"/>
        <w:rPr>
          <w:lang w:val="de-DE"/>
        </w:rPr>
      </w:pPr>
      <w:r w:rsidRPr="008849B7">
        <w:rPr>
          <w:rFonts w:ascii="Tahoma" w:hAnsi="Tahoma" w:cs="Tahoma"/>
          <w:sz w:val="18"/>
          <w:szCs w:val="18"/>
          <w:lang w:val="de-DE"/>
        </w:rPr>
        <w:t>Kunden aus Forschung &amp; Lehre (Select für Forschung &amp; Lehre, Open für Forschung &amp; Lehre, Campus- und School-Vertrag, Open Value Subscription – Bildungslösungen) dürfen eine Windows-Upgrade-Lizenz mit Windows XP Starter Edition, Windows Vista Starter Edition oder Windows 7 Starter Edition als qualifizierendes Betriebssystem erwerben</w:t>
      </w:r>
      <w:r w:rsidR="006257A7">
        <w:rPr>
          <w:rFonts w:ascii="Tahoma" w:hAnsi="Tahoma" w:cs="Tahoma"/>
          <w:sz w:val="18"/>
          <w:szCs w:val="18"/>
          <w:lang w:val="de-DE"/>
        </w:rPr>
        <w:t xml:space="preserve">. </w:t>
      </w:r>
    </w:p>
    <w:p w:rsidR="00C7319A" w:rsidRPr="008849B7" w:rsidRDefault="00C7319A" w:rsidP="00C7319A">
      <w:pPr>
        <w:pStyle w:val="ColorfulList-Accent11"/>
        <w:rPr>
          <w:lang w:val="de-DE"/>
        </w:rPr>
      </w:pPr>
    </w:p>
    <w:p w:rsidR="00C7319A" w:rsidRPr="009123CB" w:rsidRDefault="00C7319A" w:rsidP="00C7319A">
      <w:pPr>
        <w:pStyle w:val="ColorfulList-Accent11"/>
        <w:rPr>
          <w:lang w:val="de-DE"/>
        </w:rPr>
      </w:pPr>
      <w:r w:rsidRPr="009123CB">
        <w:rPr>
          <w:rFonts w:ascii="Tahoma" w:hAnsi="Tahoma" w:cs="Tahoma"/>
          <w:sz w:val="18"/>
          <w:szCs w:val="18"/>
          <w:lang w:val="de-DE"/>
        </w:rPr>
        <w:t>Kunden, die das Upgrade auf dieser Grundlage erwerben, verzichten auf das Recht, diese Lizenz außerhalb des Landes, in dem sie erworben wurde, zu nutzen</w:t>
      </w:r>
      <w:r w:rsidR="006257A7">
        <w:rPr>
          <w:rFonts w:ascii="Tahoma" w:hAnsi="Tahoma" w:cs="Tahoma"/>
          <w:sz w:val="18"/>
          <w:szCs w:val="18"/>
          <w:lang w:val="de-DE"/>
        </w:rPr>
        <w:t xml:space="preserve">. </w:t>
      </w:r>
    </w:p>
    <w:p w:rsidR="00C7319A" w:rsidRPr="009123CB" w:rsidRDefault="00C7319A" w:rsidP="00C7319A">
      <w:pPr>
        <w:pStyle w:val="EndnoteText"/>
        <w:ind w:left="360"/>
        <w:rPr>
          <w:lang w:val="de-DE"/>
        </w:rPr>
      </w:pPr>
    </w:p>
    <w:p w:rsidR="00C7319A" w:rsidRPr="009123CB" w:rsidRDefault="00C7319A" w:rsidP="00C7319A">
      <w:pPr>
        <w:pStyle w:val="FootnoteBulletLevel1"/>
        <w:tabs>
          <w:tab w:val="clear" w:pos="900"/>
        </w:tabs>
        <w:spacing w:before="0" w:after="0"/>
        <w:ind w:left="720" w:firstLine="0"/>
        <w:rPr>
          <w:lang w:val="de-DE"/>
        </w:rPr>
      </w:pPr>
      <w:r w:rsidRPr="009123CB">
        <w:rPr>
          <w:rFonts w:ascii="Tahoma" w:hAnsi="Tahoma" w:cs="Tahoma"/>
          <w:sz w:val="18"/>
          <w:szCs w:val="18"/>
          <w:lang w:val="de-DE"/>
        </w:rPr>
        <w:t>Oben nicht aufgeführte Betriebssysteme sind nicht qualifiziert, z</w:t>
      </w:r>
      <w:r w:rsidR="006257A7">
        <w:rPr>
          <w:rFonts w:ascii="Tahoma" w:hAnsi="Tahoma" w:cs="Tahoma"/>
          <w:sz w:val="18"/>
          <w:szCs w:val="18"/>
          <w:lang w:val="de-DE"/>
        </w:rPr>
        <w:t xml:space="preserve">. </w:t>
      </w:r>
      <w:r w:rsidRPr="009123CB">
        <w:rPr>
          <w:rFonts w:ascii="Tahoma" w:hAnsi="Tahoma" w:cs="Tahoma"/>
          <w:sz w:val="18"/>
          <w:szCs w:val="18"/>
          <w:lang w:val="de-DE"/>
        </w:rPr>
        <w:t>B</w:t>
      </w:r>
      <w:r w:rsidR="006257A7">
        <w:rPr>
          <w:rFonts w:ascii="Tahoma" w:hAnsi="Tahoma" w:cs="Tahoma"/>
          <w:sz w:val="18"/>
          <w:szCs w:val="18"/>
          <w:lang w:val="de-DE"/>
        </w:rPr>
        <w:t xml:space="preserve">. </w:t>
      </w:r>
      <w:r w:rsidRPr="009123CB">
        <w:rPr>
          <w:rFonts w:ascii="Tahoma" w:hAnsi="Tahoma" w:cs="Tahoma"/>
          <w:sz w:val="18"/>
          <w:szCs w:val="18"/>
          <w:lang w:val="de-DE"/>
        </w:rPr>
        <w:t>:</w:t>
      </w:r>
    </w:p>
    <w:p w:rsidR="00C7319A" w:rsidRPr="009123CB" w:rsidRDefault="00C7319A" w:rsidP="00C7319A">
      <w:pPr>
        <w:pStyle w:val="FootnoteBulletLevel1"/>
        <w:tabs>
          <w:tab w:val="clear" w:pos="900"/>
        </w:tabs>
        <w:spacing w:before="0" w:after="0"/>
        <w:ind w:left="720" w:firstLine="0"/>
        <w:rPr>
          <w:lang w:val="de-DE"/>
        </w:rPr>
      </w:pPr>
    </w:p>
    <w:p w:rsidR="00C7319A" w:rsidRPr="009123CB" w:rsidRDefault="00C7319A" w:rsidP="00C7319A">
      <w:pPr>
        <w:pStyle w:val="FootnoteBulletLevel2"/>
        <w:numPr>
          <w:ilvl w:val="0"/>
          <w:numId w:val="34"/>
        </w:numPr>
        <w:adjustRightInd/>
        <w:spacing w:before="0" w:after="60"/>
        <w:ind w:left="1440"/>
        <w:textAlignment w:val="auto"/>
        <w:rPr>
          <w:lang w:val="de-DE"/>
        </w:rPr>
      </w:pPr>
      <w:r w:rsidRPr="009123CB">
        <w:rPr>
          <w:rFonts w:ascii="Tahoma" w:hAnsi="Tahoma" w:cs="Tahoma"/>
          <w:sz w:val="18"/>
          <w:szCs w:val="18"/>
          <w:lang w:val="de-DE"/>
        </w:rPr>
        <w:t>Eingebettete Systeme (z</w:t>
      </w:r>
      <w:r w:rsidR="006257A7">
        <w:rPr>
          <w:rFonts w:ascii="Tahoma" w:hAnsi="Tahoma" w:cs="Tahoma"/>
          <w:sz w:val="18"/>
          <w:szCs w:val="18"/>
          <w:lang w:val="de-DE"/>
        </w:rPr>
        <w:t xml:space="preserve">. </w:t>
      </w:r>
      <w:r w:rsidRPr="009123CB">
        <w:rPr>
          <w:rFonts w:ascii="Tahoma" w:hAnsi="Tahoma" w:cs="Tahoma"/>
          <w:sz w:val="18"/>
          <w:szCs w:val="18"/>
          <w:lang w:val="de-DE"/>
        </w:rPr>
        <w:t>B</w:t>
      </w:r>
      <w:r w:rsidR="006257A7">
        <w:rPr>
          <w:rFonts w:ascii="Tahoma" w:hAnsi="Tahoma" w:cs="Tahoma"/>
          <w:sz w:val="18"/>
          <w:szCs w:val="18"/>
          <w:lang w:val="de-DE"/>
        </w:rPr>
        <w:t xml:space="preserve">. </w:t>
      </w:r>
      <w:r w:rsidRPr="009123CB">
        <w:rPr>
          <w:rFonts w:ascii="Tahoma" w:hAnsi="Tahoma" w:cs="Tahoma"/>
          <w:sz w:val="18"/>
          <w:szCs w:val="18"/>
          <w:lang w:val="de-DE"/>
        </w:rPr>
        <w:t>Windows 9</w:t>
      </w:r>
      <w:r w:rsidR="006257A7">
        <w:rPr>
          <w:rFonts w:ascii="Tahoma" w:hAnsi="Tahoma" w:cs="Tahoma"/>
          <w:sz w:val="18"/>
          <w:szCs w:val="18"/>
          <w:lang w:val="de-DE"/>
        </w:rPr>
        <w:t xml:space="preserve">. </w:t>
      </w:r>
      <w:r w:rsidRPr="009123CB">
        <w:rPr>
          <w:rFonts w:ascii="Tahoma" w:hAnsi="Tahoma" w:cs="Tahoma"/>
          <w:sz w:val="18"/>
          <w:szCs w:val="18"/>
          <w:lang w:val="de-DE"/>
        </w:rPr>
        <w:t>x Embedded, Windows XP Embedded) sind nicht für das Windows 8 Pro-Upgrade qualifiziert</w:t>
      </w:r>
      <w:r w:rsidR="006257A7">
        <w:rPr>
          <w:rFonts w:ascii="Tahoma" w:hAnsi="Tahoma" w:cs="Tahoma"/>
          <w:sz w:val="18"/>
          <w:szCs w:val="18"/>
          <w:lang w:val="de-DE"/>
        </w:rPr>
        <w:t xml:space="preserve">. </w:t>
      </w:r>
    </w:p>
    <w:p w:rsidR="00C7319A" w:rsidRPr="009123CB" w:rsidRDefault="00C7319A" w:rsidP="00C7319A">
      <w:pPr>
        <w:pStyle w:val="FootnoteBulletLevel2"/>
        <w:numPr>
          <w:ilvl w:val="0"/>
          <w:numId w:val="34"/>
        </w:numPr>
        <w:adjustRightInd/>
        <w:spacing w:before="0" w:after="60"/>
        <w:ind w:left="1440"/>
        <w:textAlignment w:val="auto"/>
        <w:rPr>
          <w:lang w:val="de-DE"/>
        </w:rPr>
      </w:pPr>
      <w:r w:rsidRPr="009123CB">
        <w:rPr>
          <w:rFonts w:ascii="Tahoma" w:hAnsi="Tahoma" w:cs="Tahoma"/>
          <w:sz w:val="18"/>
          <w:szCs w:val="18"/>
          <w:lang w:val="de-DE"/>
        </w:rPr>
        <w:t>Linux oder OS/2 sind nicht für das Windows 8 Pro-Upgrade qualifiziert</w:t>
      </w:r>
      <w:r w:rsidR="006257A7">
        <w:rPr>
          <w:rFonts w:ascii="Tahoma" w:hAnsi="Tahoma" w:cs="Tahoma"/>
          <w:sz w:val="18"/>
          <w:szCs w:val="18"/>
          <w:lang w:val="de-DE"/>
        </w:rPr>
        <w:t xml:space="preserve">. </w:t>
      </w:r>
    </w:p>
    <w:p w:rsidR="00C7319A" w:rsidRPr="009123CB" w:rsidRDefault="00C7319A" w:rsidP="00C7319A">
      <w:pPr>
        <w:pStyle w:val="FootnoteBulletLevel2"/>
        <w:numPr>
          <w:ilvl w:val="0"/>
          <w:numId w:val="34"/>
        </w:numPr>
        <w:adjustRightInd/>
        <w:spacing w:before="0" w:after="60"/>
        <w:ind w:left="1440"/>
        <w:textAlignment w:val="auto"/>
        <w:rPr>
          <w:lang w:val="de-DE"/>
        </w:rPr>
      </w:pPr>
      <w:r w:rsidRPr="009123CB">
        <w:rPr>
          <w:rFonts w:ascii="Tahoma" w:hAnsi="Tahoma" w:cs="Tahoma"/>
          <w:sz w:val="18"/>
          <w:szCs w:val="18"/>
          <w:lang w:val="de-DE"/>
        </w:rPr>
        <w:t>Die Client-Zugriffslizenz für Windows Terminal Services ist nicht für das Windows 8 Pro-Upgrade qualifiziert</w:t>
      </w:r>
      <w:r w:rsidR="006257A7">
        <w:rPr>
          <w:rFonts w:ascii="Tahoma" w:hAnsi="Tahoma" w:cs="Tahoma"/>
          <w:sz w:val="18"/>
          <w:szCs w:val="18"/>
          <w:lang w:val="de-DE"/>
        </w:rPr>
        <w:t xml:space="preserve">. </w:t>
      </w:r>
    </w:p>
    <w:p w:rsidR="00C7319A" w:rsidRPr="009123CB" w:rsidRDefault="00C7319A" w:rsidP="00C7319A">
      <w:pPr>
        <w:pStyle w:val="FootnoteBulletLevel2"/>
        <w:tabs>
          <w:tab w:val="clear" w:pos="1260"/>
        </w:tabs>
        <w:adjustRightInd/>
        <w:spacing w:before="0"/>
        <w:ind w:left="1080" w:firstLine="0"/>
        <w:textAlignment w:val="auto"/>
        <w:rPr>
          <w:lang w:val="de-DE"/>
        </w:rPr>
      </w:pPr>
    </w:p>
    <w:p w:rsidR="00C7319A" w:rsidRPr="009123CB" w:rsidRDefault="00C7319A" w:rsidP="00C7319A">
      <w:pPr>
        <w:pStyle w:val="FootnoteBulletLevel2"/>
        <w:tabs>
          <w:tab w:val="clear" w:pos="1260"/>
        </w:tabs>
        <w:spacing w:before="0"/>
        <w:ind w:left="720" w:firstLine="0"/>
        <w:rPr>
          <w:lang w:val="de-DE"/>
        </w:rPr>
      </w:pPr>
      <w:r w:rsidRPr="009123CB">
        <w:rPr>
          <w:rFonts w:ascii="Tahoma" w:hAnsi="Tahoma" w:cs="Tahoma"/>
          <w:sz w:val="18"/>
          <w:szCs w:val="18"/>
          <w:lang w:val="de-DE"/>
        </w:rPr>
        <w:t>Für das Re-imaging von Windows gelten die folgenden Anforderungen:</w:t>
      </w:r>
    </w:p>
    <w:p w:rsidR="00C7319A" w:rsidRPr="009123CB" w:rsidRDefault="00C7319A" w:rsidP="00C7319A">
      <w:pPr>
        <w:pStyle w:val="FootnoteBulletLevel2"/>
        <w:tabs>
          <w:tab w:val="clear" w:pos="1260"/>
        </w:tabs>
        <w:spacing w:before="0"/>
        <w:ind w:left="720" w:firstLine="0"/>
        <w:rPr>
          <w:lang w:val="de-DE"/>
        </w:rPr>
      </w:pPr>
      <w:r w:rsidRPr="009123CB">
        <w:rPr>
          <w:rFonts w:ascii="Tahoma" w:hAnsi="Tahoma" w:cs="Tahoma"/>
          <w:sz w:val="18"/>
          <w:szCs w:val="18"/>
          <w:lang w:val="de-DE"/>
        </w:rPr>
        <w:t xml:space="preserve"> </w:t>
      </w:r>
    </w:p>
    <w:p w:rsidR="00C7319A" w:rsidRPr="008849B7" w:rsidRDefault="00C7319A" w:rsidP="00C7319A">
      <w:pPr>
        <w:pStyle w:val="FootnoteBulletLevel2"/>
        <w:tabs>
          <w:tab w:val="clear" w:pos="1260"/>
        </w:tabs>
        <w:spacing w:before="0"/>
        <w:ind w:left="720" w:firstLine="0"/>
        <w:rPr>
          <w:lang w:val="de-DE"/>
        </w:rPr>
      </w:pPr>
      <w:r w:rsidRPr="008849B7">
        <w:rPr>
          <w:rFonts w:ascii="Tahoma" w:hAnsi="Tahoma" w:cs="Tahoma"/>
          <w:sz w:val="18"/>
          <w:szCs w:val="18"/>
          <w:lang w:val="de-DE"/>
        </w:rPr>
        <w:t>Wenn ein Dritter ein Re-imaging von Windows auf PCs eines Kunden durchführen möchte, muss der Kunde diesem Dritten zunächst entweder (a) ein ausgefülltes Formular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oder (b) Kopien des Formblattes für Unterschriften von dem Microsoft-Volumenlizenzvertrag, der auf die zu installierende Upgradesoftware für das Microsoft-Betriebssystem anwendbar ist, bereitstellen</w:t>
      </w:r>
      <w:r w:rsidR="006257A7">
        <w:rPr>
          <w:rFonts w:ascii="Tahoma" w:hAnsi="Tahoma" w:cs="Tahoma"/>
          <w:sz w:val="18"/>
          <w:szCs w:val="18"/>
          <w:lang w:val="de-DE"/>
        </w:rPr>
        <w:t xml:space="preserve">. </w:t>
      </w:r>
      <w:r w:rsidRPr="008849B7">
        <w:rPr>
          <w:rFonts w:ascii="Tahoma" w:hAnsi="Tahoma" w:cs="Tahoma"/>
          <w:sz w:val="18"/>
          <w:szCs w:val="18"/>
          <w:lang w:val="de-DE"/>
        </w:rPr>
        <w:t xml:space="preserve">Das Formular „Microsoft License Verification for Third Party Imaging/Installing Microsoft Operating System Software“ finden Sie unter </w:t>
      </w:r>
      <w:hyperlink r:id="rId42" w:history="1">
        <w:r w:rsidR="00E869D6" w:rsidRPr="00420E1C">
          <w:rPr>
            <w:rStyle w:val="Hyperlink"/>
            <w:rFonts w:ascii="Tahoma" w:hAnsi="Tahoma" w:cs="Tahoma"/>
            <w:sz w:val="18"/>
            <w:szCs w:val="18"/>
            <w:lang w:val="de-DE"/>
          </w:rPr>
          <w:t>www.microsoft.com/licensing/contracts</w:t>
        </w:r>
      </w:hyperlink>
      <w:r w:rsidR="006257A7">
        <w:rPr>
          <w:rFonts w:ascii="Tahoma" w:hAnsi="Tahoma" w:cs="Tahoma"/>
          <w:sz w:val="18"/>
          <w:szCs w:val="18"/>
          <w:lang w:val="de-DE"/>
        </w:rPr>
        <w:t xml:space="preserve">. </w:t>
      </w:r>
    </w:p>
    <w:p w:rsidR="00C7319A" w:rsidRPr="008849B7" w:rsidRDefault="00C7319A" w:rsidP="00C7319A">
      <w:pPr>
        <w:pStyle w:val="FootnoteBulletLevel1"/>
        <w:tabs>
          <w:tab w:val="clear" w:pos="900"/>
        </w:tabs>
        <w:adjustRightInd/>
        <w:spacing w:before="0" w:after="0"/>
        <w:ind w:left="720" w:firstLine="0"/>
        <w:textAlignment w:val="auto"/>
        <w:rPr>
          <w:lang w:val="de-DE"/>
        </w:rPr>
      </w:pPr>
    </w:p>
    <w:p w:rsidR="00C7319A" w:rsidRPr="009123CB" w:rsidRDefault="00C7319A" w:rsidP="00C7319A">
      <w:pPr>
        <w:pStyle w:val="FootnoteBulletLevel1"/>
        <w:tabs>
          <w:tab w:val="clear" w:pos="900"/>
        </w:tabs>
        <w:adjustRightInd/>
        <w:spacing w:before="0" w:after="60"/>
        <w:ind w:left="720" w:firstLine="0"/>
        <w:textAlignment w:val="auto"/>
        <w:rPr>
          <w:lang w:val="de-DE"/>
        </w:rPr>
      </w:pPr>
      <w:r w:rsidRPr="009123CB">
        <w:rPr>
          <w:rFonts w:ascii="Tahoma" w:hAnsi="Tahoma" w:cs="Tahoma"/>
          <w:b/>
          <w:bCs/>
          <w:sz w:val="18"/>
          <w:szCs w:val="18"/>
          <w:lang w:val="de-DE"/>
        </w:rPr>
        <w:t>Windows Intune (Pro Gerät)</w:t>
      </w:r>
    </w:p>
    <w:p w:rsidR="00C7319A" w:rsidRPr="009123CB" w:rsidRDefault="00C7319A" w:rsidP="00C7319A">
      <w:pPr>
        <w:ind w:left="720"/>
        <w:rPr>
          <w:lang w:val="de-DE"/>
        </w:rPr>
      </w:pPr>
      <w:r w:rsidRPr="009123CB">
        <w:rPr>
          <w:rFonts w:cs="Tahoma"/>
          <w:szCs w:val="18"/>
          <w:lang w:val="de-DE"/>
        </w:rPr>
        <w:t>Windows Intune (Pro Gerät) ist unter einer Abonnementlizenz verfügbar</w:t>
      </w:r>
      <w:r w:rsidR="006257A7">
        <w:rPr>
          <w:rFonts w:cs="Tahoma"/>
          <w:szCs w:val="18"/>
          <w:lang w:val="de-DE"/>
        </w:rPr>
        <w:t xml:space="preserve">. </w:t>
      </w:r>
      <w:r w:rsidRPr="009123CB">
        <w:rPr>
          <w:rFonts w:cs="Tahoma"/>
          <w:szCs w:val="18"/>
          <w:lang w:val="de-DE"/>
        </w:rPr>
        <w:t>Es umfasst Rechte für ein Upgrade auf das und zur Verwendung des Windows Desktop-Betriebssystems</w:t>
      </w:r>
      <w:r w:rsidR="006257A7">
        <w:rPr>
          <w:rFonts w:cs="Tahoma"/>
          <w:szCs w:val="18"/>
          <w:lang w:val="de-DE"/>
        </w:rPr>
        <w:t xml:space="preserve">. </w:t>
      </w:r>
      <w:r w:rsidRPr="009123CB">
        <w:rPr>
          <w:rFonts w:cs="Tahoma"/>
          <w:szCs w:val="18"/>
          <w:lang w:val="de-DE"/>
        </w:rPr>
        <w:t>Daher muss wie beim Windows Pro-Upgrade jeder Desktop, für den Sie Windows Intune (Pro Gerät) erwerben und auf dem Sie es ausführen, zur Ausführung eines der oben genannten anwendbaren, qualifizierenden Betriebssysteme lizenziert sein</w:t>
      </w:r>
      <w:r w:rsidR="006257A7">
        <w:rPr>
          <w:rFonts w:cs="Tahoma"/>
          <w:szCs w:val="18"/>
          <w:lang w:val="de-DE"/>
        </w:rPr>
        <w:t xml:space="preserve">. </w:t>
      </w:r>
    </w:p>
    <w:p w:rsidR="00C7319A" w:rsidRPr="009123CB" w:rsidRDefault="00C7319A" w:rsidP="00C7319A">
      <w:pPr>
        <w:ind w:left="720"/>
        <w:rPr>
          <w:lang w:val="de-DE"/>
        </w:rPr>
      </w:pPr>
    </w:p>
    <w:p w:rsidR="00C7319A" w:rsidRPr="009123CB" w:rsidRDefault="00C7319A" w:rsidP="007E1881">
      <w:pPr>
        <w:ind w:left="720"/>
        <w:rPr>
          <w:lang w:val="de-DE"/>
        </w:rPr>
      </w:pPr>
      <w:r w:rsidRPr="009123CB">
        <w:rPr>
          <w:rFonts w:cs="Tahoma"/>
          <w:szCs w:val="18"/>
          <w:lang w:val="de-DE"/>
        </w:rPr>
        <w:t>Die auf den Erwerb der Windows Pro-Upgrade-Lizenz anwendbaren Bedingungen, wie oben im Abschnitt „Regeln für qualifizierende Betriebssysteme“ beschrieben, gelten für den Erwerb von Windows Intune (Pro</w:t>
      </w:r>
      <w:r w:rsidR="007E1881">
        <w:rPr>
          <w:rFonts w:cs="Tahoma"/>
          <w:szCs w:val="18"/>
          <w:lang w:val="de-DE"/>
        </w:rPr>
        <w:t> </w:t>
      </w:r>
      <w:r w:rsidRPr="009123CB">
        <w:rPr>
          <w:rFonts w:cs="Tahoma"/>
          <w:szCs w:val="18"/>
          <w:lang w:val="de-DE"/>
        </w:rPr>
        <w:t>Gerät)-Lizenzen</w:t>
      </w:r>
      <w:r w:rsidR="006257A7">
        <w:rPr>
          <w:rFonts w:cs="Tahoma"/>
          <w:szCs w:val="18"/>
          <w:lang w:val="de-DE"/>
        </w:rPr>
        <w:t xml:space="preserve">. </w:t>
      </w:r>
    </w:p>
    <w:p w:rsidR="00C7319A" w:rsidRPr="009123CB" w:rsidRDefault="00C7319A" w:rsidP="00C7319A">
      <w:pPr>
        <w:ind w:left="720"/>
        <w:rPr>
          <w:lang w:val="de-DE"/>
        </w:rPr>
      </w:pPr>
    </w:p>
    <w:p w:rsidR="00C7319A" w:rsidRPr="009123CB" w:rsidRDefault="00C7319A" w:rsidP="007E1881">
      <w:pPr>
        <w:keepNext/>
        <w:ind w:left="720"/>
        <w:rPr>
          <w:lang w:val="de-DE"/>
        </w:rPr>
      </w:pPr>
      <w:r w:rsidRPr="009123CB">
        <w:rPr>
          <w:rFonts w:eastAsia="Calibri" w:cs="Tahoma"/>
          <w:szCs w:val="18"/>
          <w:lang w:val="de-DE"/>
        </w:rPr>
        <w:t>Für Windows Intune (Pro Gerät), das als Konzern-Onlinedienst erworben wurde, um den Anforderungen für</w:t>
      </w:r>
      <w:r w:rsidR="007E1881">
        <w:rPr>
          <w:rFonts w:eastAsia="Calibri" w:cs="Tahoma"/>
          <w:szCs w:val="18"/>
          <w:lang w:val="de-DE"/>
        </w:rPr>
        <w:t> </w:t>
      </w:r>
      <w:r w:rsidRPr="009123CB">
        <w:rPr>
          <w:rFonts w:eastAsia="Calibri" w:cs="Tahoma"/>
          <w:szCs w:val="18"/>
          <w:lang w:val="de-DE"/>
        </w:rPr>
        <w:t>Konzernprodukte zu entsprechen: Die bei Unterzeichnung erworbenen Lizenzen entnehmen Sie der Spalte „EA/OV-CW (neu)“ in der Tabelle oben, und die zu einem anderen Zeitpunkt erworbenen oder wie unten im Abschnitt „Neuzuweisung von Lizenzen“ gestattet neu zugewiesenen Lizenzen entnehmen Sie der</w:t>
      </w:r>
      <w:r w:rsidR="007E1881">
        <w:rPr>
          <w:rFonts w:eastAsia="Calibri" w:cs="Tahoma"/>
          <w:szCs w:val="18"/>
          <w:lang w:val="de-DE"/>
        </w:rPr>
        <w:t> </w:t>
      </w:r>
      <w:r w:rsidRPr="009123CB">
        <w:rPr>
          <w:rFonts w:eastAsia="Calibri" w:cs="Tahoma"/>
          <w:szCs w:val="18"/>
          <w:lang w:val="de-DE"/>
        </w:rPr>
        <w:t>Spalte „EA/OV-CW (vorhanden)“ in der Tabelle oben</w:t>
      </w:r>
      <w:r w:rsidR="006257A7">
        <w:rPr>
          <w:rFonts w:eastAsia="Calibri" w:cs="Tahoma"/>
          <w:szCs w:val="18"/>
          <w:lang w:val="de-DE"/>
        </w:rPr>
        <w:t xml:space="preserve">. </w:t>
      </w:r>
    </w:p>
    <w:p w:rsidR="00C7319A" w:rsidRPr="009123CB" w:rsidRDefault="00C7319A" w:rsidP="00C7319A">
      <w:pPr>
        <w:keepNext/>
        <w:ind w:left="720"/>
        <w:rPr>
          <w:lang w:val="de-DE"/>
        </w:rPr>
      </w:pPr>
    </w:p>
    <w:p w:rsidR="00C7319A" w:rsidRPr="009123CB" w:rsidRDefault="00C7319A" w:rsidP="007E1881">
      <w:pPr>
        <w:ind w:left="720"/>
        <w:rPr>
          <w:lang w:val="de-DE"/>
        </w:rPr>
      </w:pPr>
      <w:r w:rsidRPr="009123CB">
        <w:rPr>
          <w:rFonts w:eastAsia="Calibri" w:cs="Tahoma"/>
          <w:szCs w:val="18"/>
          <w:lang w:val="de-DE"/>
        </w:rPr>
        <w:t>Als Ausnahme von der obigen Regel gilt Folgendes für Windows Intune (Pro Gerät), das als Konzern-Onlinedienst erworben wurde, aber nicht um den Anforderungen für Konzernprodukte zu entsprechen: Die</w:t>
      </w:r>
      <w:r w:rsidR="007E1881">
        <w:rPr>
          <w:rFonts w:eastAsia="Calibri" w:cs="Tahoma"/>
          <w:szCs w:val="18"/>
          <w:lang w:val="de-DE"/>
        </w:rPr>
        <w:t> </w:t>
      </w:r>
      <w:r w:rsidRPr="009123CB">
        <w:rPr>
          <w:rFonts w:eastAsia="Calibri" w:cs="Tahoma"/>
          <w:szCs w:val="18"/>
          <w:lang w:val="de-DE"/>
        </w:rPr>
        <w:t>neuen Lizenzen entnehmen Sie der Spalte „EA/OV-CW (neu)“ in der Tabelle oben</w:t>
      </w:r>
      <w:r w:rsidR="006257A7">
        <w:rPr>
          <w:rFonts w:eastAsia="Calibri" w:cs="Tahoma"/>
          <w:szCs w:val="18"/>
          <w:lang w:val="de-DE"/>
        </w:rPr>
        <w:t xml:space="preserve">. </w:t>
      </w:r>
    </w:p>
    <w:p w:rsidR="00C7319A" w:rsidRPr="009123CB" w:rsidRDefault="00C7319A" w:rsidP="00C7319A">
      <w:pPr>
        <w:ind w:left="720"/>
        <w:rPr>
          <w:lang w:val="de-DE"/>
        </w:rPr>
      </w:pPr>
    </w:p>
    <w:p w:rsidR="00C7319A" w:rsidRPr="009123CB" w:rsidRDefault="00C7319A" w:rsidP="00C7319A">
      <w:pPr>
        <w:pStyle w:val="FootnoteBulletLevel2"/>
        <w:spacing w:before="0"/>
        <w:ind w:left="720" w:firstLine="0"/>
        <w:rPr>
          <w:lang w:val="de-DE"/>
        </w:rPr>
      </w:pPr>
      <w:r w:rsidRPr="009123CB">
        <w:rPr>
          <w:rFonts w:ascii="Tahoma" w:hAnsi="Tahoma" w:cs="Tahoma"/>
          <w:sz w:val="18"/>
          <w:szCs w:val="18"/>
          <w:lang w:val="de-DE"/>
        </w:rPr>
        <w:t>Kunden mit aktiven Windows Intune (Pro Gerät)-Abonnements müssen das qualifizierende Betriebssystem auf ihrem lizenzierten Gerät nicht deinstallieren und können dieses zusammen mit dem Windows Desktop-Betriebssystem installieren und ausführen</w:t>
      </w:r>
      <w:r w:rsidR="006257A7">
        <w:rPr>
          <w:rFonts w:ascii="Tahoma" w:hAnsi="Tahoma" w:cs="Tahoma"/>
          <w:sz w:val="18"/>
          <w:szCs w:val="18"/>
          <w:lang w:val="de-DE"/>
        </w:rPr>
        <w:t xml:space="preserve">. </w:t>
      </w:r>
    </w:p>
    <w:p w:rsidR="00C7319A" w:rsidRDefault="00C7319A" w:rsidP="00C7319A">
      <w:pPr>
        <w:pStyle w:val="FootnoteBulletLevel1"/>
        <w:spacing w:before="0" w:after="0"/>
        <w:ind w:left="720" w:firstLine="0"/>
        <w:rPr>
          <w:lang w:val="de-DE"/>
        </w:rPr>
      </w:pPr>
    </w:p>
    <w:p w:rsidR="007E1881" w:rsidRDefault="007E1881" w:rsidP="00C7319A">
      <w:pPr>
        <w:pStyle w:val="FootnoteBulletLevel1"/>
        <w:spacing w:before="0" w:after="0"/>
        <w:ind w:left="720" w:firstLine="0"/>
        <w:rPr>
          <w:lang w:val="de-DE"/>
        </w:rPr>
      </w:pPr>
    </w:p>
    <w:p w:rsidR="007E1881" w:rsidRDefault="007E1881" w:rsidP="00C7319A">
      <w:pPr>
        <w:pStyle w:val="FootnoteBulletLevel1"/>
        <w:spacing w:before="0" w:after="0"/>
        <w:ind w:left="720" w:firstLine="0"/>
        <w:rPr>
          <w:lang w:val="de-DE"/>
        </w:rPr>
      </w:pPr>
    </w:p>
    <w:p w:rsidR="00C7319A" w:rsidRPr="009123CB" w:rsidRDefault="00C7319A" w:rsidP="00C7319A">
      <w:pPr>
        <w:tabs>
          <w:tab w:val="left" w:pos="900"/>
        </w:tabs>
        <w:ind w:left="720"/>
        <w:rPr>
          <w:lang w:val="de-DE"/>
        </w:rPr>
      </w:pPr>
      <w:r w:rsidRPr="009123CB">
        <w:rPr>
          <w:rFonts w:cs="Tahoma"/>
          <w:szCs w:val="18"/>
          <w:u w:val="single"/>
          <w:lang w:val="de-DE"/>
        </w:rPr>
        <w:t>Zuweisen der Lizenz</w:t>
      </w:r>
      <w:r w:rsidRPr="009123CB">
        <w:rPr>
          <w:rFonts w:cs="Tahoma"/>
          <w:szCs w:val="18"/>
          <w:lang w:val="de-DE"/>
        </w:rPr>
        <w:t xml:space="preserve"> </w:t>
      </w:r>
    </w:p>
    <w:p w:rsidR="00C7319A" w:rsidRPr="009123CB" w:rsidRDefault="00C7319A" w:rsidP="00C7319A">
      <w:pPr>
        <w:tabs>
          <w:tab w:val="left" w:pos="900"/>
        </w:tabs>
        <w:ind w:left="720"/>
        <w:rPr>
          <w:lang w:val="de-DE"/>
        </w:rPr>
      </w:pPr>
      <w:r w:rsidRPr="009123CB">
        <w:rPr>
          <w:rFonts w:cs="Tahoma"/>
          <w:szCs w:val="18"/>
          <w:lang w:val="de-DE"/>
        </w:rPr>
        <w:t>Kunden müssen ihre Windows Intune (Pro Gerät)-Abonnementlizenz dem Gerät zuweisen, auf dem das qualifizierende Betriebssystem installiert ist</w:t>
      </w:r>
      <w:r w:rsidR="006257A7">
        <w:rPr>
          <w:rFonts w:cs="Tahoma"/>
          <w:szCs w:val="18"/>
          <w:lang w:val="de-DE"/>
        </w:rPr>
        <w:t xml:space="preserve">. </w:t>
      </w:r>
    </w:p>
    <w:p w:rsidR="00C7319A" w:rsidRPr="009123CB" w:rsidRDefault="00C7319A" w:rsidP="00C7319A">
      <w:pPr>
        <w:pStyle w:val="FootnoteBulletLevel2"/>
        <w:spacing w:before="0"/>
        <w:ind w:left="907" w:firstLine="0"/>
        <w:rPr>
          <w:lang w:val="de-DE"/>
        </w:rPr>
      </w:pPr>
    </w:p>
    <w:p w:rsidR="00C7319A" w:rsidRPr="009123CB" w:rsidRDefault="00C7319A" w:rsidP="00C7319A">
      <w:pPr>
        <w:pStyle w:val="FootnoteBulletLevel1"/>
        <w:tabs>
          <w:tab w:val="clear" w:pos="900"/>
        </w:tabs>
        <w:spacing w:before="0" w:after="60"/>
        <w:ind w:left="720" w:firstLine="0"/>
        <w:rPr>
          <w:lang w:val="de-DE"/>
        </w:rPr>
      </w:pPr>
      <w:r w:rsidRPr="009123CB">
        <w:rPr>
          <w:rFonts w:ascii="Tahoma" w:hAnsi="Tahoma" w:cs="Tahoma"/>
          <w:b/>
          <w:sz w:val="18"/>
          <w:szCs w:val="18"/>
          <w:lang w:val="de-DE"/>
        </w:rPr>
        <w:t>Neuzuweisung von Lizenzen</w:t>
      </w:r>
      <w:r w:rsidRPr="009123CB">
        <w:rPr>
          <w:rFonts w:ascii="Tahoma" w:hAnsi="Tahoma" w:cs="Tahoma"/>
          <w:b/>
          <w:bCs/>
          <w:sz w:val="18"/>
          <w:szCs w:val="18"/>
          <w:lang w:val="de-DE"/>
        </w:rPr>
        <w:t xml:space="preserve"> für Windows Intune (Pro Gerät)</w:t>
      </w:r>
    </w:p>
    <w:p w:rsidR="00C7319A" w:rsidRPr="009123CB" w:rsidRDefault="00C7319A" w:rsidP="007E1881">
      <w:pPr>
        <w:pStyle w:val="BodyText"/>
        <w:spacing w:before="0" w:after="0" w:line="240" w:lineRule="auto"/>
        <w:ind w:left="720"/>
        <w:rPr>
          <w:lang w:val="de-DE"/>
        </w:rPr>
      </w:pPr>
      <w:r w:rsidRPr="009123CB">
        <w:rPr>
          <w:rFonts w:ascii="Tahoma" w:hAnsi="Tahoma" w:cs="Tahoma"/>
          <w:color w:val="auto"/>
          <w:sz w:val="18"/>
          <w:szCs w:val="18"/>
          <w:lang w:val="de-DE"/>
        </w:rPr>
        <w:t>Kunden sind berechtigt, Lizenzen für Windows Intune (Pro Gerät) neu zuzuweisen, jedoch nicht nur kurzzeitig (d</w:t>
      </w:r>
      <w:r w:rsidR="006257A7">
        <w:rPr>
          <w:rFonts w:ascii="Tahoma" w:hAnsi="Tahoma" w:cs="Tahoma"/>
          <w:color w:val="auto"/>
          <w:sz w:val="18"/>
          <w:szCs w:val="18"/>
          <w:lang w:val="de-DE"/>
        </w:rPr>
        <w:t xml:space="preserve">. </w:t>
      </w:r>
      <w:r w:rsidRPr="009123CB">
        <w:rPr>
          <w:rFonts w:ascii="Tahoma" w:hAnsi="Tahoma" w:cs="Tahoma"/>
          <w:color w:val="auto"/>
          <w:sz w:val="18"/>
          <w:szCs w:val="18"/>
          <w:lang w:val="de-DE"/>
        </w:rPr>
        <w:t>h</w:t>
      </w:r>
      <w:r w:rsidR="006257A7">
        <w:rPr>
          <w:rFonts w:ascii="Tahoma" w:hAnsi="Tahoma" w:cs="Tahoma"/>
          <w:color w:val="auto"/>
          <w:sz w:val="18"/>
          <w:szCs w:val="18"/>
          <w:lang w:val="de-DE"/>
        </w:rPr>
        <w:t xml:space="preserve">. </w:t>
      </w:r>
      <w:r w:rsidRPr="009123CB">
        <w:rPr>
          <w:rFonts w:ascii="Tahoma" w:hAnsi="Tahoma" w:cs="Tahoma"/>
          <w:color w:val="auto"/>
          <w:sz w:val="18"/>
          <w:szCs w:val="18"/>
          <w:lang w:val="de-DE"/>
        </w:rPr>
        <w:t>nicht innerhalb von 90 Tagen nach der letzten Zuweisung)</w:t>
      </w:r>
      <w:r w:rsidR="006257A7">
        <w:rPr>
          <w:rFonts w:ascii="Tahoma" w:hAnsi="Tahoma" w:cs="Tahoma"/>
          <w:color w:val="auto"/>
          <w:sz w:val="18"/>
          <w:szCs w:val="18"/>
          <w:lang w:val="de-DE"/>
        </w:rPr>
        <w:t xml:space="preserve">. </w:t>
      </w:r>
      <w:r w:rsidRPr="009123CB">
        <w:rPr>
          <w:rFonts w:ascii="Tahoma" w:hAnsi="Tahoma" w:cs="Tahoma"/>
          <w:color w:val="auto"/>
          <w:sz w:val="18"/>
          <w:szCs w:val="18"/>
          <w:lang w:val="de-DE"/>
        </w:rPr>
        <w:t>Kunden sind berechtigt, eine Lizenz für Windows Intune (Pro Gerät) früher neu zuzuweisen, wenn sie das vorhandene lizenzierte Gerät aufgrund eines Hardwarefehlers außer Dienst stellen</w:t>
      </w:r>
      <w:r w:rsidR="006257A7">
        <w:rPr>
          <w:rFonts w:ascii="Tahoma" w:hAnsi="Tahoma" w:cs="Tahoma"/>
          <w:color w:val="auto"/>
          <w:sz w:val="18"/>
          <w:szCs w:val="18"/>
          <w:lang w:val="de-DE"/>
        </w:rPr>
        <w:t xml:space="preserve">. </w:t>
      </w:r>
      <w:r w:rsidRPr="009123CB">
        <w:rPr>
          <w:rFonts w:ascii="Tahoma" w:hAnsi="Tahoma" w:cs="Tahoma"/>
          <w:color w:val="auto"/>
          <w:sz w:val="18"/>
          <w:szCs w:val="18"/>
          <w:lang w:val="de-DE"/>
        </w:rPr>
        <w:t>Das Gerät, dem eine Lizenz für Windows Intune (Pro</w:t>
      </w:r>
      <w:r w:rsidR="007E1881">
        <w:rPr>
          <w:rFonts w:ascii="Tahoma" w:hAnsi="Tahoma" w:cs="Tahoma"/>
          <w:color w:val="auto"/>
          <w:sz w:val="18"/>
          <w:szCs w:val="18"/>
          <w:lang w:val="de-DE"/>
        </w:rPr>
        <w:t> </w:t>
      </w:r>
      <w:r w:rsidRPr="009123CB">
        <w:rPr>
          <w:rFonts w:ascii="Tahoma" w:hAnsi="Tahoma" w:cs="Tahoma"/>
          <w:color w:val="auto"/>
          <w:sz w:val="18"/>
          <w:szCs w:val="18"/>
          <w:lang w:val="de-DE"/>
        </w:rPr>
        <w:t>Gerät) neu zugewiesen wird, muss den oben beschriebenen Anforderungen für ein qualifizierendes Betriebssystem entsprechen</w:t>
      </w:r>
      <w:r w:rsidR="006257A7">
        <w:rPr>
          <w:rFonts w:ascii="Tahoma" w:hAnsi="Tahoma" w:cs="Tahoma"/>
          <w:color w:val="auto"/>
          <w:sz w:val="18"/>
          <w:szCs w:val="18"/>
          <w:lang w:val="de-DE"/>
        </w:rPr>
        <w:t xml:space="preserve">. </w:t>
      </w:r>
      <w:r w:rsidRPr="009123CB">
        <w:rPr>
          <w:rFonts w:ascii="Tahoma" w:hAnsi="Tahoma" w:cs="Tahoma"/>
          <w:color w:val="auto"/>
          <w:sz w:val="18"/>
          <w:szCs w:val="18"/>
          <w:lang w:val="de-DE"/>
        </w:rPr>
        <w:t>Von dem Gerät, von dem die Lizenz neu zugewiesen wird, muss die Software entfernt werden, und der Zugriff auf den Windows Intune (Pro Gerät)-Dienst muss eingestellt werden</w:t>
      </w:r>
      <w:r w:rsidR="006257A7">
        <w:rPr>
          <w:rFonts w:ascii="Tahoma" w:hAnsi="Tahoma" w:cs="Tahoma"/>
          <w:color w:val="auto"/>
          <w:sz w:val="18"/>
          <w:szCs w:val="18"/>
          <w:lang w:val="de-DE"/>
        </w:rPr>
        <w:t xml:space="preserve">. </w:t>
      </w:r>
    </w:p>
    <w:p w:rsidR="00C7319A" w:rsidRPr="009123CB" w:rsidRDefault="00C7319A" w:rsidP="00C7319A">
      <w:pPr>
        <w:pStyle w:val="BodyText"/>
        <w:spacing w:before="0" w:after="0" w:line="240" w:lineRule="auto"/>
        <w:ind w:left="720"/>
        <w:rPr>
          <w:lang w:val="de-DE"/>
        </w:rPr>
      </w:pPr>
    </w:p>
    <w:p w:rsidR="00C7319A" w:rsidRPr="009123CB" w:rsidRDefault="00C7319A" w:rsidP="007E1881">
      <w:pPr>
        <w:autoSpaceDN w:val="0"/>
        <w:ind w:left="720"/>
        <w:rPr>
          <w:lang w:val="de-DE"/>
        </w:rPr>
      </w:pPr>
      <w:r w:rsidRPr="009123CB">
        <w:rPr>
          <w:rFonts w:cs="Tahoma"/>
          <w:szCs w:val="18"/>
          <w:lang w:val="de-DE"/>
        </w:rPr>
        <w:t>Als Ausnahme von den Anforderungen für ein qualifizierendes Betriebssystem für Windows Intune (Pro</w:t>
      </w:r>
      <w:r w:rsidR="007E1881">
        <w:rPr>
          <w:rFonts w:cs="Tahoma"/>
          <w:szCs w:val="18"/>
          <w:lang w:val="de-DE"/>
        </w:rPr>
        <w:t> </w:t>
      </w:r>
      <w:r w:rsidRPr="009123CB">
        <w:rPr>
          <w:rFonts w:cs="Tahoma"/>
          <w:szCs w:val="18"/>
          <w:lang w:val="de-DE"/>
        </w:rPr>
        <w:t>Gerät), das als Konzern-Onlinedienst lizenziert wurde, um den Anforderungen für Ko</w:t>
      </w:r>
      <w:r w:rsidRPr="009123CB">
        <w:rPr>
          <w:lang w:val="de-DE"/>
        </w:rPr>
        <w:t>nzernprodukte zu</w:t>
      </w:r>
      <w:r w:rsidR="007E1881">
        <w:rPr>
          <w:lang w:val="de-DE"/>
        </w:rPr>
        <w:t> </w:t>
      </w:r>
      <w:r w:rsidRPr="009123CB">
        <w:rPr>
          <w:lang w:val="de-DE"/>
        </w:rPr>
        <w:t xml:space="preserve">entsprechen, sind </w:t>
      </w:r>
      <w:r w:rsidRPr="009123CB">
        <w:rPr>
          <w:rFonts w:cs="Tahoma"/>
          <w:szCs w:val="18"/>
          <w:lang w:val="de-DE"/>
        </w:rPr>
        <w:t>Kundenberechtigt, Lizenzen für Windows Intune (Pro Gerät) folgenden Geräten neu</w:t>
      </w:r>
      <w:r w:rsidR="007E1881">
        <w:rPr>
          <w:rFonts w:cs="Tahoma"/>
          <w:szCs w:val="18"/>
          <w:lang w:val="de-DE"/>
        </w:rPr>
        <w:t> </w:t>
      </w:r>
      <w:r w:rsidRPr="009123CB">
        <w:rPr>
          <w:rFonts w:cs="Tahoma"/>
          <w:szCs w:val="18"/>
          <w:lang w:val="de-DE"/>
        </w:rPr>
        <w:t>zuzuweisen, sofern die Geräte für eines der in der Spalte „EA/OV-CW (neu)“ der Tabelle oben genannten qualifizierenden Betriebssysteme lizenziert sind und dieses qualifizierende Betriebssystem darauf</w:t>
      </w:r>
      <w:r w:rsidR="007E1881">
        <w:rPr>
          <w:rFonts w:cs="Tahoma"/>
          <w:szCs w:val="18"/>
          <w:lang w:val="de-DE"/>
        </w:rPr>
        <w:t> </w:t>
      </w:r>
      <w:r w:rsidRPr="009123CB">
        <w:rPr>
          <w:rFonts w:cs="Tahoma"/>
          <w:szCs w:val="18"/>
          <w:lang w:val="de-DE"/>
        </w:rPr>
        <w:t xml:space="preserve">installiert ist: </w:t>
      </w:r>
    </w:p>
    <w:p w:rsidR="00C7319A" w:rsidRPr="009123CB" w:rsidRDefault="00C7319A" w:rsidP="00C7319A">
      <w:pPr>
        <w:autoSpaceDN w:val="0"/>
        <w:ind w:left="720"/>
        <w:rPr>
          <w:lang w:val="de-DE"/>
        </w:rPr>
      </w:pPr>
    </w:p>
    <w:p w:rsidR="00C7319A" w:rsidRPr="009123CB" w:rsidRDefault="00C7319A" w:rsidP="00C7319A">
      <w:pPr>
        <w:numPr>
          <w:ilvl w:val="3"/>
          <w:numId w:val="27"/>
        </w:numPr>
        <w:autoSpaceDN w:val="0"/>
        <w:spacing w:after="60"/>
        <w:ind w:left="1440"/>
        <w:rPr>
          <w:lang w:val="de-DE"/>
        </w:rPr>
      </w:pPr>
      <w:r w:rsidRPr="009123CB">
        <w:rPr>
          <w:rFonts w:cs="Tahoma"/>
          <w:szCs w:val="18"/>
          <w:lang w:val="de-DE"/>
        </w:rPr>
        <w:t xml:space="preserve">Geräte, die Sie in Verbindung mit einer Unternehmensverschmelzung oder einem Unternehmenskauf erwerben, und </w:t>
      </w:r>
    </w:p>
    <w:p w:rsidR="00C7319A" w:rsidRPr="009123CB" w:rsidRDefault="00C7319A" w:rsidP="00C7319A">
      <w:pPr>
        <w:numPr>
          <w:ilvl w:val="3"/>
          <w:numId w:val="27"/>
        </w:numPr>
        <w:autoSpaceDN w:val="0"/>
        <w:spacing w:after="60"/>
        <w:ind w:left="1440"/>
        <w:rPr>
          <w:lang w:val="de-DE"/>
        </w:rPr>
      </w:pPr>
      <w:r w:rsidRPr="009123CB">
        <w:rPr>
          <w:rFonts w:cs="Tahoma"/>
          <w:szCs w:val="18"/>
          <w:lang w:val="de-DE"/>
        </w:rPr>
        <w:t>Geräte, die Eigentum von Vertragspartnern oder Mitarbeitern sind</w:t>
      </w:r>
      <w:r w:rsidR="006257A7">
        <w:rPr>
          <w:rFonts w:cs="Tahoma"/>
          <w:szCs w:val="18"/>
          <w:lang w:val="de-DE"/>
        </w:rPr>
        <w:t xml:space="preserve">. </w:t>
      </w:r>
    </w:p>
    <w:p w:rsidR="00C7319A" w:rsidRPr="009123CB" w:rsidRDefault="00C7319A" w:rsidP="00C7319A">
      <w:pPr>
        <w:autoSpaceDN w:val="0"/>
        <w:spacing w:after="60"/>
        <w:rPr>
          <w:lang w:val="de-DE"/>
        </w:rPr>
      </w:pPr>
    </w:p>
    <w:p w:rsidR="00C7319A" w:rsidRPr="009123CB" w:rsidRDefault="00C7319A" w:rsidP="00C7319A">
      <w:pPr>
        <w:pStyle w:val="FootnoteBulletLevel1"/>
        <w:tabs>
          <w:tab w:val="clear" w:pos="900"/>
        </w:tabs>
        <w:adjustRightInd/>
        <w:spacing w:before="0" w:after="60"/>
        <w:ind w:left="720" w:firstLine="0"/>
        <w:textAlignment w:val="auto"/>
        <w:rPr>
          <w:lang w:val="de-DE"/>
        </w:rPr>
      </w:pPr>
      <w:r w:rsidRPr="009123CB">
        <w:rPr>
          <w:rFonts w:ascii="Tahoma" w:hAnsi="Tahoma" w:cs="Tahoma"/>
          <w:b/>
          <w:bCs/>
          <w:sz w:val="18"/>
          <w:szCs w:val="18"/>
          <w:lang w:val="de-DE"/>
        </w:rPr>
        <w:t>Software Assurance für</w:t>
      </w:r>
      <w:r w:rsidRPr="009123CB">
        <w:rPr>
          <w:rFonts w:ascii="Tahoma" w:hAnsi="Tahoma" w:cs="Tahoma"/>
          <w:b/>
          <w:bCs/>
          <w:i/>
          <w:iCs/>
          <w:sz w:val="18"/>
          <w:szCs w:val="18"/>
          <w:lang w:val="de-DE"/>
        </w:rPr>
        <w:t xml:space="preserve"> </w:t>
      </w:r>
      <w:r w:rsidRPr="009123CB">
        <w:rPr>
          <w:rFonts w:ascii="Tahoma" w:hAnsi="Tahoma" w:cs="Tahoma"/>
          <w:b/>
          <w:bCs/>
          <w:sz w:val="18"/>
          <w:szCs w:val="18"/>
          <w:lang w:val="de-DE"/>
        </w:rPr>
        <w:t>Windows 8 Pro</w:t>
      </w:r>
      <w:r w:rsidRPr="009123CB">
        <w:rPr>
          <w:rFonts w:ascii="Tahoma" w:hAnsi="Tahoma" w:cs="Tahoma"/>
          <w:b/>
          <w:sz w:val="18"/>
          <w:szCs w:val="18"/>
          <w:u w:val="single"/>
          <w:lang w:val="de-DE"/>
        </w:rPr>
        <w:t xml:space="preserve"> </w:t>
      </w:r>
    </w:p>
    <w:p w:rsidR="00C7319A" w:rsidRPr="009123CB" w:rsidRDefault="00C7319A" w:rsidP="007E1881">
      <w:pPr>
        <w:pStyle w:val="FootnoteBulletLevel1"/>
        <w:spacing w:before="0" w:after="0"/>
        <w:ind w:left="720" w:firstLine="0"/>
        <w:rPr>
          <w:lang w:val="de-DE"/>
        </w:rPr>
      </w:pPr>
      <w:r w:rsidRPr="009123CB">
        <w:rPr>
          <w:rFonts w:ascii="Tahoma" w:hAnsi="Tahoma" w:cs="Tahoma"/>
          <w:sz w:val="18"/>
          <w:szCs w:val="18"/>
          <w:lang w:val="de-DE"/>
        </w:rPr>
        <w:t>Kunden, die Interesse an Software Assurance für Windows 8 Pro haben, stehen folgende Möglichkeiten</w:t>
      </w:r>
      <w:r w:rsidR="007E1881">
        <w:rPr>
          <w:rFonts w:ascii="Tahoma" w:hAnsi="Tahoma" w:cs="Tahoma"/>
          <w:sz w:val="18"/>
          <w:szCs w:val="18"/>
          <w:lang w:val="de-DE"/>
        </w:rPr>
        <w:t> </w:t>
      </w:r>
      <w:r w:rsidRPr="009123CB">
        <w:rPr>
          <w:rFonts w:ascii="Tahoma" w:hAnsi="Tahoma" w:cs="Tahoma"/>
          <w:sz w:val="18"/>
          <w:szCs w:val="18"/>
          <w:lang w:val="de-DE"/>
        </w:rPr>
        <w:t>offen:</w:t>
      </w:r>
    </w:p>
    <w:p w:rsidR="00C7319A" w:rsidRPr="009123CB" w:rsidRDefault="00C7319A" w:rsidP="00C7319A">
      <w:pPr>
        <w:pStyle w:val="FootnoteBulletLevel1"/>
        <w:spacing w:before="0" w:after="0"/>
        <w:ind w:left="720" w:firstLine="0"/>
        <w:rPr>
          <w:lang w:val="de-DE"/>
        </w:rPr>
      </w:pPr>
    </w:p>
    <w:p w:rsidR="00C7319A" w:rsidRPr="009123CB" w:rsidRDefault="00C7319A" w:rsidP="00C7319A">
      <w:pPr>
        <w:pStyle w:val="FootnoteBulletLevel1"/>
        <w:numPr>
          <w:ilvl w:val="0"/>
          <w:numId w:val="29"/>
        </w:numPr>
        <w:adjustRightInd/>
        <w:spacing w:before="0" w:after="60"/>
        <w:textAlignment w:val="auto"/>
        <w:rPr>
          <w:lang w:val="de-DE"/>
        </w:rPr>
      </w:pPr>
      <w:r w:rsidRPr="009123CB">
        <w:rPr>
          <w:rFonts w:ascii="Tahoma" w:hAnsi="Tahoma" w:cs="Tahoma"/>
          <w:sz w:val="18"/>
          <w:szCs w:val="18"/>
          <w:lang w:val="de-DE"/>
        </w:rPr>
        <w:t>Select</w:t>
      </w:r>
      <w:r w:rsidR="006257A7">
        <w:rPr>
          <w:rFonts w:ascii="Tahoma" w:hAnsi="Tahoma" w:cs="Tahoma"/>
          <w:sz w:val="18"/>
          <w:szCs w:val="18"/>
          <w:lang w:val="de-DE"/>
        </w:rPr>
        <w:t xml:space="preserve">. </w:t>
      </w:r>
      <w:r w:rsidRPr="009123CB">
        <w:rPr>
          <w:rFonts w:ascii="Tahoma" w:hAnsi="Tahoma" w:cs="Tahoma"/>
          <w:sz w:val="18"/>
          <w:szCs w:val="18"/>
          <w:lang w:val="de-DE"/>
        </w:rPr>
        <w:t xml:space="preserve">Open Value- (nicht unternehmensweit) und Open-Lizenzprogramm </w:t>
      </w:r>
    </w:p>
    <w:p w:rsidR="00C7319A" w:rsidRPr="0062435A" w:rsidRDefault="00C7319A" w:rsidP="00C7319A">
      <w:pPr>
        <w:numPr>
          <w:ilvl w:val="0"/>
          <w:numId w:val="30"/>
        </w:numPr>
        <w:spacing w:after="60"/>
        <w:ind w:left="1800"/>
      </w:pPr>
      <w:r w:rsidRPr="009123CB">
        <w:rPr>
          <w:rFonts w:cs="Tahoma"/>
          <w:szCs w:val="18"/>
          <w:bdr w:val="none" w:sz="0" w:space="0" w:color="auto" w:frame="1"/>
          <w:lang w:val="de-DE"/>
        </w:rPr>
        <w:t>Sie können Software Assurance für über OEM, Einzelhändler oder Get Genuine Windows-Vertrag (GGWA) (in manchen Ländern auch unter dem Namen „Get Genuine Solution“ bekannt) lizenziertes Windows 8 Pro oder Windows 7 Professional (32-Bit oder 64-Bit; N-, K- oder KN-Edition) innerhalb von 90 Tagen nach dem Kaufdatum der OEM-, Einzelhändler- oder GGWA-Lizenz erwerben</w:t>
      </w:r>
      <w:r w:rsidR="006257A7">
        <w:rPr>
          <w:rFonts w:cs="Tahoma"/>
          <w:szCs w:val="18"/>
          <w:bdr w:val="none" w:sz="0" w:space="0" w:color="auto" w:frame="1"/>
          <w:lang w:val="de-DE"/>
        </w:rPr>
        <w:t xml:space="preserve">. </w:t>
      </w:r>
      <w:r>
        <w:rPr>
          <w:rFonts w:cs="Tahoma"/>
          <w:szCs w:val="18"/>
          <w:bdr w:val="none" w:sz="0" w:space="0" w:color="auto" w:frame="1"/>
        </w:rPr>
        <w:t>(Gültig ab dem 1</w:t>
      </w:r>
      <w:r w:rsidR="006257A7">
        <w:rPr>
          <w:rFonts w:cs="Tahoma"/>
          <w:szCs w:val="18"/>
          <w:bdr w:val="none" w:sz="0" w:space="0" w:color="auto" w:frame="1"/>
        </w:rPr>
        <w:t xml:space="preserve">. </w:t>
      </w:r>
      <w:r>
        <w:rPr>
          <w:rFonts w:cs="Tahoma"/>
          <w:szCs w:val="18"/>
          <w:bdr w:val="none" w:sz="0" w:space="0" w:color="auto" w:frame="1"/>
        </w:rPr>
        <w:t>September 2009)</w:t>
      </w:r>
    </w:p>
    <w:p w:rsidR="00C7319A" w:rsidRPr="007E1881" w:rsidRDefault="00C7319A" w:rsidP="00C7319A">
      <w:pPr>
        <w:pStyle w:val="Footnotedash"/>
        <w:numPr>
          <w:ilvl w:val="0"/>
          <w:numId w:val="30"/>
        </w:numPr>
        <w:adjustRightInd/>
        <w:spacing w:before="0"/>
        <w:ind w:left="1800"/>
        <w:textAlignment w:val="auto"/>
        <w:rPr>
          <w:lang w:val="de-DE"/>
        </w:rPr>
      </w:pPr>
      <w:r w:rsidRPr="009123CB">
        <w:rPr>
          <w:rFonts w:ascii="Tahoma" w:hAnsi="Tahoma" w:cs="Tahoma"/>
          <w:sz w:val="18"/>
          <w:szCs w:val="18"/>
          <w:lang w:val="de-DE"/>
        </w:rPr>
        <w:t>Sie können Software Assurance für das Desktop-Betriebssystem nach Ablauf der Software Assurance für Windows 8 Pro oder Windows 7 verlängern</w:t>
      </w:r>
      <w:r w:rsidR="006257A7">
        <w:rPr>
          <w:rFonts w:ascii="Tahoma" w:hAnsi="Tahoma" w:cs="Tahoma"/>
          <w:sz w:val="18"/>
          <w:szCs w:val="18"/>
          <w:lang w:val="de-DE"/>
        </w:rPr>
        <w:t xml:space="preserve">. </w:t>
      </w:r>
    </w:p>
    <w:p w:rsidR="007E1881" w:rsidRPr="009123CB" w:rsidRDefault="007E1881" w:rsidP="007E1881">
      <w:pPr>
        <w:pStyle w:val="Footnotedash"/>
        <w:tabs>
          <w:tab w:val="clear" w:pos="1620"/>
        </w:tabs>
        <w:adjustRightInd/>
        <w:spacing w:before="0"/>
        <w:textAlignment w:val="auto"/>
        <w:rPr>
          <w:lang w:val="de-DE"/>
        </w:rPr>
      </w:pPr>
    </w:p>
    <w:p w:rsidR="00C7319A" w:rsidRPr="007E1881" w:rsidRDefault="00C7319A" w:rsidP="00C7319A">
      <w:pPr>
        <w:pStyle w:val="Footnotedash"/>
        <w:spacing w:before="0" w:after="0"/>
        <w:ind w:left="720" w:firstLine="0"/>
        <w:rPr>
          <w:lang w:val="de-DE"/>
        </w:rPr>
      </w:pPr>
      <w:r w:rsidRPr="009123CB">
        <w:rPr>
          <w:rFonts w:ascii="Tahoma" w:hAnsi="Tahoma" w:cs="Tahoma"/>
          <w:sz w:val="18"/>
          <w:szCs w:val="18"/>
          <w:lang w:val="de-DE"/>
        </w:rPr>
        <w:t>Die oben genannte Frist kann zu Werbezwecken für einen begrenzten Zeitraum verlängert werden</w:t>
      </w:r>
      <w:r w:rsidR="006257A7">
        <w:rPr>
          <w:rFonts w:ascii="Tahoma" w:hAnsi="Tahoma" w:cs="Tahoma"/>
          <w:sz w:val="18"/>
          <w:szCs w:val="18"/>
          <w:lang w:val="de-DE"/>
        </w:rPr>
        <w:t xml:space="preserve">. </w:t>
      </w:r>
      <w:r w:rsidRPr="007E1881">
        <w:rPr>
          <w:rFonts w:ascii="Tahoma" w:hAnsi="Tahoma" w:cs="Tahoma"/>
          <w:sz w:val="18"/>
          <w:szCs w:val="18"/>
          <w:lang w:val="de-DE"/>
        </w:rPr>
        <w:t xml:space="preserve">Weitere Informationen finden Sie in </w:t>
      </w:r>
      <w:hyperlink w:anchor="_SECTION_3_–" w:history="1">
        <w:r w:rsidRPr="007E1881">
          <w:rPr>
            <w:rStyle w:val="Hyperlink"/>
            <w:rFonts w:ascii="Tahoma" w:hAnsi="Tahoma" w:cs="Tahoma"/>
            <w:color w:val="auto"/>
            <w:sz w:val="18"/>
            <w:szCs w:val="18"/>
            <w:u w:val="none"/>
            <w:lang w:val="de-DE"/>
          </w:rPr>
          <w:t>Abschnitt 3</w:t>
        </w:r>
      </w:hyperlink>
      <w:r w:rsidR="006257A7">
        <w:rPr>
          <w:rFonts w:ascii="Tahoma" w:hAnsi="Tahoma" w:cs="Tahoma"/>
          <w:sz w:val="18"/>
          <w:szCs w:val="18"/>
          <w:lang w:val="de-DE"/>
        </w:rPr>
        <w:t xml:space="preserve">. </w:t>
      </w:r>
    </w:p>
    <w:p w:rsidR="00C7319A" w:rsidRPr="007E1881" w:rsidRDefault="00C7319A" w:rsidP="00C7319A">
      <w:pPr>
        <w:pStyle w:val="Footnotedash"/>
        <w:spacing w:before="0" w:after="0"/>
        <w:ind w:left="720" w:firstLine="0"/>
        <w:rPr>
          <w:lang w:val="de-DE"/>
        </w:rPr>
      </w:pPr>
    </w:p>
    <w:p w:rsidR="00C7319A" w:rsidRPr="009123CB" w:rsidRDefault="00C7319A" w:rsidP="00C7319A">
      <w:pPr>
        <w:pStyle w:val="FootnoteBulletLevel2"/>
        <w:numPr>
          <w:ilvl w:val="0"/>
          <w:numId w:val="25"/>
        </w:numPr>
        <w:adjustRightInd/>
        <w:spacing w:before="0"/>
        <w:ind w:left="1440"/>
        <w:textAlignment w:val="auto"/>
        <w:rPr>
          <w:lang w:val="de-DE"/>
        </w:rPr>
      </w:pPr>
      <w:r w:rsidRPr="009123CB">
        <w:rPr>
          <w:rFonts w:ascii="Tahoma" w:hAnsi="Tahoma" w:cs="Tahoma"/>
          <w:sz w:val="18"/>
          <w:szCs w:val="18"/>
          <w:lang w:val="de-DE"/>
        </w:rPr>
        <w:t>Konzernbeitritte: Nach Ablauf eines bestehenden Konzernbeitritts für das Windows Desktop-Betriebssystem können die Kunden diesen durch einen neuen Konzernbeitritt für das Windows Desktop-Betriebssystem verlängern</w:t>
      </w:r>
      <w:r w:rsidR="006257A7">
        <w:rPr>
          <w:rFonts w:ascii="Tahoma" w:hAnsi="Tahoma" w:cs="Tahoma"/>
          <w:sz w:val="18"/>
          <w:szCs w:val="18"/>
          <w:lang w:val="de-DE"/>
        </w:rPr>
        <w:t xml:space="preserve">. </w:t>
      </w:r>
    </w:p>
    <w:p w:rsidR="00C7319A" w:rsidRPr="009123CB" w:rsidRDefault="00C7319A" w:rsidP="00C7319A">
      <w:pPr>
        <w:pStyle w:val="FootnoteBulletLevel2"/>
        <w:tabs>
          <w:tab w:val="clear" w:pos="1260"/>
        </w:tabs>
        <w:adjustRightInd/>
        <w:spacing w:before="0"/>
        <w:ind w:left="0" w:firstLine="0"/>
        <w:textAlignment w:val="auto"/>
        <w:rPr>
          <w:lang w:val="de-DE"/>
        </w:rPr>
      </w:pPr>
    </w:p>
    <w:p w:rsidR="00C7319A" w:rsidRPr="009123CB" w:rsidRDefault="00C7319A" w:rsidP="00C7319A">
      <w:pPr>
        <w:pStyle w:val="FootnoteBulletLevel1"/>
        <w:tabs>
          <w:tab w:val="clear" w:pos="900"/>
        </w:tabs>
        <w:adjustRightInd/>
        <w:spacing w:before="0" w:after="60"/>
        <w:ind w:left="720" w:firstLine="0"/>
        <w:textAlignment w:val="auto"/>
        <w:rPr>
          <w:lang w:val="de-DE"/>
        </w:rPr>
      </w:pPr>
      <w:r w:rsidRPr="009123CB">
        <w:rPr>
          <w:rFonts w:ascii="Tahoma" w:hAnsi="Tahoma" w:cs="Tahoma"/>
          <w:b/>
          <w:bCs/>
          <w:sz w:val="18"/>
          <w:szCs w:val="18"/>
          <w:lang w:val="de-DE"/>
        </w:rPr>
        <w:t>Upgrade und Software Assurance für Windows 8 Pro</w:t>
      </w:r>
    </w:p>
    <w:p w:rsidR="00C7319A" w:rsidRPr="009123CB" w:rsidRDefault="00C7319A" w:rsidP="00C7319A">
      <w:pPr>
        <w:pStyle w:val="FootnoteBulletLevel1"/>
        <w:spacing w:before="0" w:after="0"/>
        <w:ind w:left="720" w:firstLine="0"/>
        <w:rPr>
          <w:lang w:val="de-DE"/>
        </w:rPr>
      </w:pPr>
      <w:r w:rsidRPr="009123CB">
        <w:rPr>
          <w:rFonts w:ascii="Tahoma" w:hAnsi="Tahoma" w:cs="Tahoma"/>
          <w:sz w:val="18"/>
          <w:szCs w:val="18"/>
          <w:u w:val="single"/>
          <w:lang w:val="de-DE"/>
        </w:rPr>
        <w:t>Betriebssystem-Upgrade-Lizenz</w:t>
      </w:r>
    </w:p>
    <w:p w:rsidR="00C7319A" w:rsidRPr="009123CB" w:rsidRDefault="00C7319A" w:rsidP="00C7319A">
      <w:pPr>
        <w:pStyle w:val="FootnoteBulletLevel2"/>
        <w:tabs>
          <w:tab w:val="clear" w:pos="1260"/>
        </w:tabs>
        <w:adjustRightInd/>
        <w:spacing w:before="0"/>
        <w:ind w:left="720" w:firstLine="0"/>
        <w:textAlignment w:val="auto"/>
        <w:rPr>
          <w:lang w:val="de-DE"/>
        </w:rPr>
      </w:pPr>
      <w:r w:rsidRPr="009123CB">
        <w:rPr>
          <w:rFonts w:ascii="Tahoma" w:hAnsi="Tahoma" w:cs="Tahoma"/>
          <w:sz w:val="18"/>
          <w:szCs w:val="18"/>
          <w:lang w:val="de-DE"/>
        </w:rPr>
        <w:t>Die unter diesen Programmen gewährten Desktop-Betriebssystemlizenzen sind ausschließlich Upgrade-Lizenzen</w:t>
      </w:r>
      <w:r w:rsidR="006257A7">
        <w:rPr>
          <w:rFonts w:ascii="Tahoma" w:hAnsi="Tahoma" w:cs="Tahoma"/>
          <w:sz w:val="18"/>
          <w:szCs w:val="18"/>
          <w:lang w:val="de-DE"/>
        </w:rPr>
        <w:t xml:space="preserve">. </w:t>
      </w:r>
      <w:r w:rsidRPr="009123CB">
        <w:rPr>
          <w:rFonts w:ascii="Tahoma" w:hAnsi="Tahoma" w:cs="Tahoma"/>
          <w:sz w:val="18"/>
          <w:szCs w:val="18"/>
          <w:lang w:val="de-DE"/>
        </w:rPr>
        <w:t>Es sind keine Lizenzen für Vollversionen von Desktop-Betriebssystemen im Rahmen dieser Programme erhältlich</w:t>
      </w:r>
      <w:r w:rsidR="006257A7">
        <w:rPr>
          <w:rFonts w:ascii="Tahoma" w:hAnsi="Tahoma" w:cs="Tahoma"/>
          <w:sz w:val="18"/>
          <w:szCs w:val="18"/>
          <w:lang w:val="de-DE"/>
        </w:rPr>
        <w:t xml:space="preserve">. </w:t>
      </w:r>
      <w:r w:rsidRPr="009123CB">
        <w:rPr>
          <w:rFonts w:ascii="Tahoma" w:hAnsi="Tahoma" w:cs="Tahoma"/>
          <w:sz w:val="18"/>
          <w:szCs w:val="18"/>
          <w:lang w:val="de-DE"/>
        </w:rPr>
        <w:t>Daher muss der Kunde eines der in der Tabelle oben genannten anwendbaren, qualifizierenden Betriebssysteme lizenziert und auf jedem Desktop, für den er das Windows 8 Pro-Upgrade erwirbt und auf dem er es ausführt, installiert haben</w:t>
      </w:r>
      <w:r w:rsidR="006257A7">
        <w:rPr>
          <w:rFonts w:ascii="Tahoma" w:hAnsi="Tahoma" w:cs="Tahoma"/>
          <w:sz w:val="18"/>
          <w:szCs w:val="18"/>
          <w:lang w:val="de-DE"/>
        </w:rPr>
        <w:t xml:space="preserve">. </w:t>
      </w:r>
    </w:p>
    <w:p w:rsidR="00C7319A" w:rsidRDefault="00C7319A" w:rsidP="00C7319A">
      <w:pPr>
        <w:pStyle w:val="FootnoteBulletLevel2"/>
        <w:tabs>
          <w:tab w:val="clear" w:pos="1260"/>
        </w:tabs>
        <w:adjustRightInd/>
        <w:spacing w:before="0"/>
        <w:ind w:left="720" w:firstLine="0"/>
        <w:textAlignment w:val="auto"/>
        <w:rPr>
          <w:lang w:val="de-DE"/>
        </w:rPr>
      </w:pPr>
    </w:p>
    <w:p w:rsidR="007E1881" w:rsidRDefault="007E1881" w:rsidP="00C7319A">
      <w:pPr>
        <w:pStyle w:val="FootnoteBulletLevel2"/>
        <w:tabs>
          <w:tab w:val="clear" w:pos="1260"/>
        </w:tabs>
        <w:adjustRightInd/>
        <w:spacing w:before="0"/>
        <w:ind w:left="720" w:firstLine="0"/>
        <w:textAlignment w:val="auto"/>
        <w:rPr>
          <w:lang w:val="de-DE"/>
        </w:rPr>
      </w:pPr>
    </w:p>
    <w:p w:rsidR="007E1881" w:rsidRDefault="007E1881" w:rsidP="00C7319A">
      <w:pPr>
        <w:pStyle w:val="FootnoteBulletLevel2"/>
        <w:tabs>
          <w:tab w:val="clear" w:pos="1260"/>
        </w:tabs>
        <w:adjustRightInd/>
        <w:spacing w:before="0"/>
        <w:ind w:left="720" w:firstLine="0"/>
        <w:textAlignment w:val="auto"/>
        <w:rPr>
          <w:lang w:val="de-DE"/>
        </w:rPr>
      </w:pPr>
    </w:p>
    <w:p w:rsidR="00F81961" w:rsidRDefault="00F81961" w:rsidP="00C7319A">
      <w:pPr>
        <w:pStyle w:val="FootnoteBulletLevel2"/>
        <w:tabs>
          <w:tab w:val="clear" w:pos="1260"/>
        </w:tabs>
        <w:adjustRightInd/>
        <w:spacing w:before="0"/>
        <w:ind w:left="720" w:firstLine="0"/>
        <w:textAlignment w:val="auto"/>
        <w:rPr>
          <w:lang w:val="de-DE"/>
        </w:rPr>
      </w:pPr>
    </w:p>
    <w:p w:rsidR="00C7319A" w:rsidRPr="009123CB" w:rsidRDefault="00C7319A" w:rsidP="00C7319A">
      <w:pPr>
        <w:pStyle w:val="FootnoteBulletLevel2"/>
        <w:tabs>
          <w:tab w:val="clear" w:pos="1260"/>
        </w:tabs>
        <w:adjustRightInd/>
        <w:spacing w:before="0"/>
        <w:ind w:left="720" w:firstLine="0"/>
        <w:textAlignment w:val="auto"/>
        <w:rPr>
          <w:lang w:val="de-DE"/>
        </w:rPr>
      </w:pPr>
      <w:r w:rsidRPr="009123CB">
        <w:rPr>
          <w:rFonts w:ascii="Tahoma" w:hAnsi="Tahoma" w:cs="Tahoma"/>
          <w:sz w:val="18"/>
          <w:szCs w:val="18"/>
          <w:lang w:val="de-DE"/>
        </w:rPr>
        <w:t>Kunden, die Interesse an einem Upgrade und Software Assurance für Windows 8 Pro haben, stehen folgende Möglichkeiten offen:</w:t>
      </w:r>
    </w:p>
    <w:p w:rsidR="00C7319A" w:rsidRPr="009123CB" w:rsidRDefault="00C7319A" w:rsidP="00C7319A">
      <w:pPr>
        <w:pStyle w:val="FootnoteBulletLevel2"/>
        <w:tabs>
          <w:tab w:val="clear" w:pos="1260"/>
        </w:tabs>
        <w:adjustRightInd/>
        <w:spacing w:before="0"/>
        <w:ind w:left="720" w:firstLine="0"/>
        <w:textAlignment w:val="auto"/>
        <w:rPr>
          <w:lang w:val="de-DE"/>
        </w:rPr>
      </w:pPr>
    </w:p>
    <w:p w:rsidR="00C7319A" w:rsidRPr="009123CB" w:rsidRDefault="00C7319A" w:rsidP="00C7319A">
      <w:pPr>
        <w:pStyle w:val="FootnoteBulletLevel2"/>
        <w:numPr>
          <w:ilvl w:val="0"/>
          <w:numId w:val="25"/>
        </w:numPr>
        <w:adjustRightInd/>
        <w:spacing w:before="0" w:after="60"/>
        <w:ind w:left="1440"/>
        <w:textAlignment w:val="auto"/>
        <w:rPr>
          <w:lang w:val="de-DE"/>
        </w:rPr>
      </w:pPr>
      <w:r w:rsidRPr="009123CB">
        <w:rPr>
          <w:rFonts w:ascii="Tahoma" w:hAnsi="Tahoma" w:cs="Tahoma"/>
          <w:sz w:val="18"/>
          <w:szCs w:val="18"/>
          <w:lang w:val="de-DE"/>
        </w:rPr>
        <w:t>Select-, Open Value- (nicht unternehmensweit) und Open-Lizenzprogramm:</w:t>
      </w:r>
    </w:p>
    <w:p w:rsidR="00C7319A" w:rsidRPr="009123CB" w:rsidRDefault="00C7319A" w:rsidP="00C7319A">
      <w:pPr>
        <w:pStyle w:val="Footnotedash"/>
        <w:numPr>
          <w:ilvl w:val="1"/>
          <w:numId w:val="31"/>
        </w:numPr>
        <w:spacing w:before="0"/>
        <w:ind w:left="1800"/>
        <w:rPr>
          <w:lang w:val="de-DE"/>
        </w:rPr>
      </w:pPr>
      <w:r w:rsidRPr="009123CB">
        <w:rPr>
          <w:rFonts w:ascii="Tahoma" w:eastAsia="Calibri" w:hAnsi="Tahoma" w:cs="Tahoma"/>
          <w:color w:val="000000"/>
          <w:sz w:val="18"/>
          <w:szCs w:val="18"/>
          <w:lang w:val="de-DE"/>
        </w:rPr>
        <w:t>Kunden können Upgrade und Software Assurance für Windows 8 Pro für Desktops erwerben, auf denen der Kunde eines der in der Windows-Upgrade-Tabelle genannten qualifizierenden Betriebssysteme lizenziert und installiert hat</w:t>
      </w:r>
      <w:r w:rsidR="006257A7">
        <w:rPr>
          <w:rFonts w:ascii="Tahoma" w:eastAsia="Calibri" w:hAnsi="Tahoma" w:cs="Tahoma"/>
          <w:color w:val="000000"/>
          <w:sz w:val="18"/>
          <w:szCs w:val="18"/>
          <w:lang w:val="de-DE"/>
        </w:rPr>
        <w:t xml:space="preserve">. </w:t>
      </w:r>
    </w:p>
    <w:p w:rsidR="00C7319A" w:rsidRPr="009123CB" w:rsidRDefault="00C7319A" w:rsidP="0095262C">
      <w:pPr>
        <w:pStyle w:val="Footnotedash"/>
        <w:numPr>
          <w:ilvl w:val="2"/>
          <w:numId w:val="85"/>
        </w:numPr>
        <w:spacing w:before="0"/>
        <w:ind w:left="1800"/>
        <w:rPr>
          <w:lang w:val="de-DE"/>
        </w:rPr>
      </w:pPr>
      <w:r w:rsidRPr="009123CB">
        <w:rPr>
          <w:rFonts w:ascii="Tahoma" w:eastAsia="Calibri" w:hAnsi="Tahoma" w:cs="Tahoma"/>
          <w:color w:val="000000"/>
          <w:sz w:val="18"/>
          <w:szCs w:val="18"/>
          <w:lang w:val="de-DE"/>
        </w:rPr>
        <w:t>Der Kunde ist berechtigt, Software Assurance für Desktop-Betriebssystem-Upgrades vom ursprünglichen Desktop einem Ersatzdesktop neu zuzuweisen, jedoch nicht kurzzeitig (d</w:t>
      </w:r>
      <w:r w:rsidR="006257A7">
        <w:rPr>
          <w:rFonts w:ascii="Tahoma" w:eastAsia="Calibri" w:hAnsi="Tahoma" w:cs="Tahoma"/>
          <w:color w:val="000000"/>
          <w:sz w:val="18"/>
          <w:szCs w:val="18"/>
          <w:lang w:val="de-DE"/>
        </w:rPr>
        <w:t xml:space="preserve">. </w:t>
      </w:r>
      <w:r w:rsidRPr="009123CB">
        <w:rPr>
          <w:rFonts w:ascii="Tahoma" w:eastAsia="Calibri" w:hAnsi="Tahoma" w:cs="Tahoma"/>
          <w:color w:val="000000"/>
          <w:sz w:val="18"/>
          <w:szCs w:val="18"/>
          <w:lang w:val="de-DE"/>
        </w:rPr>
        <w:t>h</w:t>
      </w:r>
      <w:r w:rsidR="006257A7">
        <w:rPr>
          <w:rFonts w:ascii="Tahoma" w:eastAsia="Calibri" w:hAnsi="Tahoma" w:cs="Tahoma"/>
          <w:color w:val="000000"/>
          <w:sz w:val="18"/>
          <w:szCs w:val="18"/>
          <w:lang w:val="de-DE"/>
        </w:rPr>
        <w:t xml:space="preserve">. </w:t>
      </w:r>
      <w:r w:rsidRPr="009123CB">
        <w:rPr>
          <w:rFonts w:ascii="Tahoma" w:eastAsia="Calibri" w:hAnsi="Tahoma" w:cs="Tahoma"/>
          <w:color w:val="000000"/>
          <w:sz w:val="18"/>
          <w:szCs w:val="18"/>
          <w:lang w:val="de-DE"/>
        </w:rPr>
        <w:t>nicht innerhalb von 90 Tagen nach der letzten Zuweisung), solange (1) der Kunde die</w:t>
      </w:r>
      <w:r w:rsidR="0095262C">
        <w:rPr>
          <w:rFonts w:ascii="Tahoma" w:eastAsia="Calibri" w:hAnsi="Tahoma" w:cs="Tahoma"/>
          <w:color w:val="000000"/>
          <w:sz w:val="18"/>
          <w:szCs w:val="18"/>
          <w:lang w:val="de-DE"/>
        </w:rPr>
        <w:t> </w:t>
      </w:r>
      <w:r w:rsidRPr="009123CB">
        <w:rPr>
          <w:rFonts w:ascii="Tahoma" w:eastAsia="Calibri" w:hAnsi="Tahoma" w:cs="Tahoma"/>
          <w:color w:val="000000"/>
          <w:sz w:val="18"/>
          <w:szCs w:val="18"/>
          <w:lang w:val="de-DE"/>
        </w:rPr>
        <w:t>neueste Version dieses Betriebssystems lizenziert und auf dem Ersatzdesktop installiert hat</w:t>
      </w:r>
      <w:r w:rsidR="0095262C">
        <w:rPr>
          <w:rFonts w:ascii="Tahoma" w:eastAsia="Calibri" w:hAnsi="Tahoma" w:cs="Tahoma"/>
          <w:color w:val="000000"/>
          <w:sz w:val="18"/>
          <w:szCs w:val="18"/>
          <w:lang w:val="de-DE"/>
        </w:rPr>
        <w:t> </w:t>
      </w:r>
      <w:r w:rsidRPr="009123CB">
        <w:rPr>
          <w:rFonts w:ascii="Tahoma" w:eastAsia="Calibri" w:hAnsi="Tahoma" w:cs="Tahoma"/>
          <w:color w:val="000000"/>
          <w:sz w:val="18"/>
          <w:szCs w:val="18"/>
          <w:lang w:val="de-DE"/>
        </w:rPr>
        <w:t>und (2) der Kunde von dem ursprünglichen Desktop alle zugehörigen Desktop-Betriebssystem-Upgrades entfernt</w:t>
      </w:r>
      <w:r w:rsidR="006257A7">
        <w:rPr>
          <w:rFonts w:ascii="Tahoma" w:eastAsia="Calibri" w:hAnsi="Tahoma" w:cs="Tahoma"/>
          <w:color w:val="000000"/>
          <w:sz w:val="18"/>
          <w:szCs w:val="18"/>
          <w:lang w:val="de-DE"/>
        </w:rPr>
        <w:t xml:space="preserve">. </w:t>
      </w:r>
    </w:p>
    <w:p w:rsidR="00C7319A" w:rsidRPr="009123CB" w:rsidRDefault="00C7319A" w:rsidP="00C7319A">
      <w:pPr>
        <w:pStyle w:val="FootnoteBulletLevel2"/>
        <w:numPr>
          <w:ilvl w:val="0"/>
          <w:numId w:val="25"/>
        </w:numPr>
        <w:adjustRightInd/>
        <w:spacing w:before="0" w:after="60"/>
        <w:ind w:left="1440"/>
        <w:textAlignment w:val="auto"/>
        <w:rPr>
          <w:lang w:val="de-DE"/>
        </w:rPr>
      </w:pPr>
      <w:r w:rsidRPr="009123CB">
        <w:rPr>
          <w:rFonts w:ascii="Tahoma" w:hAnsi="Tahoma" w:cs="Tahoma"/>
          <w:sz w:val="18"/>
          <w:szCs w:val="18"/>
          <w:lang w:val="de-DE"/>
        </w:rPr>
        <w:t>Konzernbeitritte und unternehmensweite Open Value-Verträge (zeitlich unbeschränkt und Abonnement):</w:t>
      </w:r>
    </w:p>
    <w:p w:rsidR="00C7319A" w:rsidRPr="009123CB" w:rsidRDefault="00C7319A" w:rsidP="00C7319A">
      <w:pPr>
        <w:pStyle w:val="Footnotedash"/>
        <w:numPr>
          <w:ilvl w:val="1"/>
          <w:numId w:val="31"/>
        </w:numPr>
        <w:spacing w:before="0"/>
        <w:ind w:left="1800"/>
        <w:rPr>
          <w:lang w:val="de-DE"/>
        </w:rPr>
      </w:pPr>
      <w:r w:rsidRPr="009123CB">
        <w:rPr>
          <w:rFonts w:ascii="Tahoma" w:eastAsia="Calibri" w:hAnsi="Tahoma" w:cs="Tahoma"/>
          <w:color w:val="000000"/>
          <w:sz w:val="18"/>
          <w:szCs w:val="18"/>
          <w:lang w:val="de-DE"/>
        </w:rPr>
        <w:t xml:space="preserve">Erste Konzernbeitritte oder Open Value-Verträge (installierte Basis): </w:t>
      </w:r>
    </w:p>
    <w:p w:rsidR="00C7319A" w:rsidRPr="009123CB" w:rsidRDefault="00C7319A" w:rsidP="00C7319A">
      <w:pPr>
        <w:pStyle w:val="Footnotedash"/>
        <w:numPr>
          <w:ilvl w:val="1"/>
          <w:numId w:val="31"/>
        </w:numPr>
        <w:spacing w:before="0"/>
        <w:ind w:left="1800"/>
        <w:rPr>
          <w:lang w:val="de-DE"/>
        </w:rPr>
      </w:pPr>
      <w:r w:rsidRPr="009123CB">
        <w:rPr>
          <w:rFonts w:ascii="Tahoma" w:eastAsia="Calibri" w:hAnsi="Tahoma" w:cs="Tahoma"/>
          <w:color w:val="000000"/>
          <w:sz w:val="18"/>
          <w:szCs w:val="18"/>
          <w:lang w:val="de-DE"/>
        </w:rPr>
        <w:t>Kunden können Windows 8 Pro-Upgrade und Software Assurance für alle qualifizierten Desktops der installierten Basis erwerben</w:t>
      </w:r>
      <w:r w:rsidR="006257A7">
        <w:rPr>
          <w:rFonts w:ascii="Tahoma" w:eastAsia="Calibri" w:hAnsi="Tahoma" w:cs="Tahoma"/>
          <w:color w:val="000000"/>
          <w:sz w:val="18"/>
          <w:szCs w:val="18"/>
          <w:lang w:val="de-DE"/>
        </w:rPr>
        <w:t xml:space="preserve">. </w:t>
      </w:r>
      <w:r w:rsidRPr="009123CB">
        <w:rPr>
          <w:rFonts w:ascii="Tahoma" w:eastAsia="Calibri" w:hAnsi="Tahoma" w:cs="Tahoma"/>
          <w:color w:val="000000"/>
          <w:sz w:val="18"/>
          <w:szCs w:val="18"/>
          <w:lang w:val="de-DE"/>
        </w:rPr>
        <w:t>Alle qualifizierten Desktops des Kunden und der verbundenen Unternehmen des Kunden zum Wirksamkeitsdatum des Beitritts oder Vertrages bilden die „installierte Basis“</w:t>
      </w:r>
      <w:r w:rsidR="006257A7">
        <w:rPr>
          <w:rFonts w:ascii="Tahoma" w:eastAsia="Calibri" w:hAnsi="Tahoma" w:cs="Tahoma"/>
          <w:color w:val="000000"/>
          <w:sz w:val="18"/>
          <w:szCs w:val="18"/>
          <w:lang w:val="de-DE"/>
        </w:rPr>
        <w:t xml:space="preserve">. </w:t>
      </w:r>
      <w:r w:rsidRPr="009123CB">
        <w:rPr>
          <w:rFonts w:ascii="Tahoma" w:eastAsia="Calibri" w:hAnsi="Tahoma" w:cs="Tahoma"/>
          <w:color w:val="000000"/>
          <w:sz w:val="18"/>
          <w:szCs w:val="18"/>
          <w:lang w:val="de-DE"/>
        </w:rPr>
        <w:t>Der Kunde muss für alle qualifizierten Desktops der installierten Basis, auf denen das Windows-Betriebssystem ausgeführt werden soll, eines der in der Windows-Upgrade-Tabelle in der Spalte „EA/OV-CW (neu)“ genannten qualifizierenden Betriebssysteme lizenziert und auf diesen installiert haben</w:t>
      </w:r>
      <w:r w:rsidR="006257A7">
        <w:rPr>
          <w:rFonts w:ascii="Tahoma" w:eastAsia="Calibri" w:hAnsi="Tahoma" w:cs="Tahoma"/>
          <w:color w:val="000000"/>
          <w:sz w:val="18"/>
          <w:szCs w:val="18"/>
          <w:lang w:val="de-DE"/>
        </w:rPr>
        <w:t xml:space="preserve">. </w:t>
      </w:r>
    </w:p>
    <w:p w:rsidR="00C7319A" w:rsidRPr="009123CB" w:rsidRDefault="00C7319A" w:rsidP="00C7319A">
      <w:pPr>
        <w:pStyle w:val="Footnotedash"/>
        <w:numPr>
          <w:ilvl w:val="1"/>
          <w:numId w:val="31"/>
        </w:numPr>
        <w:spacing w:before="0"/>
        <w:ind w:left="1800"/>
        <w:rPr>
          <w:lang w:val="de-DE"/>
        </w:rPr>
      </w:pPr>
      <w:r w:rsidRPr="009123CB">
        <w:rPr>
          <w:rFonts w:ascii="Tahoma" w:eastAsia="Calibri" w:hAnsi="Tahoma" w:cs="Tahoma"/>
          <w:color w:val="000000"/>
          <w:sz w:val="18"/>
          <w:szCs w:val="18"/>
          <w:lang w:val="de-DE"/>
        </w:rPr>
        <w:t>Bestehende Konzernbeitritte oder Open Value-Verträge (True Up und Ersatz):</w:t>
      </w:r>
    </w:p>
    <w:p w:rsidR="00C7319A" w:rsidRPr="009123CB" w:rsidRDefault="00C7319A" w:rsidP="00C7319A">
      <w:pPr>
        <w:pStyle w:val="Footnotedash"/>
        <w:numPr>
          <w:ilvl w:val="1"/>
          <w:numId w:val="31"/>
        </w:numPr>
        <w:spacing w:before="0"/>
        <w:ind w:left="1800"/>
        <w:rPr>
          <w:lang w:val="de-DE"/>
        </w:rPr>
      </w:pPr>
      <w:r w:rsidRPr="009123CB">
        <w:rPr>
          <w:rFonts w:ascii="Tahoma" w:eastAsia="Calibri" w:hAnsi="Tahoma" w:cs="Tahoma"/>
          <w:color w:val="000000"/>
          <w:sz w:val="18"/>
          <w:szCs w:val="18"/>
          <w:lang w:val="de-DE"/>
        </w:rPr>
        <w:t>Kunden können Windows 8 Pro-Upgrades und Software Assurance für alle neuen qualifizierten Desktops oder Geräte erwerben, auf denen das Windows-Betriebssystem ausgeführt wird</w:t>
      </w:r>
      <w:r w:rsidR="006257A7">
        <w:rPr>
          <w:rFonts w:ascii="Tahoma" w:eastAsia="Calibri" w:hAnsi="Tahoma" w:cs="Tahoma"/>
          <w:color w:val="000000"/>
          <w:sz w:val="18"/>
          <w:szCs w:val="18"/>
          <w:lang w:val="de-DE"/>
        </w:rPr>
        <w:t xml:space="preserve">. </w:t>
      </w:r>
      <w:r w:rsidRPr="009123CB">
        <w:rPr>
          <w:rFonts w:ascii="Tahoma" w:eastAsia="Calibri" w:hAnsi="Tahoma" w:cs="Tahoma"/>
          <w:color w:val="000000"/>
          <w:sz w:val="18"/>
          <w:szCs w:val="18"/>
          <w:lang w:val="de-DE"/>
        </w:rPr>
        <w:t>Der Kunde muss eines der in der Windows-Upgrade-Tabelle in der Spalte „EA/OV-CW (vorhanden)“ genannten qualifizierenden Betriebssysteme lizenziert und auf all diesen qualifizierten Neu- und Ersatzdesktops oder -geräten, die von einer anderen Quelle als durch eine Unternehmensverschmelzung oder einen Unternehmenskauf erworben werden, installiert haben</w:t>
      </w:r>
      <w:r w:rsidR="006257A7">
        <w:rPr>
          <w:rFonts w:ascii="Tahoma" w:eastAsia="Calibri" w:hAnsi="Tahoma" w:cs="Tahoma"/>
          <w:color w:val="000000"/>
          <w:sz w:val="18"/>
          <w:szCs w:val="18"/>
          <w:lang w:val="de-DE"/>
        </w:rPr>
        <w:t xml:space="preserve">. </w:t>
      </w:r>
      <w:r w:rsidRPr="009123CB">
        <w:rPr>
          <w:rFonts w:ascii="Tahoma" w:eastAsia="Calibri" w:hAnsi="Tahoma" w:cs="Tahoma"/>
          <w:color w:val="000000"/>
          <w:sz w:val="18"/>
          <w:szCs w:val="18"/>
          <w:lang w:val="de-DE"/>
        </w:rPr>
        <w:t>Der Kunde muss eines der in der Windows-Upgrade-Tabelle in der Spalte „EA/OV-CW (neu)“ genannten qualifizierenden Betriebssysteme lizenziert und auf all diesen qualifizierten Neu- oder Ersatzdesktops, die durch eine Unternehmensverschmelzung oder einen Unternehmenskauf erworben werden, installiert haben</w:t>
      </w:r>
      <w:r w:rsidR="006257A7">
        <w:rPr>
          <w:rFonts w:ascii="Tahoma" w:eastAsia="Calibri" w:hAnsi="Tahoma" w:cs="Tahoma"/>
          <w:color w:val="000000"/>
          <w:sz w:val="18"/>
          <w:szCs w:val="18"/>
          <w:lang w:val="de-DE"/>
        </w:rPr>
        <w:t xml:space="preserve">. </w:t>
      </w:r>
    </w:p>
    <w:p w:rsidR="00C7319A" w:rsidRPr="009123CB" w:rsidRDefault="00C7319A" w:rsidP="00C7319A">
      <w:pPr>
        <w:pStyle w:val="FootnoteBulletLevel2"/>
        <w:numPr>
          <w:ilvl w:val="0"/>
          <w:numId w:val="25"/>
        </w:numPr>
        <w:adjustRightInd/>
        <w:spacing w:before="0" w:after="60"/>
        <w:ind w:left="1440"/>
        <w:textAlignment w:val="auto"/>
        <w:rPr>
          <w:lang w:val="de-DE"/>
        </w:rPr>
      </w:pPr>
      <w:r w:rsidRPr="009123CB">
        <w:rPr>
          <w:rFonts w:ascii="Tahoma" w:hAnsi="Tahoma" w:cs="Tahoma"/>
          <w:sz w:val="18"/>
          <w:szCs w:val="18"/>
          <w:lang w:val="de-DE"/>
        </w:rPr>
        <w:t xml:space="preserve">Kunden mit Campus- und School-Vertrag und Open Value Subscription – Bildungslösungen: </w:t>
      </w:r>
    </w:p>
    <w:p w:rsidR="00C7319A" w:rsidRPr="009123CB" w:rsidRDefault="00C7319A" w:rsidP="00C7319A">
      <w:pPr>
        <w:pStyle w:val="Footnotedash"/>
        <w:numPr>
          <w:ilvl w:val="1"/>
          <w:numId w:val="31"/>
        </w:numPr>
        <w:spacing w:before="0"/>
        <w:ind w:left="1800"/>
        <w:rPr>
          <w:lang w:val="de-DE"/>
        </w:rPr>
      </w:pPr>
      <w:r w:rsidRPr="009123CB">
        <w:rPr>
          <w:rFonts w:ascii="Tahoma" w:eastAsia="Calibri" w:hAnsi="Tahoma" w:cs="Tahoma"/>
          <w:color w:val="000000"/>
          <w:sz w:val="18"/>
          <w:szCs w:val="18"/>
          <w:lang w:val="de-DE"/>
        </w:rPr>
        <w:t>Das Windows-Betriebssystem wird nur als Upgrade lizenziert</w:t>
      </w:r>
      <w:r w:rsidR="006257A7">
        <w:rPr>
          <w:rFonts w:ascii="Tahoma" w:eastAsia="Calibri" w:hAnsi="Tahoma" w:cs="Tahoma"/>
          <w:color w:val="000000"/>
          <w:sz w:val="18"/>
          <w:szCs w:val="18"/>
          <w:lang w:val="de-DE"/>
        </w:rPr>
        <w:t xml:space="preserve">. </w:t>
      </w:r>
      <w:r w:rsidRPr="009123CB">
        <w:rPr>
          <w:rFonts w:ascii="Tahoma" w:eastAsia="Calibri" w:hAnsi="Tahoma" w:cs="Tahoma"/>
          <w:color w:val="000000"/>
          <w:sz w:val="18"/>
          <w:szCs w:val="18"/>
          <w:lang w:val="de-DE"/>
        </w:rPr>
        <w:t>Daher müssen Kunden, die das Windows-Betriebssystem ausführen möchten, zunächst ein qualifizierendes Betriebssystem lizenziert und auf ihrem Desktop installiert haben</w:t>
      </w:r>
      <w:r w:rsidR="006257A7">
        <w:rPr>
          <w:rFonts w:ascii="Tahoma" w:eastAsia="Calibri" w:hAnsi="Tahoma" w:cs="Tahoma"/>
          <w:color w:val="000000"/>
          <w:sz w:val="18"/>
          <w:szCs w:val="18"/>
          <w:lang w:val="de-DE"/>
        </w:rPr>
        <w:t xml:space="preserve">. </w:t>
      </w:r>
      <w:r w:rsidRPr="009123CB">
        <w:rPr>
          <w:rFonts w:ascii="Tahoma" w:eastAsia="Calibri" w:hAnsi="Tahoma" w:cs="Tahoma"/>
          <w:color w:val="000000"/>
          <w:sz w:val="18"/>
          <w:szCs w:val="18"/>
          <w:lang w:val="de-DE"/>
        </w:rPr>
        <w:t>Hierbei handelt es sich um die in der Windows-Upgrade-Tabelle in der Spalte „Forschung &amp; Lehre“ genannten qualifizierenden Betriebssysteme</w:t>
      </w:r>
      <w:r w:rsidR="006257A7">
        <w:rPr>
          <w:rFonts w:ascii="Tahoma" w:eastAsia="Calibri" w:hAnsi="Tahoma" w:cs="Tahoma"/>
          <w:color w:val="000000"/>
          <w:sz w:val="18"/>
          <w:szCs w:val="18"/>
          <w:lang w:val="de-DE"/>
        </w:rPr>
        <w:t xml:space="preserve">. </w:t>
      </w:r>
    </w:p>
    <w:p w:rsidR="00C7319A" w:rsidRPr="009123CB" w:rsidRDefault="00C7319A" w:rsidP="0095262C">
      <w:pPr>
        <w:pStyle w:val="Footnotedash"/>
        <w:numPr>
          <w:ilvl w:val="1"/>
          <w:numId w:val="31"/>
        </w:numPr>
        <w:spacing w:before="0" w:after="0"/>
        <w:ind w:left="1800"/>
        <w:rPr>
          <w:lang w:val="de-DE"/>
        </w:rPr>
      </w:pPr>
      <w:r w:rsidRPr="009123CB">
        <w:rPr>
          <w:rFonts w:ascii="Tahoma" w:eastAsia="Calibri" w:hAnsi="Tahoma" w:cs="Tahoma"/>
          <w:color w:val="000000"/>
          <w:sz w:val="18"/>
          <w:szCs w:val="18"/>
          <w:lang w:val="de-DE"/>
        </w:rPr>
        <w:t>Trotz gegenteiliger Bestimmungen in den Produktbenutzungsrechten (PUR) wird</w:t>
      </w:r>
      <w:r w:rsidR="0095262C">
        <w:rPr>
          <w:rFonts w:ascii="Tahoma" w:eastAsia="Calibri" w:hAnsi="Tahoma" w:cs="Tahoma"/>
          <w:color w:val="000000"/>
          <w:sz w:val="18"/>
          <w:szCs w:val="18"/>
          <w:lang w:val="de-DE"/>
        </w:rPr>
        <w:t> </w:t>
      </w:r>
      <w:r w:rsidRPr="009123CB">
        <w:rPr>
          <w:rFonts w:ascii="Tahoma" w:eastAsia="Calibri" w:hAnsi="Tahoma" w:cs="Tahoma"/>
          <w:color w:val="000000"/>
          <w:sz w:val="18"/>
          <w:szCs w:val="18"/>
          <w:lang w:val="de-DE"/>
        </w:rPr>
        <w:t>Einrichtungen, die sich für die Studentenoption entscheiden, maximal eine Windows To</w:t>
      </w:r>
      <w:r w:rsidR="0095262C">
        <w:rPr>
          <w:rFonts w:ascii="Tahoma" w:eastAsia="Calibri" w:hAnsi="Tahoma" w:cs="Tahoma"/>
          <w:color w:val="000000"/>
          <w:sz w:val="18"/>
          <w:szCs w:val="18"/>
          <w:lang w:val="de-DE"/>
        </w:rPr>
        <w:t> </w:t>
      </w:r>
      <w:r w:rsidRPr="009123CB">
        <w:rPr>
          <w:rFonts w:ascii="Tahoma" w:eastAsia="Calibri" w:hAnsi="Tahoma" w:cs="Tahoma"/>
          <w:color w:val="000000"/>
          <w:sz w:val="18"/>
          <w:szCs w:val="18"/>
          <w:lang w:val="de-DE"/>
        </w:rPr>
        <w:t>Go-Instanz pro lizenziertem Studentengerät erlaubt</w:t>
      </w:r>
      <w:r w:rsidR="006257A7">
        <w:rPr>
          <w:rFonts w:ascii="Tahoma" w:eastAsia="Calibri" w:hAnsi="Tahoma" w:cs="Tahoma"/>
          <w:color w:val="000000"/>
          <w:sz w:val="18"/>
          <w:szCs w:val="18"/>
          <w:lang w:val="de-DE"/>
        </w:rPr>
        <w:t xml:space="preserve">. </w:t>
      </w:r>
      <w:r w:rsidRPr="009123CB">
        <w:rPr>
          <w:rFonts w:ascii="Tahoma" w:eastAsia="Calibri" w:hAnsi="Tahoma" w:cs="Tahoma"/>
          <w:color w:val="000000"/>
          <w:sz w:val="18"/>
          <w:szCs w:val="18"/>
          <w:lang w:val="de-DE"/>
        </w:rPr>
        <w:t>Einrichtungen müssen sicherstellen, dass Studenten, die nicht mehr bei der Einrichtung eingeschrieben sind, ihre Nutzung von</w:t>
      </w:r>
      <w:r w:rsidR="0095262C">
        <w:rPr>
          <w:rFonts w:ascii="Tahoma" w:eastAsia="Calibri" w:hAnsi="Tahoma" w:cs="Tahoma"/>
          <w:color w:val="000000"/>
          <w:sz w:val="18"/>
          <w:szCs w:val="18"/>
          <w:lang w:val="de-DE"/>
        </w:rPr>
        <w:t> </w:t>
      </w:r>
      <w:r w:rsidRPr="009123CB">
        <w:rPr>
          <w:rFonts w:ascii="Tahoma" w:eastAsia="Calibri" w:hAnsi="Tahoma" w:cs="Tahoma"/>
          <w:color w:val="000000"/>
          <w:sz w:val="18"/>
          <w:szCs w:val="18"/>
          <w:lang w:val="de-DE"/>
        </w:rPr>
        <w:t>Windows To Go einstellen und USB-Geräte mit einer Windows To Go-Instanz an die Einrichtung zurückgeben</w:t>
      </w:r>
      <w:r w:rsidR="006257A7">
        <w:rPr>
          <w:rFonts w:ascii="Tahoma" w:eastAsia="Calibri" w:hAnsi="Tahoma" w:cs="Tahoma"/>
          <w:color w:val="000000"/>
          <w:sz w:val="18"/>
          <w:szCs w:val="18"/>
          <w:lang w:val="de-DE"/>
        </w:rPr>
        <w:t xml:space="preserve">. </w:t>
      </w:r>
      <w:r w:rsidRPr="009123CB">
        <w:rPr>
          <w:rFonts w:ascii="Tahoma" w:hAnsi="Tahoma" w:cs="Tahoma"/>
          <w:sz w:val="18"/>
          <w:szCs w:val="18"/>
          <w:lang w:val="de-DE"/>
        </w:rPr>
        <w:t>Einrichtungen, die sich für die Studentenoption entscheiden, sind nicht berechtigt, Windows Enterprise auf Geräten im Besitz von Studenten zu installieren</w:t>
      </w:r>
      <w:r w:rsidR="006257A7">
        <w:rPr>
          <w:rFonts w:ascii="Tahoma" w:hAnsi="Tahoma" w:cs="Tahoma"/>
          <w:sz w:val="18"/>
          <w:szCs w:val="18"/>
          <w:lang w:val="de-DE"/>
        </w:rPr>
        <w:t xml:space="preserve">. </w:t>
      </w:r>
    </w:p>
    <w:p w:rsidR="00C7319A" w:rsidRDefault="00C7319A" w:rsidP="00C7319A">
      <w:pPr>
        <w:rPr>
          <w:lang w:val="de-DE"/>
        </w:rPr>
      </w:pPr>
    </w:p>
    <w:p w:rsidR="00C7319A" w:rsidRPr="009123CB" w:rsidRDefault="00C7319A" w:rsidP="00C7319A">
      <w:pPr>
        <w:pStyle w:val="FootnoteBulletLevel1"/>
        <w:tabs>
          <w:tab w:val="clear" w:pos="900"/>
        </w:tabs>
        <w:adjustRightInd/>
        <w:spacing w:before="0" w:after="60"/>
        <w:ind w:left="720" w:firstLine="0"/>
        <w:textAlignment w:val="auto"/>
        <w:rPr>
          <w:lang w:val="de-DE"/>
        </w:rPr>
      </w:pPr>
      <w:r w:rsidRPr="009123CB">
        <w:rPr>
          <w:rFonts w:ascii="Tahoma" w:hAnsi="Tahoma" w:cs="Tahoma"/>
          <w:b/>
          <w:bCs/>
          <w:sz w:val="18"/>
          <w:szCs w:val="18"/>
          <w:lang w:val="de-DE"/>
        </w:rPr>
        <w:t>Microsoft Windows XP Professional N (ohne Windows Media Player)</w:t>
      </w:r>
    </w:p>
    <w:p w:rsidR="00C7319A" w:rsidRPr="009123CB" w:rsidRDefault="00C7319A" w:rsidP="00C7319A">
      <w:pPr>
        <w:pStyle w:val="FootnoteBulletLevel2"/>
        <w:tabs>
          <w:tab w:val="clear" w:pos="1260"/>
          <w:tab w:val="num" w:pos="900"/>
        </w:tabs>
        <w:spacing w:before="0"/>
        <w:ind w:left="720" w:firstLine="0"/>
        <w:rPr>
          <w:lang w:val="de-DE"/>
        </w:rPr>
      </w:pPr>
      <w:r w:rsidRPr="009123CB">
        <w:rPr>
          <w:rFonts w:ascii="Tahoma" w:hAnsi="Tahoma" w:cs="Tahoma"/>
          <w:sz w:val="18"/>
          <w:szCs w:val="18"/>
          <w:u w:val="single"/>
          <w:lang w:val="de-DE"/>
        </w:rPr>
        <w:t>Berechtigung</w:t>
      </w:r>
      <w:r w:rsidRPr="009123CB">
        <w:rPr>
          <w:rFonts w:ascii="Tahoma" w:hAnsi="Tahoma" w:cs="Tahoma"/>
          <w:sz w:val="18"/>
          <w:szCs w:val="18"/>
          <w:lang w:val="de-DE"/>
        </w:rPr>
        <w:br/>
        <w:t>Kunden mit Volumenlizenzverträgen, die folgende Kriterien erfüllen, sind berechtigt, Medien für Microsoft Windows XP Professional N zu erwerben</w:t>
      </w:r>
      <w:r w:rsidR="006257A7">
        <w:rPr>
          <w:rFonts w:ascii="Tahoma" w:hAnsi="Tahoma" w:cs="Tahoma"/>
          <w:sz w:val="18"/>
          <w:szCs w:val="18"/>
          <w:lang w:val="de-DE"/>
        </w:rPr>
        <w:t xml:space="preserve">. </w:t>
      </w:r>
    </w:p>
    <w:p w:rsidR="00C7319A" w:rsidRDefault="00C7319A" w:rsidP="00C7319A">
      <w:pPr>
        <w:pStyle w:val="FootnoteBulletLevel2"/>
        <w:tabs>
          <w:tab w:val="clear" w:pos="1260"/>
          <w:tab w:val="num" w:pos="900"/>
        </w:tabs>
        <w:spacing w:before="0"/>
        <w:ind w:left="720" w:firstLine="0"/>
        <w:rPr>
          <w:lang w:val="de-DE"/>
        </w:rPr>
      </w:pPr>
    </w:p>
    <w:p w:rsidR="00C9761E" w:rsidRDefault="00C9761E" w:rsidP="00C7319A">
      <w:pPr>
        <w:pStyle w:val="FootnoteBulletLevel2"/>
        <w:tabs>
          <w:tab w:val="clear" w:pos="1260"/>
          <w:tab w:val="num" w:pos="900"/>
        </w:tabs>
        <w:spacing w:before="0"/>
        <w:ind w:left="720" w:firstLine="0"/>
        <w:rPr>
          <w:lang w:val="de-DE"/>
        </w:rPr>
      </w:pPr>
    </w:p>
    <w:p w:rsidR="00C9761E" w:rsidRPr="009123CB" w:rsidRDefault="00C9761E" w:rsidP="00C7319A">
      <w:pPr>
        <w:pStyle w:val="FootnoteBulletLevel2"/>
        <w:tabs>
          <w:tab w:val="clear" w:pos="1260"/>
          <w:tab w:val="num" w:pos="900"/>
        </w:tabs>
        <w:spacing w:before="0"/>
        <w:ind w:left="720" w:firstLine="0"/>
        <w:rPr>
          <w:lang w:val="de-DE"/>
        </w:rPr>
      </w:pPr>
    </w:p>
    <w:p w:rsidR="00C7319A" w:rsidRPr="009123CB" w:rsidRDefault="00C7319A" w:rsidP="00C7319A">
      <w:pPr>
        <w:pStyle w:val="Footnotedash"/>
        <w:tabs>
          <w:tab w:val="clear" w:pos="1620"/>
          <w:tab w:val="num" w:pos="2160"/>
        </w:tabs>
        <w:spacing w:before="0" w:after="0"/>
        <w:ind w:left="720" w:firstLine="7"/>
        <w:rPr>
          <w:lang w:val="de-DE"/>
        </w:rPr>
      </w:pPr>
      <w:r w:rsidRPr="009123CB">
        <w:rPr>
          <w:rFonts w:ascii="Tahoma" w:hAnsi="Tahoma" w:cs="Tahoma"/>
          <w:sz w:val="18"/>
          <w:szCs w:val="18"/>
          <w:lang w:val="de-DE"/>
        </w:rPr>
        <w:t xml:space="preserve">Sie müssen über mindestens einen der folgenden aktiven Verträge oder Beitritte mit Microsoft Ireland Operations Ltd verfügen: </w:t>
      </w:r>
    </w:p>
    <w:p w:rsidR="00C7319A" w:rsidRPr="009123CB" w:rsidRDefault="00C7319A" w:rsidP="00C7319A">
      <w:pPr>
        <w:pStyle w:val="Footnotedash"/>
        <w:tabs>
          <w:tab w:val="clear" w:pos="1620"/>
          <w:tab w:val="num" w:pos="2160"/>
        </w:tabs>
        <w:spacing w:before="0" w:after="0"/>
        <w:ind w:left="720" w:firstLine="7"/>
        <w:rPr>
          <w:lang w:val="de-DE"/>
        </w:rPr>
      </w:pPr>
    </w:p>
    <w:p w:rsidR="00C7319A" w:rsidRPr="009123CB" w:rsidRDefault="00C7319A" w:rsidP="00C7319A">
      <w:pPr>
        <w:pStyle w:val="Footnotedash"/>
        <w:numPr>
          <w:ilvl w:val="0"/>
          <w:numId w:val="32"/>
        </w:numPr>
        <w:adjustRightInd/>
        <w:spacing w:before="0"/>
        <w:ind w:left="1440"/>
        <w:textAlignment w:val="auto"/>
        <w:rPr>
          <w:lang w:val="de-DE"/>
        </w:rPr>
      </w:pPr>
      <w:r w:rsidRPr="009123CB">
        <w:rPr>
          <w:rFonts w:ascii="Tahoma" w:hAnsi="Tahoma" w:cs="Tahoma"/>
          <w:sz w:val="18"/>
          <w:szCs w:val="18"/>
          <w:lang w:val="de-DE"/>
        </w:rPr>
        <w:t>Select-, Konzern- oder Konzern-Abonnement-Beitritt</w:t>
      </w:r>
    </w:p>
    <w:p w:rsidR="00C7319A" w:rsidRPr="009123CB" w:rsidRDefault="00C7319A" w:rsidP="00C7319A">
      <w:pPr>
        <w:pStyle w:val="Footnotedash"/>
        <w:numPr>
          <w:ilvl w:val="0"/>
          <w:numId w:val="32"/>
        </w:numPr>
        <w:adjustRightInd/>
        <w:spacing w:before="0"/>
        <w:ind w:left="1440"/>
        <w:textAlignment w:val="auto"/>
        <w:rPr>
          <w:lang w:val="de-DE"/>
        </w:rPr>
      </w:pPr>
      <w:r w:rsidRPr="009123CB">
        <w:rPr>
          <w:rFonts w:ascii="Tahoma" w:hAnsi="Tahoma" w:cs="Tahoma"/>
          <w:sz w:val="18"/>
          <w:szCs w:val="18"/>
          <w:lang w:val="de-DE"/>
        </w:rPr>
        <w:t xml:space="preserve">Open-Lizenz*, Open Value, Campus- und School-Vertrag, Open Value Subscription – Bildungslösungen </w:t>
      </w:r>
    </w:p>
    <w:p w:rsidR="00C7319A" w:rsidRPr="009123CB" w:rsidRDefault="00C7319A" w:rsidP="00C7319A">
      <w:pPr>
        <w:pStyle w:val="Footnotedash"/>
        <w:spacing w:before="0"/>
        <w:ind w:left="1440" w:firstLine="0"/>
        <w:rPr>
          <w:lang w:val="de-DE"/>
        </w:rPr>
      </w:pPr>
      <w:r w:rsidRPr="009123CB">
        <w:rPr>
          <w:rFonts w:ascii="Tahoma" w:hAnsi="Tahoma" w:cs="Tahoma"/>
          <w:sz w:val="18"/>
          <w:szCs w:val="18"/>
          <w:lang w:val="de-DE"/>
        </w:rPr>
        <w:t>(*Bei einer Open-Lizenz ist ein „aktiver Vertrag“ einer, der mit einer aktiven Open-Lizenz-Autorisierungsnummer verknüpft ist</w:t>
      </w:r>
      <w:r w:rsidR="006257A7">
        <w:rPr>
          <w:rFonts w:ascii="Tahoma" w:hAnsi="Tahoma" w:cs="Tahoma"/>
          <w:sz w:val="18"/>
          <w:szCs w:val="18"/>
          <w:lang w:val="de-DE"/>
        </w:rPr>
        <w:t xml:space="preserve">. </w:t>
      </w:r>
      <w:r w:rsidRPr="009123CB">
        <w:rPr>
          <w:rFonts w:ascii="Tahoma" w:hAnsi="Tahoma" w:cs="Tahoma"/>
          <w:sz w:val="18"/>
          <w:szCs w:val="18"/>
          <w:lang w:val="de-DE"/>
        </w:rPr>
        <w:t>)</w:t>
      </w:r>
    </w:p>
    <w:p w:rsidR="00C7319A" w:rsidRPr="009123CB" w:rsidRDefault="00C7319A" w:rsidP="00C7319A">
      <w:pPr>
        <w:pStyle w:val="Footnotedash"/>
        <w:spacing w:before="0" w:after="0"/>
        <w:ind w:left="1440" w:firstLine="0"/>
        <w:rPr>
          <w:lang w:val="de-DE"/>
        </w:rPr>
      </w:pPr>
    </w:p>
    <w:p w:rsidR="00C7319A" w:rsidRPr="009123CB" w:rsidRDefault="00C7319A" w:rsidP="00C7319A">
      <w:pPr>
        <w:pStyle w:val="Footnotedash"/>
        <w:tabs>
          <w:tab w:val="left" w:pos="1620"/>
        </w:tabs>
        <w:spacing w:before="0" w:after="0"/>
        <w:ind w:left="720" w:firstLine="7"/>
        <w:rPr>
          <w:lang w:val="de-DE"/>
        </w:rPr>
      </w:pPr>
      <w:r w:rsidRPr="009123CB">
        <w:rPr>
          <w:rFonts w:ascii="Tahoma" w:hAnsi="Tahoma" w:cs="Tahoma"/>
          <w:sz w:val="18"/>
          <w:szCs w:val="18"/>
          <w:lang w:val="de-DE"/>
        </w:rPr>
        <w:t>Sie müssen über aktive Software Assurance für das Windows Desktop-Betriebssystem oder über Windows XP Professional-Upgrade-Lizenzen verfügen, die frühestens am 2</w:t>
      </w:r>
      <w:r w:rsidR="006257A7">
        <w:rPr>
          <w:rFonts w:ascii="Tahoma" w:hAnsi="Tahoma" w:cs="Tahoma"/>
          <w:sz w:val="18"/>
          <w:szCs w:val="18"/>
          <w:lang w:val="de-DE"/>
        </w:rPr>
        <w:t xml:space="preserve">. </w:t>
      </w:r>
      <w:r w:rsidRPr="009123CB">
        <w:rPr>
          <w:rFonts w:ascii="Tahoma" w:hAnsi="Tahoma" w:cs="Tahoma"/>
          <w:sz w:val="18"/>
          <w:szCs w:val="18"/>
          <w:lang w:val="de-DE"/>
        </w:rPr>
        <w:t>Februar 2005 erworben wurden</w:t>
      </w:r>
      <w:r w:rsidR="006257A7">
        <w:rPr>
          <w:rFonts w:ascii="Tahoma" w:hAnsi="Tahoma" w:cs="Tahoma"/>
          <w:sz w:val="18"/>
          <w:szCs w:val="18"/>
          <w:lang w:val="de-DE"/>
        </w:rPr>
        <w:t xml:space="preserve">. </w:t>
      </w:r>
    </w:p>
    <w:p w:rsidR="00C7319A" w:rsidRPr="009123CB" w:rsidRDefault="00C7319A" w:rsidP="00C7319A">
      <w:pPr>
        <w:pStyle w:val="Footnotedash"/>
        <w:tabs>
          <w:tab w:val="left" w:pos="1620"/>
        </w:tabs>
        <w:spacing w:before="0" w:after="0"/>
        <w:ind w:left="720" w:firstLine="7"/>
        <w:rPr>
          <w:lang w:val="de-DE"/>
        </w:rPr>
      </w:pPr>
    </w:p>
    <w:p w:rsidR="00C7319A" w:rsidRPr="009123CB" w:rsidRDefault="00C7319A" w:rsidP="00C7319A">
      <w:pPr>
        <w:pStyle w:val="Footnotedash"/>
        <w:tabs>
          <w:tab w:val="left" w:pos="1620"/>
        </w:tabs>
        <w:spacing w:before="0" w:after="0"/>
        <w:ind w:left="720" w:firstLine="7"/>
        <w:rPr>
          <w:lang w:val="de-DE"/>
        </w:rPr>
      </w:pPr>
      <w:r w:rsidRPr="009123CB">
        <w:rPr>
          <w:rFonts w:ascii="Tahoma" w:hAnsi="Tahoma" w:cs="Tahoma"/>
          <w:sz w:val="18"/>
          <w:szCs w:val="18"/>
          <w:lang w:val="de-DE"/>
        </w:rPr>
        <w:t>Sie müssen ihren Sitz in a) einem Land der Europäischen Union (EU), b) der Europäischen Freihandelszone (EFTA), c) in Bulgarien, Kroatien, Rumänien oder der Schweiz haben</w:t>
      </w:r>
      <w:r w:rsidR="006257A7">
        <w:rPr>
          <w:rFonts w:ascii="Tahoma" w:hAnsi="Tahoma" w:cs="Tahoma"/>
          <w:sz w:val="18"/>
          <w:szCs w:val="18"/>
          <w:lang w:val="de-DE"/>
        </w:rPr>
        <w:t xml:space="preserve">. </w:t>
      </w:r>
    </w:p>
    <w:p w:rsidR="00C7319A" w:rsidRPr="009123CB" w:rsidRDefault="00C7319A" w:rsidP="00C7319A">
      <w:pPr>
        <w:pStyle w:val="FootnoteBulletLevel1"/>
        <w:tabs>
          <w:tab w:val="clear" w:pos="900"/>
        </w:tabs>
        <w:adjustRightInd/>
        <w:spacing w:before="0" w:after="0"/>
        <w:ind w:left="720" w:firstLine="0"/>
        <w:textAlignment w:val="auto"/>
        <w:rPr>
          <w:lang w:val="de-DE"/>
        </w:rPr>
      </w:pPr>
    </w:p>
    <w:p w:rsidR="00C7319A" w:rsidRPr="009123CB" w:rsidRDefault="00C7319A" w:rsidP="00C7319A">
      <w:pPr>
        <w:pStyle w:val="FootnoteBulletLevel1"/>
        <w:tabs>
          <w:tab w:val="clear" w:pos="900"/>
        </w:tabs>
        <w:adjustRightInd/>
        <w:spacing w:before="0" w:after="60"/>
        <w:ind w:left="720" w:firstLine="0"/>
        <w:textAlignment w:val="auto"/>
        <w:rPr>
          <w:lang w:val="de-DE"/>
        </w:rPr>
      </w:pPr>
      <w:r w:rsidRPr="009123CB">
        <w:rPr>
          <w:rFonts w:ascii="Tahoma" w:hAnsi="Tahoma" w:cs="Tahoma"/>
          <w:b/>
          <w:bCs/>
          <w:sz w:val="18"/>
          <w:szCs w:val="18"/>
          <w:lang w:val="de-DE"/>
        </w:rPr>
        <w:t>Windows XP Professional</w:t>
      </w:r>
    </w:p>
    <w:p w:rsidR="00C7319A" w:rsidRPr="009123CB" w:rsidRDefault="00C7319A" w:rsidP="00C7319A">
      <w:pPr>
        <w:pStyle w:val="FootnoteBulletLevel2"/>
        <w:spacing w:before="0"/>
        <w:ind w:left="720" w:firstLine="0"/>
        <w:rPr>
          <w:lang w:val="de-DE"/>
        </w:rPr>
      </w:pPr>
      <w:r w:rsidRPr="009123CB">
        <w:rPr>
          <w:rFonts w:ascii="Tahoma" w:hAnsi="Tahoma" w:cs="Tahoma"/>
          <w:sz w:val="18"/>
          <w:szCs w:val="18"/>
          <w:lang w:val="de-DE"/>
        </w:rPr>
        <w:t>Nutzungseinschränkungen für Windows XP Professional in Korea:</w:t>
      </w:r>
    </w:p>
    <w:p w:rsidR="00C7319A" w:rsidRPr="009123CB" w:rsidRDefault="00C7319A" w:rsidP="00C7319A">
      <w:pPr>
        <w:pStyle w:val="FootnoteBulletLevel2"/>
        <w:spacing w:before="0"/>
        <w:ind w:left="720" w:firstLine="0"/>
        <w:rPr>
          <w:lang w:val="de-DE"/>
        </w:rPr>
      </w:pPr>
      <w:r w:rsidRPr="009123CB">
        <w:rPr>
          <w:rFonts w:ascii="Tahoma" w:hAnsi="Tahoma" w:cs="Tahoma"/>
          <w:sz w:val="18"/>
          <w:szCs w:val="18"/>
          <w:lang w:val="de-DE"/>
        </w:rPr>
        <w:t>Sie gelten auch für die Nutzung von Windows XP Professional aufgrund von Downgraderechten</w:t>
      </w:r>
      <w:r w:rsidR="006257A7">
        <w:rPr>
          <w:rFonts w:ascii="Tahoma" w:hAnsi="Tahoma" w:cs="Tahoma"/>
          <w:sz w:val="18"/>
          <w:szCs w:val="18"/>
          <w:lang w:val="de-DE"/>
        </w:rPr>
        <w:t xml:space="preserve">. </w:t>
      </w:r>
    </w:p>
    <w:p w:rsidR="00C7319A" w:rsidRPr="009123CB" w:rsidRDefault="00C7319A" w:rsidP="00C7319A">
      <w:pPr>
        <w:pStyle w:val="FootnoteBulletLevel2"/>
        <w:spacing w:before="0"/>
        <w:ind w:left="720" w:firstLine="0"/>
        <w:rPr>
          <w:lang w:val="de-DE"/>
        </w:rPr>
      </w:pPr>
    </w:p>
    <w:p w:rsidR="00C7319A" w:rsidRPr="009123CB" w:rsidRDefault="00C7319A" w:rsidP="00C7319A">
      <w:pPr>
        <w:pStyle w:val="Footnotedash"/>
        <w:numPr>
          <w:ilvl w:val="0"/>
          <w:numId w:val="32"/>
        </w:numPr>
        <w:adjustRightInd/>
        <w:spacing w:before="0"/>
        <w:ind w:left="1440"/>
        <w:textAlignment w:val="auto"/>
        <w:rPr>
          <w:lang w:val="de-DE"/>
        </w:rPr>
      </w:pPr>
      <w:r w:rsidRPr="009123CB">
        <w:rPr>
          <w:rFonts w:ascii="Tahoma" w:hAnsi="Tahoma" w:cs="Tahoma"/>
          <w:sz w:val="18"/>
          <w:szCs w:val="18"/>
          <w:lang w:val="de-DE"/>
        </w:rPr>
        <w:t>Die Korean Fair Trade Commission (KFTC) verlangt bestimmte Einschränkungen bei der Bereitstellung von Windows XP Professional in koreanischer Sprache für die Nutzung durch Kunden mit Volumenlizenzverträgen und ihre verbundenen Unternehmen in Korea</w:t>
      </w:r>
      <w:r w:rsidR="006257A7">
        <w:rPr>
          <w:rFonts w:ascii="Tahoma" w:hAnsi="Tahoma" w:cs="Tahoma"/>
          <w:sz w:val="18"/>
          <w:szCs w:val="18"/>
          <w:lang w:val="de-DE"/>
        </w:rPr>
        <w:t xml:space="preserve">. </w:t>
      </w:r>
    </w:p>
    <w:p w:rsidR="00C7319A" w:rsidRPr="0062435A" w:rsidRDefault="00C7319A" w:rsidP="00C7319A">
      <w:pPr>
        <w:pStyle w:val="Footnotedash"/>
        <w:numPr>
          <w:ilvl w:val="0"/>
          <w:numId w:val="32"/>
        </w:numPr>
        <w:adjustRightInd/>
        <w:spacing w:before="0"/>
        <w:ind w:left="1440"/>
        <w:textAlignment w:val="auto"/>
      </w:pPr>
      <w:r w:rsidRPr="009123CB">
        <w:rPr>
          <w:rFonts w:ascii="Tahoma" w:hAnsi="Tahoma" w:cs="Tahoma"/>
          <w:sz w:val="18"/>
          <w:szCs w:val="18"/>
          <w:lang w:val="de-DE"/>
        </w:rPr>
        <w:t>Diese Einschränkungen gelten nicht für Kunden, die ihre Lizenz für die koreanische Version von Windows XP Professional vor dem 24</w:t>
      </w:r>
      <w:r w:rsidR="006257A7">
        <w:rPr>
          <w:rFonts w:ascii="Tahoma" w:hAnsi="Tahoma" w:cs="Tahoma"/>
          <w:sz w:val="18"/>
          <w:szCs w:val="18"/>
          <w:lang w:val="de-DE"/>
        </w:rPr>
        <w:t xml:space="preserve">. </w:t>
      </w:r>
      <w:r>
        <w:rPr>
          <w:rFonts w:ascii="Tahoma" w:hAnsi="Tahoma" w:cs="Tahoma"/>
          <w:sz w:val="18"/>
          <w:szCs w:val="18"/>
        </w:rPr>
        <w:t>August 2006 erworben haben</w:t>
      </w:r>
      <w:r w:rsidR="006257A7">
        <w:rPr>
          <w:rFonts w:ascii="Tahoma" w:hAnsi="Tahoma" w:cs="Tahoma"/>
          <w:sz w:val="18"/>
          <w:szCs w:val="18"/>
        </w:rPr>
        <w:t xml:space="preserve">. </w:t>
      </w:r>
    </w:p>
    <w:p w:rsidR="00C7319A" w:rsidRPr="009123CB" w:rsidRDefault="00C7319A" w:rsidP="00C7319A">
      <w:pPr>
        <w:pStyle w:val="Footnotedash"/>
        <w:numPr>
          <w:ilvl w:val="0"/>
          <w:numId w:val="32"/>
        </w:numPr>
        <w:adjustRightInd/>
        <w:spacing w:before="0"/>
        <w:ind w:left="1440"/>
        <w:textAlignment w:val="auto"/>
        <w:rPr>
          <w:lang w:val="de-DE"/>
        </w:rPr>
      </w:pPr>
      <w:r w:rsidRPr="009123CB">
        <w:rPr>
          <w:rFonts w:ascii="Tahoma" w:hAnsi="Tahoma" w:cs="Tahoma"/>
          <w:sz w:val="18"/>
          <w:szCs w:val="18"/>
          <w:lang w:val="de-DE"/>
        </w:rPr>
        <w:t>Sie gelten auch nicht für multinationale Kunden, die ihren Hauptsitz außerhalb Koreas haben und nur ein Image der Software nutzen</w:t>
      </w:r>
      <w:r w:rsidR="006257A7">
        <w:rPr>
          <w:rFonts w:ascii="Tahoma" w:hAnsi="Tahoma" w:cs="Tahoma"/>
          <w:sz w:val="18"/>
          <w:szCs w:val="18"/>
          <w:lang w:val="de-DE"/>
        </w:rPr>
        <w:t xml:space="preserve">. </w:t>
      </w:r>
    </w:p>
    <w:p w:rsidR="00C7319A" w:rsidRPr="009123CB" w:rsidRDefault="00C7319A" w:rsidP="00C7319A">
      <w:pPr>
        <w:pStyle w:val="Footnotedash"/>
        <w:numPr>
          <w:ilvl w:val="0"/>
          <w:numId w:val="32"/>
        </w:numPr>
        <w:adjustRightInd/>
        <w:spacing w:before="0"/>
        <w:ind w:left="1440"/>
        <w:textAlignment w:val="auto"/>
        <w:rPr>
          <w:lang w:val="de-DE"/>
        </w:rPr>
      </w:pPr>
      <w:r w:rsidRPr="009123CB">
        <w:rPr>
          <w:rFonts w:ascii="Tahoma" w:hAnsi="Tahoma" w:cs="Tahoma"/>
          <w:sz w:val="18"/>
          <w:szCs w:val="18"/>
          <w:lang w:val="de-DE"/>
        </w:rPr>
        <w:t>Diese Einschränkungen gelten nicht für Kunden, die Verträge bis zum 23</w:t>
      </w:r>
      <w:r w:rsidR="006257A7">
        <w:rPr>
          <w:rFonts w:ascii="Tahoma" w:hAnsi="Tahoma" w:cs="Tahoma"/>
          <w:sz w:val="18"/>
          <w:szCs w:val="18"/>
          <w:lang w:val="de-DE"/>
        </w:rPr>
        <w:t xml:space="preserve">. </w:t>
      </w:r>
      <w:r w:rsidRPr="009123CB">
        <w:rPr>
          <w:rFonts w:ascii="Tahoma" w:hAnsi="Tahoma" w:cs="Tahoma"/>
          <w:sz w:val="18"/>
          <w:szCs w:val="18"/>
          <w:lang w:val="de-DE"/>
        </w:rPr>
        <w:t>August 2006 geschlossen haben und die unter besonderen Umständen ein Image der Software dauerhaft nutzen</w:t>
      </w:r>
      <w:r w:rsidR="006257A7">
        <w:rPr>
          <w:rFonts w:ascii="Tahoma" w:hAnsi="Tahoma" w:cs="Tahoma"/>
          <w:sz w:val="18"/>
          <w:szCs w:val="18"/>
          <w:lang w:val="de-DE"/>
        </w:rPr>
        <w:t xml:space="preserve">. </w:t>
      </w:r>
    </w:p>
    <w:p w:rsidR="00C7319A" w:rsidRPr="009123CB" w:rsidRDefault="00C7319A" w:rsidP="00C7319A">
      <w:pPr>
        <w:pStyle w:val="Footnotedash"/>
        <w:numPr>
          <w:ilvl w:val="0"/>
          <w:numId w:val="32"/>
        </w:numPr>
        <w:adjustRightInd/>
        <w:spacing w:before="0"/>
        <w:ind w:left="1440"/>
        <w:textAlignment w:val="auto"/>
        <w:rPr>
          <w:lang w:val="de-DE"/>
        </w:rPr>
      </w:pPr>
      <w:r w:rsidRPr="009123CB">
        <w:rPr>
          <w:rFonts w:ascii="Tahoma" w:hAnsi="Tahoma" w:cs="Tahoma"/>
          <w:sz w:val="18"/>
          <w:szCs w:val="18"/>
          <w:lang w:val="de-DE"/>
        </w:rPr>
        <w:t>Die KFTC hat keine Einschränkungen für die Nutzung anderer Sprachversionen als der koreanischen angeordnet</w:t>
      </w:r>
      <w:r w:rsidR="006257A7">
        <w:rPr>
          <w:rFonts w:ascii="Tahoma" w:hAnsi="Tahoma" w:cs="Tahoma"/>
          <w:sz w:val="18"/>
          <w:szCs w:val="18"/>
          <w:lang w:val="de-DE"/>
        </w:rPr>
        <w:t xml:space="preserve">. </w:t>
      </w:r>
    </w:p>
    <w:p w:rsidR="00C7319A" w:rsidRPr="009123CB" w:rsidRDefault="00C7319A" w:rsidP="00C7319A">
      <w:pPr>
        <w:pStyle w:val="Footnotedash"/>
        <w:numPr>
          <w:ilvl w:val="0"/>
          <w:numId w:val="32"/>
        </w:numPr>
        <w:adjustRightInd/>
        <w:spacing w:before="0"/>
        <w:ind w:left="1440"/>
        <w:textAlignment w:val="auto"/>
        <w:rPr>
          <w:lang w:val="de-DE"/>
        </w:rPr>
      </w:pPr>
      <w:r w:rsidRPr="009123CB">
        <w:rPr>
          <w:rFonts w:ascii="Tahoma" w:hAnsi="Tahoma" w:cs="Tahoma"/>
          <w:sz w:val="18"/>
          <w:szCs w:val="18"/>
          <w:lang w:val="de-DE"/>
        </w:rPr>
        <w:t>Die KFTC hat keine Einschränkungen für die Tablet PC- oder 64-Bit-Editionen in einer beliebigen Sprachversion angeordnet</w:t>
      </w:r>
      <w:r w:rsidR="006257A7">
        <w:rPr>
          <w:rFonts w:ascii="Tahoma" w:hAnsi="Tahoma" w:cs="Tahoma"/>
          <w:sz w:val="18"/>
          <w:szCs w:val="18"/>
          <w:lang w:val="de-DE"/>
        </w:rPr>
        <w:t xml:space="preserve">. </w:t>
      </w:r>
    </w:p>
    <w:p w:rsidR="00C7319A" w:rsidRPr="009123CB" w:rsidRDefault="00C7319A" w:rsidP="00C7319A">
      <w:pPr>
        <w:pStyle w:val="Footnotedash"/>
        <w:tabs>
          <w:tab w:val="clear" w:pos="1620"/>
        </w:tabs>
        <w:adjustRightInd/>
        <w:spacing w:before="0" w:after="0"/>
        <w:ind w:left="1440" w:firstLine="0"/>
        <w:textAlignment w:val="auto"/>
        <w:rPr>
          <w:lang w:val="de-DE"/>
        </w:rPr>
      </w:pPr>
    </w:p>
    <w:p w:rsidR="00C7319A" w:rsidRPr="009123CB" w:rsidRDefault="00C7319A" w:rsidP="00C7319A">
      <w:pPr>
        <w:pStyle w:val="FootnoteBulletLevel2"/>
        <w:spacing w:before="0"/>
        <w:ind w:left="720" w:hanging="7"/>
        <w:rPr>
          <w:lang w:val="de-DE"/>
        </w:rPr>
      </w:pPr>
      <w:r w:rsidRPr="009123CB">
        <w:rPr>
          <w:rFonts w:ascii="Tahoma" w:hAnsi="Tahoma" w:cs="Tahoma"/>
          <w:sz w:val="18"/>
          <w:szCs w:val="18"/>
          <w:u w:val="single"/>
          <w:lang w:val="de-DE"/>
        </w:rPr>
        <w:t>Einschränkungen</w:t>
      </w:r>
      <w:r w:rsidRPr="007E1881">
        <w:rPr>
          <w:rFonts w:ascii="Tahoma" w:hAnsi="Tahoma" w:cs="Tahoma"/>
          <w:sz w:val="18"/>
          <w:szCs w:val="18"/>
          <w:lang w:val="de-DE"/>
        </w:rPr>
        <w:t>:</w:t>
      </w:r>
    </w:p>
    <w:p w:rsidR="00C7319A" w:rsidRPr="009123CB" w:rsidRDefault="00C7319A" w:rsidP="00C7319A">
      <w:pPr>
        <w:pStyle w:val="FootnoteBulletLevel2"/>
        <w:spacing w:before="0"/>
        <w:ind w:left="720" w:hanging="7"/>
        <w:rPr>
          <w:lang w:val="de-DE"/>
        </w:rPr>
      </w:pPr>
      <w:r w:rsidRPr="009123CB">
        <w:rPr>
          <w:rFonts w:ascii="Tahoma" w:hAnsi="Tahoma" w:cs="Tahoma"/>
          <w:sz w:val="18"/>
          <w:szCs w:val="18"/>
          <w:lang w:val="de-DE"/>
        </w:rPr>
        <w:t>Ab dem 24</w:t>
      </w:r>
      <w:r w:rsidR="006257A7">
        <w:rPr>
          <w:rFonts w:ascii="Tahoma" w:hAnsi="Tahoma" w:cs="Tahoma"/>
          <w:sz w:val="18"/>
          <w:szCs w:val="18"/>
          <w:lang w:val="de-DE"/>
        </w:rPr>
        <w:t xml:space="preserve">. </w:t>
      </w:r>
      <w:r w:rsidRPr="009123CB">
        <w:rPr>
          <w:rFonts w:ascii="Tahoma" w:hAnsi="Tahoma" w:cs="Tahoma"/>
          <w:sz w:val="18"/>
          <w:szCs w:val="18"/>
          <w:lang w:val="de-DE"/>
        </w:rPr>
        <w:t>August 2006 müssen Kunden mit Volumenlizenzverträgen in Korea, die nicht die Ausnahmekriterien erfüllen und koreanische Sprachversionen nutzen möchten, entweder Windows XP Professional K oder Windows XP Professional KN bereitstellen</w:t>
      </w:r>
      <w:r w:rsidR="006257A7">
        <w:rPr>
          <w:rFonts w:ascii="Tahoma" w:hAnsi="Tahoma" w:cs="Tahoma"/>
          <w:sz w:val="18"/>
          <w:szCs w:val="18"/>
          <w:lang w:val="de-DE"/>
        </w:rPr>
        <w:t xml:space="preserve">. </w:t>
      </w:r>
    </w:p>
    <w:p w:rsidR="00C7319A" w:rsidRPr="009123CB" w:rsidRDefault="00C7319A" w:rsidP="00C7319A">
      <w:pPr>
        <w:rPr>
          <w:lang w:val="de-DE"/>
        </w:rPr>
      </w:pPr>
    </w:p>
    <w:p w:rsidR="00C7319A" w:rsidRPr="009123CB" w:rsidRDefault="00C7319A" w:rsidP="00C7319A">
      <w:pPr>
        <w:pStyle w:val="FootnoteBulletLevel1"/>
        <w:tabs>
          <w:tab w:val="clear" w:pos="900"/>
        </w:tabs>
        <w:adjustRightInd/>
        <w:spacing w:before="0" w:after="60"/>
        <w:ind w:left="720" w:firstLine="0"/>
        <w:textAlignment w:val="auto"/>
        <w:rPr>
          <w:lang w:val="de-DE"/>
        </w:rPr>
      </w:pPr>
      <w:r w:rsidRPr="009123CB">
        <w:rPr>
          <w:rFonts w:ascii="Tahoma" w:hAnsi="Tahoma" w:cs="Tahoma"/>
          <w:b/>
          <w:bCs/>
          <w:sz w:val="18"/>
          <w:szCs w:val="18"/>
          <w:lang w:val="de-DE"/>
        </w:rPr>
        <w:t>Windows XP Professional K und KN</w:t>
      </w:r>
    </w:p>
    <w:p w:rsidR="00C7319A" w:rsidRPr="009123CB" w:rsidRDefault="00C7319A" w:rsidP="0095262C">
      <w:pPr>
        <w:pStyle w:val="FootnoteBulletLevel2"/>
        <w:spacing w:before="0"/>
        <w:ind w:left="720" w:hanging="7"/>
        <w:rPr>
          <w:lang w:val="de-DE"/>
        </w:rPr>
      </w:pPr>
      <w:r w:rsidRPr="009123CB">
        <w:rPr>
          <w:rFonts w:ascii="Tahoma" w:hAnsi="Tahoma" w:cs="Tahoma"/>
          <w:sz w:val="18"/>
          <w:szCs w:val="18"/>
          <w:lang w:val="de-DE"/>
        </w:rPr>
        <w:t>Kunden mit Volumenlizenzverträgen und ihre verbundenen Unternehmen dürfen Windows XP Professional K</w:t>
      </w:r>
      <w:r w:rsidR="0095262C">
        <w:rPr>
          <w:rFonts w:ascii="Tahoma" w:hAnsi="Tahoma" w:cs="Tahoma"/>
          <w:sz w:val="18"/>
          <w:szCs w:val="18"/>
          <w:lang w:val="de-DE"/>
        </w:rPr>
        <w:t> </w:t>
      </w:r>
      <w:r w:rsidRPr="009123CB">
        <w:rPr>
          <w:rFonts w:ascii="Tahoma" w:hAnsi="Tahoma" w:cs="Tahoma"/>
          <w:sz w:val="18"/>
          <w:szCs w:val="18"/>
          <w:lang w:val="de-DE"/>
        </w:rPr>
        <w:t>oder KN nur zur Nutzung in Korea bereitstellen</w:t>
      </w:r>
      <w:r w:rsidR="006257A7">
        <w:rPr>
          <w:rFonts w:ascii="Tahoma" w:hAnsi="Tahoma" w:cs="Tahoma"/>
          <w:sz w:val="18"/>
          <w:szCs w:val="18"/>
          <w:lang w:val="de-DE"/>
        </w:rPr>
        <w:t xml:space="preserve">. </w:t>
      </w:r>
    </w:p>
    <w:p w:rsidR="00C7319A" w:rsidRPr="009123CB" w:rsidRDefault="00C7319A" w:rsidP="00C7319A">
      <w:pPr>
        <w:pStyle w:val="FootnoteBulletLevel2"/>
        <w:spacing w:before="0"/>
        <w:ind w:left="720" w:hanging="7"/>
        <w:rPr>
          <w:lang w:val="de-DE"/>
        </w:rPr>
      </w:pPr>
    </w:p>
    <w:p w:rsidR="00C7319A" w:rsidRPr="009123CB" w:rsidRDefault="00C7319A" w:rsidP="00C7319A">
      <w:pPr>
        <w:pStyle w:val="FootnoteBulletLevel1"/>
        <w:tabs>
          <w:tab w:val="clear" w:pos="900"/>
        </w:tabs>
        <w:adjustRightInd/>
        <w:spacing w:before="0" w:after="60"/>
        <w:ind w:left="720" w:firstLine="0"/>
        <w:textAlignment w:val="auto"/>
        <w:rPr>
          <w:lang w:val="de-DE"/>
        </w:rPr>
      </w:pPr>
      <w:r w:rsidRPr="009123CB">
        <w:rPr>
          <w:rFonts w:ascii="Tahoma" w:hAnsi="Tahoma" w:cs="Tahoma"/>
          <w:b/>
          <w:bCs/>
          <w:sz w:val="18"/>
          <w:szCs w:val="18"/>
          <w:lang w:val="de-DE"/>
        </w:rPr>
        <w:t>Windows Vista Business KN</w:t>
      </w:r>
    </w:p>
    <w:p w:rsidR="00C7319A" w:rsidRPr="009123CB" w:rsidRDefault="00C7319A" w:rsidP="00C7319A">
      <w:pPr>
        <w:pStyle w:val="FootnoteBulletLevel2"/>
        <w:spacing w:before="0"/>
        <w:ind w:left="720" w:hanging="7"/>
        <w:rPr>
          <w:lang w:val="de-DE"/>
        </w:rPr>
      </w:pPr>
      <w:r w:rsidRPr="009123CB">
        <w:rPr>
          <w:rFonts w:ascii="Tahoma" w:hAnsi="Tahoma" w:cs="Tahoma"/>
          <w:sz w:val="18"/>
          <w:szCs w:val="18"/>
          <w:u w:val="single"/>
          <w:lang w:val="de-DE"/>
        </w:rPr>
        <w:t>Berechtigung</w:t>
      </w:r>
      <w:r w:rsidRPr="007E1881">
        <w:rPr>
          <w:rFonts w:ascii="Tahoma" w:hAnsi="Tahoma" w:cs="Tahoma"/>
          <w:sz w:val="18"/>
          <w:szCs w:val="18"/>
          <w:lang w:val="de-DE"/>
        </w:rPr>
        <w:t>:</w:t>
      </w:r>
      <w:r w:rsidRPr="009123CB">
        <w:rPr>
          <w:rFonts w:ascii="Tahoma" w:hAnsi="Tahoma" w:cs="Tahoma"/>
          <w:sz w:val="18"/>
          <w:szCs w:val="18"/>
          <w:u w:val="single"/>
          <w:lang w:val="de-DE"/>
        </w:rPr>
        <w:br/>
      </w:r>
      <w:r w:rsidRPr="009123CB">
        <w:rPr>
          <w:rFonts w:ascii="Tahoma" w:hAnsi="Tahoma" w:cs="Tahoma"/>
          <w:sz w:val="18"/>
          <w:szCs w:val="18"/>
          <w:lang w:val="de-DE"/>
        </w:rPr>
        <w:t>Volumenlizenzkunden in Korea, die über einen aktiven Volumenlizenzvertrag oder Beitritt mit Microsoft Operations Pte Ltd verfügen, sind berechtigt, Medien für Windows Vista Business KN für die Bereitstellung und Nutzung in Korea zu erwerben</w:t>
      </w:r>
      <w:r w:rsidR="006257A7">
        <w:rPr>
          <w:rFonts w:ascii="Tahoma" w:hAnsi="Tahoma" w:cs="Tahoma"/>
          <w:sz w:val="18"/>
          <w:szCs w:val="18"/>
          <w:lang w:val="de-DE"/>
        </w:rPr>
        <w:t xml:space="preserve">. </w:t>
      </w:r>
      <w:r w:rsidRPr="009123CB">
        <w:rPr>
          <w:rFonts w:ascii="Tahoma" w:hAnsi="Tahoma" w:cs="Tahoma"/>
          <w:sz w:val="18"/>
          <w:szCs w:val="18"/>
          <w:lang w:val="de-DE"/>
        </w:rPr>
        <w:t>Keine andere Verwendung ist erlaubt</w:t>
      </w:r>
      <w:r w:rsidR="006257A7">
        <w:rPr>
          <w:rFonts w:ascii="Tahoma" w:hAnsi="Tahoma" w:cs="Tahoma"/>
          <w:sz w:val="18"/>
          <w:szCs w:val="18"/>
          <w:lang w:val="de-DE"/>
        </w:rPr>
        <w:t xml:space="preserve">. </w:t>
      </w:r>
    </w:p>
    <w:p w:rsidR="00C7319A" w:rsidRDefault="00C7319A" w:rsidP="00C7319A">
      <w:pPr>
        <w:pStyle w:val="FootnoteBulletLevel2"/>
        <w:spacing w:before="0"/>
        <w:ind w:left="720" w:hanging="7"/>
        <w:rPr>
          <w:lang w:val="de-DE"/>
        </w:rPr>
      </w:pPr>
    </w:p>
    <w:p w:rsidR="00C7319A" w:rsidRPr="009123CB" w:rsidRDefault="00C7319A" w:rsidP="00C7319A">
      <w:pPr>
        <w:pStyle w:val="FootnoteBulletLevel1"/>
        <w:tabs>
          <w:tab w:val="clear" w:pos="900"/>
        </w:tabs>
        <w:adjustRightInd/>
        <w:spacing w:before="0" w:after="60"/>
        <w:ind w:left="720" w:firstLine="0"/>
        <w:textAlignment w:val="auto"/>
        <w:rPr>
          <w:lang w:val="de-DE"/>
        </w:rPr>
      </w:pPr>
      <w:r w:rsidRPr="009123CB">
        <w:rPr>
          <w:rFonts w:ascii="Tahoma" w:hAnsi="Tahoma" w:cs="Tahoma"/>
          <w:b/>
          <w:bCs/>
          <w:sz w:val="18"/>
          <w:szCs w:val="18"/>
          <w:lang w:val="de-DE"/>
        </w:rPr>
        <w:t>Windows 7 Professional KN</w:t>
      </w:r>
    </w:p>
    <w:p w:rsidR="00C7319A" w:rsidRPr="009123CB" w:rsidRDefault="00C7319A" w:rsidP="00C7319A">
      <w:pPr>
        <w:pStyle w:val="FootnoteBulletLevel2"/>
        <w:spacing w:before="0"/>
        <w:ind w:left="720" w:hanging="7"/>
        <w:rPr>
          <w:lang w:val="de-DE"/>
        </w:rPr>
      </w:pPr>
      <w:r w:rsidRPr="009123CB">
        <w:rPr>
          <w:rFonts w:ascii="Tahoma" w:hAnsi="Tahoma" w:cs="Tahoma"/>
          <w:sz w:val="18"/>
          <w:szCs w:val="18"/>
          <w:u w:val="single"/>
          <w:lang w:val="de-DE"/>
        </w:rPr>
        <w:t>Berechtigung</w:t>
      </w:r>
      <w:r w:rsidRPr="007E1881">
        <w:rPr>
          <w:rFonts w:ascii="Tahoma" w:hAnsi="Tahoma" w:cs="Tahoma"/>
          <w:sz w:val="18"/>
          <w:szCs w:val="18"/>
          <w:lang w:val="de-DE"/>
        </w:rPr>
        <w:t>:</w:t>
      </w:r>
      <w:r w:rsidRPr="009123CB">
        <w:rPr>
          <w:rFonts w:ascii="Tahoma" w:hAnsi="Tahoma" w:cs="Tahoma"/>
          <w:sz w:val="18"/>
          <w:szCs w:val="18"/>
          <w:u w:val="single"/>
          <w:lang w:val="de-DE"/>
        </w:rPr>
        <w:br/>
      </w:r>
      <w:r w:rsidRPr="009123CB">
        <w:rPr>
          <w:rFonts w:ascii="Tahoma" w:hAnsi="Tahoma" w:cs="Tahoma"/>
          <w:sz w:val="18"/>
          <w:szCs w:val="18"/>
          <w:lang w:val="de-DE"/>
        </w:rPr>
        <w:t>Volumenlizenzkunden in Korea, die über einen aktiven Volumenlizenzvertrag oder Beitritt mit Microsoft Operations Pte Ltd verfügen, sind berechtigt, Medien für Windows 7 Professional KN für die Bereitstellung und Nutzung in Korea zu erwerben</w:t>
      </w:r>
      <w:r w:rsidR="006257A7">
        <w:rPr>
          <w:rFonts w:ascii="Tahoma" w:hAnsi="Tahoma" w:cs="Tahoma"/>
          <w:sz w:val="18"/>
          <w:szCs w:val="18"/>
          <w:lang w:val="de-DE"/>
        </w:rPr>
        <w:t xml:space="preserve">. </w:t>
      </w:r>
      <w:r w:rsidRPr="009123CB">
        <w:rPr>
          <w:rFonts w:ascii="Tahoma" w:hAnsi="Tahoma" w:cs="Tahoma"/>
          <w:sz w:val="18"/>
          <w:szCs w:val="18"/>
          <w:lang w:val="de-DE"/>
        </w:rPr>
        <w:t>Keine andere Verwendung ist erlaubt</w:t>
      </w:r>
      <w:r w:rsidR="006257A7">
        <w:rPr>
          <w:rFonts w:ascii="Tahoma" w:hAnsi="Tahoma" w:cs="Tahoma"/>
          <w:sz w:val="18"/>
          <w:szCs w:val="18"/>
          <w:lang w:val="de-DE"/>
        </w:rPr>
        <w:t xml:space="preserve">. </w:t>
      </w:r>
    </w:p>
    <w:p w:rsidR="00C7319A" w:rsidRPr="009123CB" w:rsidRDefault="00C7319A" w:rsidP="00C7319A">
      <w:pPr>
        <w:pStyle w:val="FootnoteBulletLevel2"/>
        <w:spacing w:before="0"/>
        <w:ind w:left="720" w:hanging="7"/>
        <w:rPr>
          <w:lang w:val="de-DE"/>
        </w:rPr>
      </w:pPr>
    </w:p>
    <w:p w:rsidR="00C7319A" w:rsidRPr="009123CB" w:rsidRDefault="00C7319A" w:rsidP="00C7319A">
      <w:pPr>
        <w:pStyle w:val="FootnoteBulletLevel1"/>
        <w:tabs>
          <w:tab w:val="clear" w:pos="900"/>
        </w:tabs>
        <w:adjustRightInd/>
        <w:spacing w:before="0" w:after="60"/>
        <w:ind w:left="720" w:firstLine="0"/>
        <w:textAlignment w:val="auto"/>
        <w:rPr>
          <w:lang w:val="de-DE"/>
        </w:rPr>
      </w:pPr>
      <w:r w:rsidRPr="009123CB">
        <w:rPr>
          <w:rFonts w:ascii="Tahoma" w:hAnsi="Tahoma" w:cs="Tahoma"/>
          <w:b/>
          <w:bCs/>
          <w:sz w:val="18"/>
          <w:szCs w:val="18"/>
          <w:lang w:val="de-DE"/>
        </w:rPr>
        <w:t>Windows Vista Business N (ohne Windows Media Player)</w:t>
      </w:r>
    </w:p>
    <w:p w:rsidR="00C7319A" w:rsidRPr="009123CB" w:rsidRDefault="00C7319A" w:rsidP="00C7319A">
      <w:pPr>
        <w:pStyle w:val="FootnoteBulletLevel2"/>
        <w:spacing w:before="0"/>
        <w:ind w:left="720" w:hanging="7"/>
        <w:rPr>
          <w:lang w:val="de-DE"/>
        </w:rPr>
      </w:pPr>
      <w:r w:rsidRPr="009123CB">
        <w:rPr>
          <w:rFonts w:ascii="Tahoma" w:hAnsi="Tahoma" w:cs="Tahoma"/>
          <w:sz w:val="18"/>
          <w:szCs w:val="18"/>
          <w:u w:val="single"/>
          <w:lang w:val="de-DE"/>
        </w:rPr>
        <w:t>Berechtigung</w:t>
      </w:r>
      <w:r w:rsidRPr="007E1881">
        <w:rPr>
          <w:rFonts w:ascii="Tahoma" w:hAnsi="Tahoma" w:cs="Tahoma"/>
          <w:sz w:val="18"/>
          <w:szCs w:val="18"/>
          <w:lang w:val="de-DE"/>
        </w:rPr>
        <w:t>:</w:t>
      </w:r>
      <w:r w:rsidRPr="009123CB">
        <w:rPr>
          <w:rFonts w:ascii="Tahoma" w:hAnsi="Tahoma" w:cs="Tahoma"/>
          <w:sz w:val="18"/>
          <w:szCs w:val="18"/>
          <w:u w:val="single"/>
          <w:lang w:val="de-DE"/>
        </w:rPr>
        <w:br/>
      </w:r>
      <w:r w:rsidRPr="009123CB">
        <w:rPr>
          <w:rFonts w:ascii="Tahoma" w:hAnsi="Tahoma" w:cs="Tahoma"/>
          <w:sz w:val="18"/>
          <w:szCs w:val="18"/>
          <w:lang w:val="de-DE"/>
        </w:rPr>
        <w:t>Kunden mit Volumenlizenzverträgen, die folgende Kriterien erfüllen, sind berechtigt, Medien für Microsoft Windows Vista Business N ausschließlich zur Bereitstellung und Nutzung in der Europäischen Union (EU), der Europäischen Freihandelszone (EFTA), in Bulgarien, Kroatien, Rumänien oder der Schweiz zu erwerben</w:t>
      </w:r>
      <w:r w:rsidR="006257A7">
        <w:rPr>
          <w:rFonts w:ascii="Tahoma" w:hAnsi="Tahoma" w:cs="Tahoma"/>
          <w:sz w:val="18"/>
          <w:szCs w:val="18"/>
          <w:lang w:val="de-DE"/>
        </w:rPr>
        <w:t xml:space="preserve">. </w:t>
      </w:r>
    </w:p>
    <w:p w:rsidR="00C7319A" w:rsidRPr="009123CB" w:rsidRDefault="00C7319A" w:rsidP="00C7319A">
      <w:pPr>
        <w:pStyle w:val="FootnoteBulletLevel2"/>
        <w:spacing w:before="0"/>
        <w:ind w:left="720" w:hanging="7"/>
        <w:rPr>
          <w:lang w:val="de-DE"/>
        </w:rPr>
      </w:pPr>
    </w:p>
    <w:p w:rsidR="00C7319A" w:rsidRPr="009123CB" w:rsidRDefault="00C7319A" w:rsidP="00C7319A">
      <w:pPr>
        <w:pStyle w:val="Footnotedash"/>
        <w:spacing w:before="0" w:after="0"/>
        <w:ind w:left="720" w:hanging="7"/>
        <w:rPr>
          <w:lang w:val="de-DE"/>
        </w:rPr>
      </w:pPr>
      <w:r w:rsidRPr="009123CB">
        <w:rPr>
          <w:rFonts w:ascii="Tahoma" w:hAnsi="Tahoma" w:cs="Tahoma"/>
          <w:sz w:val="18"/>
          <w:szCs w:val="18"/>
          <w:lang w:val="de-DE"/>
        </w:rPr>
        <w:t xml:space="preserve">Sie müssen über mindestens einen der folgenden aktiven Verträge oder Beitritte mit Microsoft Ireland Operations Ltd verfügen: </w:t>
      </w:r>
    </w:p>
    <w:p w:rsidR="00C7319A" w:rsidRPr="009123CB" w:rsidRDefault="00C7319A" w:rsidP="00C7319A">
      <w:pPr>
        <w:pStyle w:val="Footnotedash"/>
        <w:spacing w:before="0" w:after="0"/>
        <w:ind w:left="720" w:hanging="7"/>
        <w:rPr>
          <w:lang w:val="de-DE"/>
        </w:rPr>
      </w:pPr>
    </w:p>
    <w:p w:rsidR="00C7319A" w:rsidRPr="009123CB" w:rsidRDefault="00C7319A" w:rsidP="00C7319A">
      <w:pPr>
        <w:pStyle w:val="Footnotedash"/>
        <w:numPr>
          <w:ilvl w:val="0"/>
          <w:numId w:val="32"/>
        </w:numPr>
        <w:adjustRightInd/>
        <w:spacing w:before="0"/>
        <w:ind w:left="1440"/>
        <w:textAlignment w:val="auto"/>
        <w:rPr>
          <w:lang w:val="de-DE"/>
        </w:rPr>
      </w:pPr>
      <w:r w:rsidRPr="009123CB">
        <w:rPr>
          <w:rFonts w:ascii="Tahoma" w:hAnsi="Tahoma" w:cs="Tahoma"/>
          <w:sz w:val="18"/>
          <w:szCs w:val="18"/>
          <w:lang w:val="de-DE"/>
        </w:rPr>
        <w:t>Select-, Konzern- oder Konzern-Abonnement-Beitritt</w:t>
      </w:r>
    </w:p>
    <w:p w:rsidR="00C7319A" w:rsidRPr="009123CB" w:rsidRDefault="00C7319A" w:rsidP="00C7319A">
      <w:pPr>
        <w:pStyle w:val="Footnotedash"/>
        <w:numPr>
          <w:ilvl w:val="0"/>
          <w:numId w:val="32"/>
        </w:numPr>
        <w:adjustRightInd/>
        <w:spacing w:before="0"/>
        <w:ind w:left="1440"/>
        <w:textAlignment w:val="auto"/>
        <w:rPr>
          <w:lang w:val="de-DE"/>
        </w:rPr>
      </w:pPr>
      <w:r w:rsidRPr="009123CB">
        <w:rPr>
          <w:rFonts w:ascii="Tahoma" w:hAnsi="Tahoma" w:cs="Tahoma"/>
          <w:sz w:val="18"/>
          <w:szCs w:val="18"/>
          <w:lang w:val="de-DE"/>
        </w:rPr>
        <w:t xml:space="preserve">Open-Lizenz*, Open Value, Campus- und School-Vertrag, Open Value Subscription – Bildungslösungen </w:t>
      </w:r>
    </w:p>
    <w:p w:rsidR="00C7319A" w:rsidRPr="009123CB" w:rsidRDefault="00C7319A" w:rsidP="00C7319A">
      <w:pPr>
        <w:pStyle w:val="Footnotedash"/>
        <w:tabs>
          <w:tab w:val="clear" w:pos="1620"/>
        </w:tabs>
        <w:adjustRightInd/>
        <w:spacing w:before="0"/>
        <w:ind w:left="1440" w:firstLine="0"/>
        <w:textAlignment w:val="auto"/>
        <w:rPr>
          <w:lang w:val="de-DE"/>
        </w:rPr>
      </w:pPr>
      <w:r w:rsidRPr="009123CB">
        <w:rPr>
          <w:rFonts w:ascii="Tahoma" w:hAnsi="Tahoma" w:cs="Tahoma"/>
          <w:sz w:val="18"/>
          <w:szCs w:val="18"/>
          <w:lang w:val="de-DE"/>
        </w:rPr>
        <w:t>(*Bei einer Open-Lizenz ist ein „aktiver Vertrag“ einer, der mit einer aktiven Open-Lizenz-Autorisierungsnummer verknüpft ist</w:t>
      </w:r>
      <w:r w:rsidR="006257A7">
        <w:rPr>
          <w:rFonts w:ascii="Tahoma" w:hAnsi="Tahoma" w:cs="Tahoma"/>
          <w:sz w:val="18"/>
          <w:szCs w:val="18"/>
          <w:lang w:val="de-DE"/>
        </w:rPr>
        <w:t xml:space="preserve">. </w:t>
      </w:r>
      <w:r w:rsidRPr="009123CB">
        <w:rPr>
          <w:rFonts w:ascii="Tahoma" w:hAnsi="Tahoma" w:cs="Tahoma"/>
          <w:sz w:val="18"/>
          <w:szCs w:val="18"/>
          <w:lang w:val="de-DE"/>
        </w:rPr>
        <w:t>)</w:t>
      </w:r>
    </w:p>
    <w:p w:rsidR="00C7319A" w:rsidRPr="009123CB" w:rsidRDefault="00C7319A" w:rsidP="00C7319A">
      <w:pPr>
        <w:pStyle w:val="Footnotedash"/>
        <w:tabs>
          <w:tab w:val="clear" w:pos="1620"/>
        </w:tabs>
        <w:adjustRightInd/>
        <w:spacing w:before="0" w:after="0"/>
        <w:ind w:left="0" w:firstLine="0"/>
        <w:textAlignment w:val="auto"/>
        <w:rPr>
          <w:lang w:val="de-DE"/>
        </w:rPr>
      </w:pPr>
    </w:p>
    <w:p w:rsidR="00C7319A" w:rsidRPr="009123CB" w:rsidRDefault="00C7319A" w:rsidP="00C7319A">
      <w:pPr>
        <w:pStyle w:val="Footnotedash"/>
        <w:spacing w:before="0" w:after="0"/>
        <w:ind w:left="720" w:hanging="7"/>
        <w:rPr>
          <w:lang w:val="de-DE"/>
        </w:rPr>
      </w:pPr>
      <w:r w:rsidRPr="009123CB">
        <w:rPr>
          <w:rFonts w:ascii="Tahoma" w:hAnsi="Tahoma" w:cs="Tahoma"/>
          <w:sz w:val="18"/>
          <w:szCs w:val="18"/>
          <w:lang w:val="de-DE"/>
        </w:rPr>
        <w:t>Sie müssen über aktive Software Assurance für das Windows Desktop-Betriebssystem oder über Windows Vista Business-Upgrade-Lizenzen verfügen</w:t>
      </w:r>
      <w:r w:rsidR="006257A7">
        <w:rPr>
          <w:rFonts w:ascii="Tahoma" w:hAnsi="Tahoma" w:cs="Tahoma"/>
          <w:sz w:val="18"/>
          <w:szCs w:val="18"/>
          <w:lang w:val="de-DE"/>
        </w:rPr>
        <w:t xml:space="preserve">. </w:t>
      </w:r>
    </w:p>
    <w:p w:rsidR="00C7319A" w:rsidRPr="009123CB" w:rsidRDefault="00C7319A" w:rsidP="00C7319A">
      <w:pPr>
        <w:pStyle w:val="Footnotedash"/>
        <w:spacing w:before="0" w:after="0"/>
        <w:ind w:left="720" w:hanging="7"/>
        <w:rPr>
          <w:lang w:val="de-DE"/>
        </w:rPr>
      </w:pPr>
    </w:p>
    <w:p w:rsidR="00C7319A" w:rsidRPr="009123CB" w:rsidRDefault="00C7319A" w:rsidP="00C7319A">
      <w:pPr>
        <w:pStyle w:val="Footnotedash"/>
        <w:spacing w:before="0" w:after="0"/>
        <w:ind w:left="720" w:hanging="7"/>
        <w:rPr>
          <w:lang w:val="de-DE"/>
        </w:rPr>
      </w:pPr>
      <w:r w:rsidRPr="009123CB">
        <w:rPr>
          <w:rFonts w:ascii="Tahoma" w:hAnsi="Tahoma" w:cs="Tahoma"/>
          <w:sz w:val="18"/>
          <w:szCs w:val="18"/>
          <w:lang w:val="de-DE"/>
        </w:rPr>
        <w:t>Sie müssen ihren Sitz in einem Land der Europäischen Union (EU), der Europäischen Freihandelszone (EFTA), in Bulgarien, Kroatien, Rumänien oder der Schweiz haben</w:t>
      </w:r>
      <w:r w:rsidR="006257A7">
        <w:rPr>
          <w:rFonts w:ascii="Tahoma" w:hAnsi="Tahoma" w:cs="Tahoma"/>
          <w:sz w:val="18"/>
          <w:szCs w:val="18"/>
          <w:lang w:val="de-DE"/>
        </w:rPr>
        <w:t xml:space="preserve">. </w:t>
      </w:r>
    </w:p>
    <w:p w:rsidR="00C7319A" w:rsidRPr="009123CB" w:rsidRDefault="00C7319A" w:rsidP="00C7319A">
      <w:pPr>
        <w:pStyle w:val="Footnotedash"/>
        <w:spacing w:before="0" w:after="0"/>
        <w:ind w:left="720" w:hanging="7"/>
        <w:rPr>
          <w:lang w:val="de-DE"/>
        </w:rPr>
      </w:pPr>
    </w:p>
    <w:p w:rsidR="00C7319A" w:rsidRPr="00EB2C55" w:rsidRDefault="00C7319A" w:rsidP="00C7319A">
      <w:pPr>
        <w:pStyle w:val="FootnoteBulletLevel1"/>
        <w:tabs>
          <w:tab w:val="clear" w:pos="900"/>
        </w:tabs>
        <w:adjustRightInd/>
        <w:spacing w:before="0" w:after="60"/>
        <w:ind w:left="720" w:firstLine="0"/>
        <w:textAlignment w:val="auto"/>
        <w:rPr>
          <w:lang w:val="de-DE"/>
        </w:rPr>
      </w:pPr>
      <w:r w:rsidRPr="00EB2C55">
        <w:rPr>
          <w:rFonts w:ascii="Tahoma" w:hAnsi="Tahoma" w:cs="Tahoma"/>
          <w:b/>
          <w:bCs/>
          <w:sz w:val="18"/>
          <w:szCs w:val="18"/>
          <w:lang w:val="de-DE"/>
        </w:rPr>
        <w:t>Windows 7 Professional N (ohne Windows Media Player)</w:t>
      </w:r>
    </w:p>
    <w:p w:rsidR="00C7319A" w:rsidRDefault="00C7319A" w:rsidP="0095262C">
      <w:pPr>
        <w:pStyle w:val="FootnoteBulletLevel2"/>
        <w:spacing w:before="0"/>
        <w:ind w:left="720" w:firstLine="0"/>
        <w:rPr>
          <w:rFonts w:ascii="Tahoma" w:hAnsi="Tahoma" w:cs="Tahoma"/>
          <w:sz w:val="18"/>
          <w:szCs w:val="18"/>
          <w:lang w:val="de-DE"/>
        </w:rPr>
      </w:pPr>
      <w:r w:rsidRPr="009123CB">
        <w:rPr>
          <w:rFonts w:ascii="Tahoma" w:hAnsi="Tahoma" w:cs="Tahoma"/>
          <w:sz w:val="18"/>
          <w:szCs w:val="18"/>
          <w:u w:val="single"/>
          <w:lang w:val="de-DE"/>
        </w:rPr>
        <w:t>Berechtigung</w:t>
      </w:r>
      <w:r w:rsidRPr="007E1881">
        <w:rPr>
          <w:rFonts w:ascii="Tahoma" w:hAnsi="Tahoma" w:cs="Tahoma"/>
          <w:sz w:val="18"/>
          <w:szCs w:val="18"/>
          <w:lang w:val="de-DE"/>
        </w:rPr>
        <w:t>:</w:t>
      </w:r>
      <w:r w:rsidRPr="009123CB">
        <w:rPr>
          <w:rFonts w:ascii="Tahoma" w:hAnsi="Tahoma" w:cs="Tahoma"/>
          <w:sz w:val="18"/>
          <w:szCs w:val="18"/>
          <w:u w:val="single"/>
          <w:lang w:val="de-DE"/>
        </w:rPr>
        <w:br/>
      </w:r>
      <w:r w:rsidRPr="009123CB">
        <w:rPr>
          <w:rFonts w:ascii="Tahoma" w:hAnsi="Tahoma" w:cs="Tahoma"/>
          <w:sz w:val="18"/>
          <w:szCs w:val="18"/>
          <w:lang w:val="de-DE"/>
        </w:rPr>
        <w:t>Kunden mit Volumenlizenzverträgen, die folgende Kriterien erfüllen, sind berechtigt, Medien für Microsoft Windows 7 Professional N ausschließlich zur Bereitstellung und Nutzung in der Europäischen Union (EU), der</w:t>
      </w:r>
      <w:r w:rsidR="0095262C">
        <w:rPr>
          <w:rFonts w:ascii="Tahoma" w:hAnsi="Tahoma" w:cs="Tahoma"/>
          <w:sz w:val="18"/>
          <w:szCs w:val="18"/>
          <w:lang w:val="de-DE"/>
        </w:rPr>
        <w:t> </w:t>
      </w:r>
      <w:r w:rsidRPr="009123CB">
        <w:rPr>
          <w:rFonts w:ascii="Tahoma" w:hAnsi="Tahoma" w:cs="Tahoma"/>
          <w:sz w:val="18"/>
          <w:szCs w:val="18"/>
          <w:lang w:val="de-DE"/>
        </w:rPr>
        <w:t>Europäischen Freihandelszone (EFTA), in Bulgarien, Kroatien, Rumänien oder der Schweiz zu erwerben</w:t>
      </w:r>
      <w:r w:rsidR="006257A7">
        <w:rPr>
          <w:rFonts w:ascii="Tahoma" w:hAnsi="Tahoma" w:cs="Tahoma"/>
          <w:sz w:val="18"/>
          <w:szCs w:val="18"/>
          <w:lang w:val="de-DE"/>
        </w:rPr>
        <w:t xml:space="preserve">. </w:t>
      </w:r>
    </w:p>
    <w:p w:rsidR="00C7319A" w:rsidRDefault="00C7319A" w:rsidP="00C7319A">
      <w:pPr>
        <w:pStyle w:val="Footnotedash"/>
        <w:spacing w:before="0" w:after="0"/>
        <w:ind w:left="720" w:firstLine="0"/>
        <w:rPr>
          <w:rFonts w:ascii="Tahoma" w:hAnsi="Tahoma" w:cs="Tahoma"/>
          <w:sz w:val="18"/>
          <w:szCs w:val="18"/>
          <w:lang w:val="de-DE"/>
        </w:rPr>
      </w:pPr>
      <w:r w:rsidRPr="009123CB">
        <w:rPr>
          <w:rFonts w:ascii="Tahoma" w:hAnsi="Tahoma" w:cs="Tahoma"/>
          <w:sz w:val="18"/>
          <w:szCs w:val="18"/>
          <w:lang w:val="de-DE"/>
        </w:rPr>
        <w:t xml:space="preserve">Sie müssen über mindestens einen der folgenden aktiven Verträge oder Beitritte mit Microsoft Ireland Operations Ltd verfügen: </w:t>
      </w:r>
    </w:p>
    <w:p w:rsidR="00C7319A" w:rsidRPr="009123CB" w:rsidRDefault="00C7319A" w:rsidP="00C7319A">
      <w:pPr>
        <w:pStyle w:val="Footnotedash"/>
        <w:numPr>
          <w:ilvl w:val="0"/>
          <w:numId w:val="32"/>
        </w:numPr>
        <w:adjustRightInd/>
        <w:spacing w:before="0"/>
        <w:ind w:left="1440"/>
        <w:textAlignment w:val="auto"/>
        <w:rPr>
          <w:lang w:val="de-DE"/>
        </w:rPr>
      </w:pPr>
      <w:r w:rsidRPr="009123CB">
        <w:rPr>
          <w:rFonts w:ascii="Tahoma" w:hAnsi="Tahoma" w:cs="Tahoma"/>
          <w:sz w:val="18"/>
          <w:szCs w:val="18"/>
          <w:lang w:val="de-DE"/>
        </w:rPr>
        <w:t>Select-, Konzern- oder Konzern-Abonnement-Beitritt</w:t>
      </w:r>
    </w:p>
    <w:p w:rsidR="00C7319A" w:rsidRPr="009123CB" w:rsidRDefault="00C7319A" w:rsidP="00C7319A">
      <w:pPr>
        <w:pStyle w:val="Footnotedash"/>
        <w:numPr>
          <w:ilvl w:val="0"/>
          <w:numId w:val="32"/>
        </w:numPr>
        <w:adjustRightInd/>
        <w:spacing w:before="0"/>
        <w:ind w:left="1440"/>
        <w:textAlignment w:val="auto"/>
        <w:rPr>
          <w:lang w:val="de-DE"/>
        </w:rPr>
      </w:pPr>
      <w:r w:rsidRPr="009123CB">
        <w:rPr>
          <w:rFonts w:ascii="Tahoma" w:hAnsi="Tahoma" w:cs="Tahoma"/>
          <w:sz w:val="18"/>
          <w:szCs w:val="18"/>
          <w:lang w:val="de-DE"/>
        </w:rPr>
        <w:t xml:space="preserve">Open-Lizenz*, Open Value, Campus- und School-Vertrag, Open Value Subscription – Bildungslösungen </w:t>
      </w:r>
    </w:p>
    <w:p w:rsidR="00C7319A" w:rsidRPr="009123CB" w:rsidRDefault="00C7319A" w:rsidP="00C7319A">
      <w:pPr>
        <w:pStyle w:val="Footnotedash"/>
        <w:tabs>
          <w:tab w:val="clear" w:pos="1620"/>
        </w:tabs>
        <w:adjustRightInd/>
        <w:spacing w:before="0"/>
        <w:ind w:left="1440" w:firstLine="0"/>
        <w:textAlignment w:val="auto"/>
        <w:rPr>
          <w:lang w:val="de-DE"/>
        </w:rPr>
      </w:pPr>
      <w:r w:rsidRPr="009123CB">
        <w:rPr>
          <w:rFonts w:ascii="Tahoma" w:hAnsi="Tahoma" w:cs="Tahoma"/>
          <w:sz w:val="18"/>
          <w:szCs w:val="18"/>
          <w:lang w:val="de-DE"/>
        </w:rPr>
        <w:t>(*Bei einer Open-Lizenz ist ein „aktiver Vertrag“ einer, der mit einer aktiven Open-Lizenz-Autorisierungsnummer verknüpft ist</w:t>
      </w:r>
      <w:r w:rsidR="006257A7">
        <w:rPr>
          <w:rFonts w:ascii="Tahoma" w:hAnsi="Tahoma" w:cs="Tahoma"/>
          <w:sz w:val="18"/>
          <w:szCs w:val="18"/>
          <w:lang w:val="de-DE"/>
        </w:rPr>
        <w:t xml:space="preserve">. </w:t>
      </w:r>
      <w:r w:rsidRPr="009123CB">
        <w:rPr>
          <w:rFonts w:ascii="Tahoma" w:hAnsi="Tahoma" w:cs="Tahoma"/>
          <w:sz w:val="18"/>
          <w:szCs w:val="18"/>
          <w:lang w:val="de-DE"/>
        </w:rPr>
        <w:t>)</w:t>
      </w:r>
    </w:p>
    <w:p w:rsidR="00C7319A" w:rsidRPr="009123CB" w:rsidRDefault="00C7319A" w:rsidP="00C7319A">
      <w:pPr>
        <w:pStyle w:val="Footnotedash"/>
        <w:spacing w:before="0" w:after="0"/>
        <w:ind w:left="720" w:firstLine="0"/>
        <w:rPr>
          <w:lang w:val="de-DE"/>
        </w:rPr>
      </w:pPr>
      <w:r w:rsidRPr="009123CB">
        <w:rPr>
          <w:rFonts w:ascii="Tahoma" w:hAnsi="Tahoma" w:cs="Tahoma"/>
          <w:sz w:val="18"/>
          <w:szCs w:val="18"/>
          <w:lang w:val="de-DE"/>
        </w:rPr>
        <w:t>Sie müssen über aktive Software Assurance für das Windows Desktop-Betriebssytem oder Windows 8 Pro oder über Upgrade-Lizenzen verfügen</w:t>
      </w:r>
      <w:r w:rsidR="006257A7">
        <w:rPr>
          <w:rFonts w:ascii="Tahoma" w:hAnsi="Tahoma" w:cs="Tahoma"/>
          <w:sz w:val="18"/>
          <w:szCs w:val="18"/>
          <w:lang w:val="de-DE"/>
        </w:rPr>
        <w:t xml:space="preserve">. </w:t>
      </w:r>
    </w:p>
    <w:p w:rsidR="00C7319A" w:rsidRPr="009123CB" w:rsidRDefault="00C7319A" w:rsidP="00C7319A">
      <w:pPr>
        <w:pStyle w:val="Footnotedash"/>
        <w:spacing w:before="0" w:after="0"/>
        <w:ind w:left="720" w:firstLine="0"/>
        <w:rPr>
          <w:lang w:val="de-DE"/>
        </w:rPr>
      </w:pPr>
    </w:p>
    <w:p w:rsidR="00C7319A" w:rsidRPr="009123CB" w:rsidRDefault="00C7319A" w:rsidP="00C7319A">
      <w:pPr>
        <w:pStyle w:val="Footnotedash"/>
        <w:spacing w:before="0" w:after="0"/>
        <w:ind w:left="720" w:firstLine="0"/>
        <w:rPr>
          <w:lang w:val="de-DE"/>
        </w:rPr>
      </w:pPr>
      <w:r w:rsidRPr="009123CB">
        <w:rPr>
          <w:rFonts w:ascii="Tahoma" w:hAnsi="Tahoma" w:cs="Tahoma"/>
          <w:sz w:val="18"/>
          <w:szCs w:val="18"/>
          <w:lang w:val="de-DE"/>
        </w:rPr>
        <w:t>Sie müssen ihren Sitz in einem Land der Europäischen Union (EU), der Europäischen Freihandelszone (EFTA), in Bulgarien, Kroatien, Rumänien oder der Schweiz haben</w:t>
      </w:r>
      <w:r w:rsidR="006257A7">
        <w:rPr>
          <w:rFonts w:ascii="Tahoma" w:hAnsi="Tahoma" w:cs="Tahoma"/>
          <w:sz w:val="18"/>
          <w:szCs w:val="18"/>
          <w:lang w:val="de-DE"/>
        </w:rPr>
        <w:t xml:space="preserve">. </w:t>
      </w:r>
    </w:p>
    <w:p w:rsidR="00C7319A" w:rsidRPr="009123CB" w:rsidRDefault="00C7319A" w:rsidP="00C7319A">
      <w:pPr>
        <w:pStyle w:val="Footnotedash"/>
        <w:spacing w:before="0" w:after="0"/>
        <w:ind w:left="720" w:firstLine="0"/>
        <w:rPr>
          <w:lang w:val="de-DE"/>
        </w:rPr>
      </w:pPr>
    </w:p>
    <w:p w:rsidR="00C7319A" w:rsidRPr="009123CB" w:rsidRDefault="00C7319A" w:rsidP="00C7319A">
      <w:pPr>
        <w:pStyle w:val="Footnotedash"/>
        <w:spacing w:before="0" w:after="0"/>
        <w:ind w:left="720" w:firstLine="0"/>
        <w:rPr>
          <w:lang w:val="de-DE"/>
        </w:rPr>
      </w:pPr>
      <w:r w:rsidRPr="009123CB">
        <w:rPr>
          <w:rFonts w:ascii="Tahoma" w:hAnsi="Tahoma" w:cs="Tahoma"/>
          <w:sz w:val="18"/>
          <w:szCs w:val="18"/>
          <w:lang w:val="de-DE"/>
        </w:rPr>
        <w:t>Kunden können den Hinweis in den Produktbenutzungsrechten von Juli 2009 bezüglich des Nichtvorhandenseins von Internet Explorer 8 sowie den zugehörigen Gewährleistungsausschluss ignorieren</w:t>
      </w:r>
      <w:r w:rsidR="006257A7">
        <w:rPr>
          <w:rFonts w:ascii="Tahoma" w:hAnsi="Tahoma" w:cs="Tahoma"/>
          <w:sz w:val="18"/>
          <w:szCs w:val="18"/>
          <w:lang w:val="de-DE"/>
        </w:rPr>
        <w:t xml:space="preserve">. </w:t>
      </w:r>
    </w:p>
    <w:p w:rsidR="00C7319A" w:rsidRPr="009123CB" w:rsidRDefault="00C7319A" w:rsidP="00C7319A">
      <w:pPr>
        <w:pStyle w:val="FootnoteBulletLevel1"/>
        <w:tabs>
          <w:tab w:val="clear" w:pos="900"/>
        </w:tabs>
        <w:adjustRightInd/>
        <w:spacing w:before="0" w:after="0"/>
        <w:ind w:left="720" w:firstLine="0"/>
        <w:textAlignment w:val="auto"/>
        <w:rPr>
          <w:lang w:val="de-DE"/>
        </w:rPr>
      </w:pPr>
    </w:p>
    <w:p w:rsidR="00C7319A" w:rsidRPr="009123CB" w:rsidRDefault="00C7319A" w:rsidP="00C7319A">
      <w:pPr>
        <w:pStyle w:val="FootnoteBulletLevel1"/>
        <w:keepNext/>
        <w:tabs>
          <w:tab w:val="clear" w:pos="900"/>
        </w:tabs>
        <w:adjustRightInd/>
        <w:spacing w:before="0" w:after="60"/>
        <w:ind w:left="720" w:firstLine="0"/>
        <w:textAlignment w:val="auto"/>
        <w:rPr>
          <w:lang w:val="de-DE"/>
        </w:rPr>
      </w:pPr>
      <w:r w:rsidRPr="009123CB">
        <w:rPr>
          <w:rFonts w:ascii="Tahoma" w:hAnsi="Tahoma" w:cs="Tahoma"/>
          <w:b/>
          <w:bCs/>
          <w:sz w:val="18"/>
          <w:szCs w:val="18"/>
          <w:lang w:val="de-DE"/>
        </w:rPr>
        <w:t>Windows 8 Pro KN</w:t>
      </w:r>
    </w:p>
    <w:p w:rsidR="00C7319A" w:rsidRDefault="00C7319A" w:rsidP="00C7319A">
      <w:pPr>
        <w:pStyle w:val="FootnoteBulletLevel2"/>
        <w:spacing w:before="0"/>
        <w:ind w:left="720" w:hanging="7"/>
        <w:rPr>
          <w:rFonts w:ascii="Tahoma" w:hAnsi="Tahoma" w:cs="Tahoma"/>
          <w:sz w:val="18"/>
          <w:szCs w:val="18"/>
          <w:lang w:val="de-DE"/>
        </w:rPr>
      </w:pPr>
      <w:r w:rsidRPr="009123CB">
        <w:rPr>
          <w:rFonts w:ascii="Tahoma" w:hAnsi="Tahoma" w:cs="Tahoma"/>
          <w:sz w:val="18"/>
          <w:szCs w:val="18"/>
          <w:u w:val="single"/>
          <w:lang w:val="de-DE"/>
        </w:rPr>
        <w:t>Berechtigung</w:t>
      </w:r>
      <w:r w:rsidRPr="009123CB">
        <w:rPr>
          <w:rFonts w:ascii="Tahoma" w:hAnsi="Tahoma" w:cs="Tahoma"/>
          <w:sz w:val="18"/>
          <w:szCs w:val="18"/>
          <w:u w:val="single"/>
          <w:lang w:val="de-DE"/>
        </w:rPr>
        <w:br/>
      </w:r>
      <w:r w:rsidRPr="009123CB">
        <w:rPr>
          <w:rFonts w:ascii="Tahoma" w:hAnsi="Tahoma" w:cs="Tahoma"/>
          <w:sz w:val="18"/>
          <w:szCs w:val="18"/>
          <w:lang w:val="de-DE"/>
        </w:rPr>
        <w:t>Volumenlizenzkunden in Korea, die über einen aktiven Volumenlizenzvertrag oder Beitritt mit Microsoft Operations Pte Ltd verfügen, sind berechtigt, Medien für Windows 8 Pro KN für die Bereitstellung und Nutzung in Korea zu erwerben</w:t>
      </w:r>
      <w:r w:rsidR="006257A7">
        <w:rPr>
          <w:rFonts w:ascii="Tahoma" w:hAnsi="Tahoma" w:cs="Tahoma"/>
          <w:sz w:val="18"/>
          <w:szCs w:val="18"/>
          <w:lang w:val="de-DE"/>
        </w:rPr>
        <w:t xml:space="preserve">. </w:t>
      </w:r>
      <w:r w:rsidRPr="009123CB">
        <w:rPr>
          <w:rFonts w:ascii="Tahoma" w:hAnsi="Tahoma" w:cs="Tahoma"/>
          <w:sz w:val="18"/>
          <w:szCs w:val="18"/>
          <w:lang w:val="de-DE"/>
        </w:rPr>
        <w:t>Keine andere Verwendung ist erlaubt</w:t>
      </w:r>
      <w:r w:rsidR="006257A7">
        <w:rPr>
          <w:rFonts w:ascii="Tahoma" w:hAnsi="Tahoma" w:cs="Tahoma"/>
          <w:sz w:val="18"/>
          <w:szCs w:val="18"/>
          <w:lang w:val="de-DE"/>
        </w:rPr>
        <w:t xml:space="preserve">. </w:t>
      </w:r>
    </w:p>
    <w:p w:rsidR="008A3D24" w:rsidRDefault="008A3D24" w:rsidP="00C7319A">
      <w:pPr>
        <w:pStyle w:val="FootnoteBulletLevel1"/>
        <w:tabs>
          <w:tab w:val="clear" w:pos="900"/>
        </w:tabs>
        <w:adjustRightInd/>
        <w:spacing w:before="0" w:after="60"/>
        <w:ind w:left="720" w:firstLine="0"/>
        <w:textAlignment w:val="auto"/>
        <w:rPr>
          <w:rFonts w:ascii="Tahoma" w:hAnsi="Tahoma" w:cs="Tahoma"/>
          <w:b/>
          <w:bCs/>
          <w:sz w:val="18"/>
          <w:szCs w:val="18"/>
          <w:lang w:val="de-DE"/>
        </w:rPr>
      </w:pPr>
    </w:p>
    <w:p w:rsidR="00C7319A" w:rsidRPr="001742B1" w:rsidRDefault="00C7319A" w:rsidP="00C7319A">
      <w:pPr>
        <w:pStyle w:val="FootnoteBulletLevel1"/>
        <w:tabs>
          <w:tab w:val="clear" w:pos="900"/>
        </w:tabs>
        <w:adjustRightInd/>
        <w:spacing w:before="0" w:after="60"/>
        <w:ind w:left="720" w:firstLine="0"/>
        <w:textAlignment w:val="auto"/>
        <w:rPr>
          <w:lang w:val="de-DE"/>
        </w:rPr>
      </w:pPr>
      <w:r w:rsidRPr="001742B1">
        <w:rPr>
          <w:rFonts w:ascii="Tahoma" w:hAnsi="Tahoma" w:cs="Tahoma"/>
          <w:b/>
          <w:bCs/>
          <w:sz w:val="18"/>
          <w:szCs w:val="18"/>
          <w:lang w:val="de-DE"/>
        </w:rPr>
        <w:t>Windows 8 Pro N (ohne Windows Media Player)</w:t>
      </w:r>
    </w:p>
    <w:p w:rsidR="00C7319A" w:rsidRPr="009123CB" w:rsidRDefault="00C7319A" w:rsidP="00C7319A">
      <w:pPr>
        <w:pStyle w:val="FootnoteBulletLevel2"/>
        <w:spacing w:before="0"/>
        <w:ind w:left="720" w:firstLine="0"/>
        <w:rPr>
          <w:lang w:val="de-DE"/>
        </w:rPr>
      </w:pPr>
      <w:r w:rsidRPr="009123CB">
        <w:rPr>
          <w:rFonts w:ascii="Tahoma" w:hAnsi="Tahoma" w:cs="Tahoma"/>
          <w:sz w:val="18"/>
          <w:szCs w:val="18"/>
          <w:u w:val="single"/>
          <w:lang w:val="de-DE"/>
        </w:rPr>
        <w:t>Berechtigung</w:t>
      </w:r>
      <w:r w:rsidRPr="007E1881">
        <w:rPr>
          <w:rFonts w:ascii="Tahoma" w:hAnsi="Tahoma" w:cs="Tahoma"/>
          <w:sz w:val="18"/>
          <w:szCs w:val="18"/>
          <w:lang w:val="de-DE"/>
        </w:rPr>
        <w:t>:</w:t>
      </w:r>
      <w:r w:rsidRPr="009123CB">
        <w:rPr>
          <w:rFonts w:ascii="Tahoma" w:hAnsi="Tahoma" w:cs="Tahoma"/>
          <w:sz w:val="18"/>
          <w:szCs w:val="18"/>
          <w:u w:val="single"/>
          <w:lang w:val="de-DE"/>
        </w:rPr>
        <w:br/>
      </w:r>
      <w:r w:rsidRPr="009123CB">
        <w:rPr>
          <w:rFonts w:ascii="Tahoma" w:hAnsi="Tahoma" w:cs="Tahoma"/>
          <w:sz w:val="18"/>
          <w:szCs w:val="18"/>
          <w:lang w:val="de-DE"/>
        </w:rPr>
        <w:t>Kunden mit Volumenlizenzverträgen, die folgende Kriterien erfüllen, sind berechtigt, Medien für Microsoft Windows 8 Pro N ausschließlich zur Bereitstellung und Nutzung in der Europäischen Union (EU), der Europäischen Freihandelszone (EFTA), in Bulgarien, Kroatien, Rumänien oder der Schweiz zu erwerben</w:t>
      </w:r>
      <w:r w:rsidR="006257A7">
        <w:rPr>
          <w:rFonts w:ascii="Tahoma" w:hAnsi="Tahoma" w:cs="Tahoma"/>
          <w:sz w:val="18"/>
          <w:szCs w:val="18"/>
          <w:lang w:val="de-DE"/>
        </w:rPr>
        <w:t xml:space="preserve">. </w:t>
      </w:r>
    </w:p>
    <w:p w:rsidR="00C7319A" w:rsidRPr="009123CB" w:rsidRDefault="00C7319A" w:rsidP="00C7319A">
      <w:pPr>
        <w:pStyle w:val="Footnotedash"/>
        <w:spacing w:before="0" w:after="0"/>
        <w:ind w:left="720" w:hanging="7"/>
        <w:rPr>
          <w:lang w:val="de-DE"/>
        </w:rPr>
      </w:pPr>
      <w:r w:rsidRPr="009123CB">
        <w:rPr>
          <w:rFonts w:ascii="Tahoma" w:hAnsi="Tahoma" w:cs="Tahoma"/>
          <w:sz w:val="18"/>
          <w:szCs w:val="18"/>
          <w:lang w:val="de-DE"/>
        </w:rPr>
        <w:t xml:space="preserve">Sie müssen über mindestens einen der folgenden aktiven Verträge oder Beitritte mit Microsoft Ireland Operations Ltd verfügen: </w:t>
      </w:r>
    </w:p>
    <w:p w:rsidR="00C7319A" w:rsidRPr="009123CB" w:rsidRDefault="00C7319A" w:rsidP="00C7319A">
      <w:pPr>
        <w:pStyle w:val="Footnotedash"/>
        <w:numPr>
          <w:ilvl w:val="0"/>
          <w:numId w:val="32"/>
        </w:numPr>
        <w:adjustRightInd/>
        <w:spacing w:before="0"/>
        <w:ind w:left="1440"/>
        <w:textAlignment w:val="auto"/>
        <w:rPr>
          <w:lang w:val="de-DE"/>
        </w:rPr>
      </w:pPr>
      <w:r w:rsidRPr="009123CB">
        <w:rPr>
          <w:rFonts w:ascii="Tahoma" w:hAnsi="Tahoma" w:cs="Tahoma"/>
          <w:sz w:val="18"/>
          <w:szCs w:val="18"/>
          <w:lang w:val="de-DE"/>
        </w:rPr>
        <w:t>Select-, Konzern- oder Konzern-Abonnement-Beitritt</w:t>
      </w:r>
    </w:p>
    <w:p w:rsidR="00C7319A" w:rsidRPr="009123CB" w:rsidRDefault="00C7319A" w:rsidP="00C7319A">
      <w:pPr>
        <w:pStyle w:val="Footnotedash"/>
        <w:numPr>
          <w:ilvl w:val="0"/>
          <w:numId w:val="32"/>
        </w:numPr>
        <w:adjustRightInd/>
        <w:spacing w:before="0"/>
        <w:ind w:left="1440"/>
        <w:textAlignment w:val="auto"/>
        <w:rPr>
          <w:lang w:val="de-DE"/>
        </w:rPr>
      </w:pPr>
      <w:r w:rsidRPr="009123CB">
        <w:rPr>
          <w:rFonts w:ascii="Tahoma" w:hAnsi="Tahoma" w:cs="Tahoma"/>
          <w:sz w:val="18"/>
          <w:szCs w:val="18"/>
          <w:lang w:val="de-DE"/>
        </w:rPr>
        <w:t xml:space="preserve">Open-Lizenz*, Open Value, Campus- und School-Vertrag, Open Value Subscription – Bildungslösungen </w:t>
      </w:r>
    </w:p>
    <w:p w:rsidR="00C7319A" w:rsidRPr="009123CB" w:rsidRDefault="00C7319A" w:rsidP="00C7319A">
      <w:pPr>
        <w:pStyle w:val="Footnotedash"/>
        <w:tabs>
          <w:tab w:val="clear" w:pos="1620"/>
        </w:tabs>
        <w:adjustRightInd/>
        <w:spacing w:before="0"/>
        <w:ind w:left="1440" w:firstLine="0"/>
        <w:textAlignment w:val="auto"/>
        <w:rPr>
          <w:lang w:val="de-DE"/>
        </w:rPr>
      </w:pPr>
      <w:r w:rsidRPr="009123CB">
        <w:rPr>
          <w:rFonts w:ascii="Tahoma" w:hAnsi="Tahoma" w:cs="Tahoma"/>
          <w:sz w:val="18"/>
          <w:szCs w:val="18"/>
          <w:lang w:val="de-DE"/>
        </w:rPr>
        <w:t>(*Bei einer Open-Lizenz ist ein „aktiver Vertrag“ einer, der mit einer aktiven Open-Lizenz-Autorisierungsnummer verknüpft ist</w:t>
      </w:r>
      <w:r w:rsidR="006257A7">
        <w:rPr>
          <w:rFonts w:ascii="Tahoma" w:hAnsi="Tahoma" w:cs="Tahoma"/>
          <w:sz w:val="18"/>
          <w:szCs w:val="18"/>
          <w:lang w:val="de-DE"/>
        </w:rPr>
        <w:t xml:space="preserve">. </w:t>
      </w:r>
      <w:r w:rsidRPr="009123CB">
        <w:rPr>
          <w:rFonts w:ascii="Tahoma" w:hAnsi="Tahoma" w:cs="Tahoma"/>
          <w:sz w:val="18"/>
          <w:szCs w:val="18"/>
          <w:lang w:val="de-DE"/>
        </w:rPr>
        <w:t>)</w:t>
      </w:r>
    </w:p>
    <w:p w:rsidR="00C7319A" w:rsidRPr="009123CB" w:rsidRDefault="00C7319A" w:rsidP="00C7319A">
      <w:pPr>
        <w:pStyle w:val="Footnotedash"/>
        <w:tabs>
          <w:tab w:val="clear" w:pos="1620"/>
        </w:tabs>
        <w:adjustRightInd/>
        <w:spacing w:before="0" w:after="0"/>
        <w:ind w:left="1440" w:firstLine="0"/>
        <w:textAlignment w:val="auto"/>
        <w:rPr>
          <w:lang w:val="de-DE"/>
        </w:rPr>
      </w:pPr>
    </w:p>
    <w:p w:rsidR="00C7319A" w:rsidRPr="009123CB" w:rsidRDefault="00C7319A" w:rsidP="00C7319A">
      <w:pPr>
        <w:pStyle w:val="Footnotedash"/>
        <w:spacing w:before="0" w:after="0"/>
        <w:ind w:left="720" w:hanging="7"/>
        <w:rPr>
          <w:lang w:val="de-DE"/>
        </w:rPr>
      </w:pPr>
      <w:r w:rsidRPr="009123CB">
        <w:rPr>
          <w:rFonts w:ascii="Tahoma" w:hAnsi="Tahoma" w:cs="Tahoma"/>
          <w:sz w:val="18"/>
          <w:szCs w:val="18"/>
          <w:lang w:val="de-DE"/>
        </w:rPr>
        <w:t>Sie müssen über aktive Software Assurance für das Windows Desktop-Betriebssystem oder über Windows 8 Pro-Upgrade-Lizenzen verfügen</w:t>
      </w:r>
      <w:r w:rsidR="006257A7">
        <w:rPr>
          <w:rFonts w:ascii="Tahoma" w:hAnsi="Tahoma" w:cs="Tahoma"/>
          <w:sz w:val="18"/>
          <w:szCs w:val="18"/>
          <w:lang w:val="de-DE"/>
        </w:rPr>
        <w:t xml:space="preserve">. </w:t>
      </w:r>
    </w:p>
    <w:p w:rsidR="00C7319A" w:rsidRPr="009123CB" w:rsidRDefault="00C7319A" w:rsidP="00C7319A">
      <w:pPr>
        <w:pStyle w:val="Footnotedash"/>
        <w:spacing w:before="0" w:after="0"/>
        <w:ind w:left="720" w:hanging="7"/>
        <w:rPr>
          <w:lang w:val="de-DE"/>
        </w:rPr>
      </w:pPr>
    </w:p>
    <w:p w:rsidR="00C7319A" w:rsidRPr="009123CB" w:rsidRDefault="00C7319A" w:rsidP="00C7319A">
      <w:pPr>
        <w:pStyle w:val="Footnotedash"/>
        <w:spacing w:before="0" w:after="0"/>
        <w:ind w:left="720" w:hanging="7"/>
        <w:rPr>
          <w:lang w:val="de-DE"/>
        </w:rPr>
      </w:pPr>
      <w:r w:rsidRPr="009123CB">
        <w:rPr>
          <w:rFonts w:ascii="Tahoma" w:hAnsi="Tahoma" w:cs="Tahoma"/>
          <w:sz w:val="18"/>
          <w:szCs w:val="18"/>
          <w:lang w:val="de-DE"/>
        </w:rPr>
        <w:t>Sie müssen ihren Sitz in einem Land der Europäischen Union (EU), der Europäischen Freihandelszone (EFTA), in Bulgarien, Kroatien, Rumänien oder der Schweiz haben</w:t>
      </w:r>
      <w:r w:rsidR="006257A7">
        <w:rPr>
          <w:rFonts w:ascii="Tahoma" w:hAnsi="Tahoma" w:cs="Tahoma"/>
          <w:sz w:val="18"/>
          <w:szCs w:val="18"/>
          <w:lang w:val="de-DE"/>
        </w:rPr>
        <w:t xml:space="preserve">. </w:t>
      </w:r>
    </w:p>
    <w:p w:rsidR="00C7319A" w:rsidRPr="009123CB" w:rsidRDefault="00C7319A" w:rsidP="00C7319A">
      <w:pPr>
        <w:pStyle w:val="FootnoteBulletLevel1"/>
        <w:tabs>
          <w:tab w:val="clear" w:pos="900"/>
        </w:tabs>
        <w:adjustRightInd/>
        <w:spacing w:before="0" w:after="0"/>
        <w:ind w:left="720" w:firstLine="0"/>
        <w:textAlignment w:val="auto"/>
        <w:rPr>
          <w:lang w:val="de-DE"/>
        </w:rPr>
      </w:pPr>
    </w:p>
    <w:p w:rsidR="00C7319A" w:rsidRPr="009123CB" w:rsidRDefault="00C7319A" w:rsidP="00C7319A">
      <w:pPr>
        <w:pStyle w:val="FootnoteBulletLevel1"/>
        <w:tabs>
          <w:tab w:val="clear" w:pos="900"/>
        </w:tabs>
        <w:adjustRightInd/>
        <w:spacing w:before="0" w:after="60"/>
        <w:ind w:left="720" w:firstLine="0"/>
        <w:textAlignment w:val="auto"/>
        <w:rPr>
          <w:lang w:val="de-DE"/>
        </w:rPr>
      </w:pPr>
      <w:r w:rsidRPr="009123CB">
        <w:rPr>
          <w:rFonts w:ascii="Tahoma" w:hAnsi="Tahoma" w:cs="Tahoma"/>
          <w:b/>
          <w:bCs/>
          <w:sz w:val="18"/>
          <w:szCs w:val="18"/>
          <w:lang w:val="de-DE"/>
        </w:rPr>
        <w:t>Vermietungsrechte für Windows</w:t>
      </w:r>
    </w:p>
    <w:p w:rsidR="00C7319A" w:rsidRPr="009123CB" w:rsidRDefault="00C7319A" w:rsidP="00C7319A">
      <w:pPr>
        <w:pStyle w:val="FootnoteBulletLevel1"/>
        <w:tabs>
          <w:tab w:val="clear" w:pos="900"/>
        </w:tabs>
        <w:adjustRightInd/>
        <w:spacing w:before="0" w:after="0"/>
        <w:ind w:left="720" w:firstLine="0"/>
        <w:textAlignment w:val="auto"/>
        <w:rPr>
          <w:lang w:val="de-DE"/>
        </w:rPr>
      </w:pPr>
      <w:r w:rsidRPr="009123CB">
        <w:rPr>
          <w:rFonts w:ascii="Tahoma" w:hAnsi="Tahoma" w:cs="Tahoma"/>
          <w:sz w:val="18"/>
          <w:szCs w:val="18"/>
          <w:u w:val="single"/>
          <w:lang w:val="de-DE"/>
        </w:rPr>
        <w:t>Vermietungsrechtelizenzen</w:t>
      </w:r>
      <w:r w:rsidRPr="007E1881">
        <w:rPr>
          <w:rFonts w:ascii="Tahoma" w:hAnsi="Tahoma" w:cs="Tahoma"/>
          <w:sz w:val="18"/>
          <w:szCs w:val="18"/>
          <w:lang w:val="de-DE"/>
        </w:rPr>
        <w:t>:</w:t>
      </w:r>
      <w:r w:rsidRPr="009123CB">
        <w:rPr>
          <w:rFonts w:ascii="Tahoma" w:hAnsi="Tahoma" w:cs="Tahoma"/>
          <w:sz w:val="18"/>
          <w:szCs w:val="18"/>
          <w:lang w:val="de-DE"/>
        </w:rPr>
        <w:br/>
        <w:t>Die unter diesen Programmen gewährten Vermietungsrechtelizenzen sind ausschließlich Add-On-Lizenzen</w:t>
      </w:r>
      <w:r w:rsidR="006257A7">
        <w:rPr>
          <w:rFonts w:ascii="Tahoma" w:hAnsi="Tahoma" w:cs="Tahoma"/>
          <w:sz w:val="18"/>
          <w:szCs w:val="18"/>
          <w:lang w:val="de-DE"/>
        </w:rPr>
        <w:t xml:space="preserve">. </w:t>
      </w:r>
      <w:r w:rsidRPr="009123CB">
        <w:rPr>
          <w:rFonts w:ascii="Tahoma" w:hAnsi="Tahoma" w:cs="Tahoma"/>
          <w:sz w:val="18"/>
          <w:szCs w:val="18"/>
          <w:lang w:val="de-DE"/>
        </w:rPr>
        <w:t>Sie sind weder eine Vollversion eines Betriebssystems noch ein Ersatz für das Volumenlizenz-Upgrade</w:t>
      </w:r>
      <w:r w:rsidR="006257A7">
        <w:rPr>
          <w:rFonts w:ascii="Tahoma" w:hAnsi="Tahoma" w:cs="Tahoma"/>
          <w:sz w:val="18"/>
          <w:szCs w:val="18"/>
          <w:lang w:val="de-DE"/>
        </w:rPr>
        <w:t xml:space="preserve">. </w:t>
      </w:r>
      <w:r w:rsidRPr="009123CB">
        <w:rPr>
          <w:rFonts w:ascii="Tahoma" w:hAnsi="Tahoma" w:cs="Tahoma"/>
          <w:sz w:val="18"/>
          <w:szCs w:val="18"/>
          <w:lang w:val="de-DE"/>
        </w:rPr>
        <w:t>Daher muss jeder Desktop, dem Sie eine Vermietungsrechtelizenz zuweisen, zur Ausführung eines der unten genannten qualifizierenden Betriebssysteme lizenziert sein</w:t>
      </w:r>
      <w:r w:rsidR="006257A7">
        <w:rPr>
          <w:rFonts w:ascii="Tahoma" w:hAnsi="Tahoma" w:cs="Tahoma"/>
          <w:sz w:val="18"/>
          <w:szCs w:val="18"/>
          <w:lang w:val="de-DE"/>
        </w:rPr>
        <w:t xml:space="preserve">. </w:t>
      </w:r>
    </w:p>
    <w:p w:rsidR="00C7319A" w:rsidRPr="009123CB" w:rsidRDefault="00C7319A" w:rsidP="00C7319A">
      <w:pPr>
        <w:pStyle w:val="FootnoteBulletLevel1"/>
        <w:tabs>
          <w:tab w:val="clear" w:pos="900"/>
        </w:tabs>
        <w:adjustRightInd/>
        <w:spacing w:before="0" w:after="0"/>
        <w:ind w:left="720" w:firstLine="0"/>
        <w:textAlignment w:val="auto"/>
        <w:rPr>
          <w:lang w:val="de-DE"/>
        </w:rPr>
      </w:pPr>
    </w:p>
    <w:p w:rsidR="00C7319A" w:rsidRPr="007E1881" w:rsidRDefault="00C7319A" w:rsidP="00C7319A">
      <w:pPr>
        <w:pStyle w:val="FootnoteBulletLevel1"/>
        <w:tabs>
          <w:tab w:val="clear" w:pos="900"/>
        </w:tabs>
        <w:adjustRightInd/>
        <w:spacing w:before="0" w:after="0"/>
        <w:ind w:left="720" w:firstLine="0"/>
        <w:textAlignment w:val="auto"/>
      </w:pPr>
      <w:r>
        <w:rPr>
          <w:rFonts w:ascii="Tahoma" w:hAnsi="Tahoma" w:cs="Tahoma"/>
          <w:sz w:val="18"/>
          <w:szCs w:val="18"/>
          <w:u w:val="single"/>
        </w:rPr>
        <w:t>Windows Vista, Windows 7 Professional und Windows 8 Pro</w:t>
      </w:r>
      <w:r w:rsidRPr="007E1881">
        <w:rPr>
          <w:rFonts w:ascii="Tahoma" w:hAnsi="Tahoma" w:cs="Tahoma"/>
          <w:sz w:val="18"/>
          <w:szCs w:val="18"/>
        </w:rPr>
        <w:t>:</w:t>
      </w:r>
    </w:p>
    <w:p w:rsidR="00C7319A" w:rsidRPr="009123CB" w:rsidRDefault="00C7319A" w:rsidP="00C7319A">
      <w:pPr>
        <w:pStyle w:val="FootnoteBulletLevel1"/>
        <w:tabs>
          <w:tab w:val="clear" w:pos="900"/>
        </w:tabs>
        <w:adjustRightInd/>
        <w:spacing w:before="0" w:after="0"/>
        <w:ind w:left="720" w:firstLine="0"/>
        <w:textAlignment w:val="auto"/>
        <w:rPr>
          <w:lang w:val="de-DE"/>
        </w:rPr>
      </w:pPr>
      <w:r w:rsidRPr="009123CB">
        <w:rPr>
          <w:rFonts w:ascii="Tahoma" w:hAnsi="Tahoma" w:cs="Tahoma"/>
          <w:sz w:val="18"/>
          <w:szCs w:val="18"/>
          <w:lang w:val="de-DE"/>
        </w:rPr>
        <w:t>Kunden, die über das Select- oder das Open-Lizenzprogramm Vermietungsrechtelizenzen erwerben möchten, müssen zunächst ein qualifizierendes Betriebssystem für ihren Desktop lizenzieren und es darauf installieren</w:t>
      </w:r>
      <w:r w:rsidR="006257A7">
        <w:rPr>
          <w:rFonts w:ascii="Tahoma" w:hAnsi="Tahoma" w:cs="Tahoma"/>
          <w:i/>
          <w:iCs/>
          <w:sz w:val="18"/>
          <w:szCs w:val="18"/>
          <w:lang w:val="de-DE"/>
        </w:rPr>
        <w:t xml:space="preserve">. </w:t>
      </w:r>
      <w:r w:rsidRPr="009123CB">
        <w:rPr>
          <w:rFonts w:ascii="Tahoma" w:hAnsi="Tahoma" w:cs="Tahoma"/>
          <w:sz w:val="18"/>
          <w:szCs w:val="18"/>
          <w:lang w:val="de-DE"/>
        </w:rPr>
        <w:t>Lizenzierte qualifizierende Betriebssysteme umfassen auch Lizenzen, die über den Get Genuine Windows-Vertrag unter diesen Programmen erworben wurden</w:t>
      </w:r>
      <w:r w:rsidR="006257A7">
        <w:rPr>
          <w:rFonts w:ascii="Tahoma" w:hAnsi="Tahoma" w:cs="Tahoma"/>
          <w:sz w:val="18"/>
          <w:szCs w:val="18"/>
          <w:lang w:val="de-DE"/>
        </w:rPr>
        <w:t xml:space="preserve">. </w:t>
      </w:r>
    </w:p>
    <w:p w:rsidR="00C7319A" w:rsidRPr="009123CB" w:rsidRDefault="00C7319A" w:rsidP="00C7319A">
      <w:pPr>
        <w:ind w:left="720"/>
        <w:rPr>
          <w:lang w:val="de-DE"/>
        </w:rPr>
      </w:pPr>
    </w:p>
    <w:p w:rsidR="00C7319A" w:rsidRPr="009123CB" w:rsidRDefault="00C7319A" w:rsidP="00C7319A">
      <w:pPr>
        <w:ind w:left="720"/>
        <w:rPr>
          <w:lang w:val="de-DE"/>
        </w:rPr>
      </w:pPr>
      <w:r w:rsidRPr="009123CB">
        <w:rPr>
          <w:rFonts w:cs="Tahoma"/>
          <w:szCs w:val="18"/>
          <w:u w:val="single"/>
          <w:lang w:val="de-DE"/>
        </w:rPr>
        <w:t>Regeln für qualifizierende Betriebssysteme</w:t>
      </w:r>
      <w:r w:rsidRPr="007E1881">
        <w:rPr>
          <w:rFonts w:cs="Tahoma"/>
          <w:szCs w:val="18"/>
          <w:lang w:val="de-DE"/>
        </w:rPr>
        <w:t>:</w:t>
      </w:r>
      <w:r w:rsidRPr="009123CB">
        <w:rPr>
          <w:rFonts w:cs="Tahoma"/>
          <w:szCs w:val="18"/>
          <w:lang w:val="de-DE"/>
        </w:rPr>
        <w:t xml:space="preserve"> (Alle Bedingungen müssen erfüllt sein, damit das Basisbetriebssystem Sie für die Vermietungsrechtelizenz qualifiziert): </w:t>
      </w:r>
    </w:p>
    <w:p w:rsidR="00C7319A" w:rsidRPr="009123CB" w:rsidRDefault="00C7319A" w:rsidP="00C7319A">
      <w:pPr>
        <w:ind w:left="1440"/>
        <w:rPr>
          <w:lang w:val="de-DE"/>
        </w:rPr>
      </w:pPr>
    </w:p>
    <w:p w:rsidR="00C7319A" w:rsidRPr="009123CB" w:rsidRDefault="00C7319A" w:rsidP="00C7319A">
      <w:pPr>
        <w:numPr>
          <w:ilvl w:val="0"/>
          <w:numId w:val="28"/>
        </w:numPr>
        <w:ind w:left="1440"/>
        <w:rPr>
          <w:lang w:val="de-DE"/>
        </w:rPr>
      </w:pPr>
      <w:r w:rsidRPr="009123CB">
        <w:rPr>
          <w:rFonts w:cs="Tahoma"/>
          <w:szCs w:val="18"/>
          <w:lang w:val="de-DE"/>
        </w:rPr>
        <w:t>Die Lizenz für das qualifizierende Betriebssystem muss demselben Gerät zugeordnet sein wie die zu vergebende VL-Vermietungsrechtelizenz</w:t>
      </w:r>
      <w:r w:rsidR="006257A7">
        <w:rPr>
          <w:rFonts w:cs="Tahoma"/>
          <w:szCs w:val="18"/>
          <w:lang w:val="de-DE"/>
        </w:rPr>
        <w:t xml:space="preserve">. </w:t>
      </w:r>
    </w:p>
    <w:p w:rsidR="00C7319A" w:rsidRPr="009123CB" w:rsidRDefault="00C7319A" w:rsidP="00C7319A">
      <w:pPr>
        <w:numPr>
          <w:ilvl w:val="0"/>
          <w:numId w:val="28"/>
        </w:numPr>
        <w:ind w:left="1440"/>
        <w:rPr>
          <w:lang w:val="de-DE"/>
        </w:rPr>
      </w:pPr>
      <w:r w:rsidRPr="009123CB">
        <w:rPr>
          <w:rFonts w:cs="Tahoma"/>
          <w:szCs w:val="18"/>
          <w:lang w:val="de-DE"/>
        </w:rPr>
        <w:t>Das qualifizierende Betriebssystem muss auf diesem Gerät installiert sein</w:t>
      </w:r>
      <w:r w:rsidR="006257A7">
        <w:rPr>
          <w:rFonts w:cs="Tahoma"/>
          <w:szCs w:val="18"/>
          <w:lang w:val="de-DE"/>
        </w:rPr>
        <w:t xml:space="preserve">. </w:t>
      </w:r>
    </w:p>
    <w:p w:rsidR="00C7319A" w:rsidRPr="009123CB" w:rsidRDefault="00C7319A" w:rsidP="00C7319A">
      <w:pPr>
        <w:rPr>
          <w:lang w:val="de-DE"/>
        </w:rPr>
      </w:pPr>
    </w:p>
    <w:p w:rsidR="00C7319A" w:rsidRPr="009123CB" w:rsidRDefault="00C7319A" w:rsidP="00C7319A">
      <w:pPr>
        <w:pStyle w:val="EndnoteText"/>
        <w:ind w:left="720"/>
        <w:rPr>
          <w:lang w:val="de-DE"/>
        </w:rPr>
      </w:pPr>
      <w:r w:rsidRPr="009123CB">
        <w:rPr>
          <w:rFonts w:ascii="Tahoma" w:hAnsi="Tahoma" w:cs="Tahoma"/>
          <w:sz w:val="18"/>
          <w:szCs w:val="18"/>
          <w:lang w:val="de-DE"/>
        </w:rPr>
        <w:t>Die qualifizierenden Betriebssysteme nach Programmart sind:</w:t>
      </w:r>
    </w:p>
    <w:p w:rsidR="00C7319A" w:rsidRPr="009123CB" w:rsidRDefault="00C7319A" w:rsidP="00C7319A">
      <w:pPr>
        <w:pStyle w:val="EndnoteText"/>
        <w:rPr>
          <w:lang w:val="de-DE"/>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C7319A" w:rsidRPr="00322128" w:rsidTr="00A67771">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C7319A" w:rsidRPr="009123CB" w:rsidRDefault="00C7319A" w:rsidP="007E1881">
            <w:pPr>
              <w:ind w:left="122"/>
              <w:rPr>
                <w:rFonts w:eastAsia="Calibri" w:cs="Tahoma"/>
                <w:bCs/>
                <w:szCs w:val="18"/>
                <w:lang w:val="de-DE"/>
              </w:rPr>
            </w:pPr>
            <w:r w:rsidRPr="009123CB">
              <w:rPr>
                <w:rFonts w:cs="Tahoma"/>
                <w:b/>
                <w:bCs/>
                <w:szCs w:val="18"/>
                <w:lang w:val="de-DE"/>
              </w:rPr>
              <w:t>Qualifizierende Betriebssysteme für den Erwerb von Vermietungsrechten für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7319A" w:rsidRPr="00322128" w:rsidRDefault="00C7319A" w:rsidP="00A67771">
            <w:pPr>
              <w:jc w:val="center"/>
              <w:rPr>
                <w:rFonts w:eastAsia="Calibri" w:cs="Tahoma"/>
                <w:b/>
                <w:bCs/>
                <w:sz w:val="14"/>
                <w:szCs w:val="18"/>
              </w:rPr>
            </w:pPr>
            <w:r>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7319A" w:rsidRPr="00322128" w:rsidRDefault="00C7319A" w:rsidP="00A67771">
            <w:pPr>
              <w:jc w:val="center"/>
              <w:rPr>
                <w:rFonts w:eastAsia="Calibri" w:cs="Tahoma"/>
                <w:b/>
                <w:bCs/>
                <w:sz w:val="14"/>
                <w:szCs w:val="18"/>
              </w:rPr>
            </w:pPr>
            <w:r>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7319A" w:rsidRPr="00322128" w:rsidRDefault="00C7319A" w:rsidP="00A67771">
            <w:pPr>
              <w:jc w:val="center"/>
              <w:rPr>
                <w:rFonts w:eastAsia="Calibri" w:cs="Tahoma"/>
                <w:b/>
                <w:bCs/>
                <w:sz w:val="14"/>
                <w:szCs w:val="18"/>
              </w:rPr>
            </w:pPr>
            <w:r>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7319A" w:rsidRPr="00322128" w:rsidRDefault="00C7319A" w:rsidP="00A67771">
            <w:pPr>
              <w:jc w:val="center"/>
              <w:rPr>
                <w:rFonts w:eastAsia="Calibri" w:cs="Tahoma"/>
                <w:b/>
                <w:bCs/>
                <w:sz w:val="14"/>
                <w:szCs w:val="18"/>
              </w:rPr>
            </w:pPr>
            <w:r>
              <w:rPr>
                <w:rFonts w:cs="Tahoma"/>
                <w:b/>
                <w:bCs/>
                <w:sz w:val="14"/>
                <w:szCs w:val="18"/>
              </w:rPr>
              <w:t>Open-Lizenz</w:t>
            </w:r>
          </w:p>
        </w:tc>
        <w:tc>
          <w:tcPr>
            <w:tcW w:w="16" w:type="dxa"/>
            <w:vAlign w:val="center"/>
          </w:tcPr>
          <w:p w:rsidR="00C7319A" w:rsidRPr="00322128" w:rsidRDefault="00C7319A" w:rsidP="00A67771">
            <w:pPr>
              <w:rPr>
                <w:rFonts w:eastAsia="Calibri" w:cs="Tahoma"/>
                <w:szCs w:val="18"/>
              </w:rPr>
            </w:pPr>
          </w:p>
        </w:tc>
      </w:tr>
      <w:tr w:rsidR="00C7319A" w:rsidRPr="00322128" w:rsidTr="00A6777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C7319A" w:rsidRPr="00322128" w:rsidRDefault="00C7319A" w:rsidP="00A67771">
            <w:pPr>
              <w:rPr>
                <w:rFonts w:cs="Tahoma"/>
                <w:b/>
                <w:bCs/>
                <w:szCs w:val="18"/>
              </w:rPr>
            </w:pPr>
            <w:r>
              <w:rPr>
                <w:rFonts w:cs="Tahoma"/>
                <w:b/>
                <w:bCs/>
                <w:szCs w:val="18"/>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322128" w:rsidRDefault="00C7319A" w:rsidP="00A67771">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322128" w:rsidRDefault="00C7319A" w:rsidP="00A67771">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322128" w:rsidRDefault="00C7319A" w:rsidP="00A67771">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322128" w:rsidRDefault="00C7319A" w:rsidP="00A67771">
            <w:pPr>
              <w:jc w:val="center"/>
              <w:rPr>
                <w:rFonts w:eastAsia="Times New Roman" w:cs="Tahoma"/>
                <w:szCs w:val="18"/>
              </w:rPr>
            </w:pPr>
          </w:p>
        </w:tc>
        <w:tc>
          <w:tcPr>
            <w:tcW w:w="16" w:type="dxa"/>
            <w:vAlign w:val="center"/>
          </w:tcPr>
          <w:p w:rsidR="00C7319A" w:rsidRPr="00322128" w:rsidRDefault="00C7319A" w:rsidP="00A67771">
            <w:pPr>
              <w:rPr>
                <w:rFonts w:eastAsia="Calibri" w:cs="Tahoma"/>
                <w:szCs w:val="18"/>
              </w:rPr>
            </w:pPr>
          </w:p>
        </w:tc>
      </w:tr>
      <w:tr w:rsidR="00C7319A" w:rsidRPr="00322128" w:rsidTr="00A6777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C7319A" w:rsidRPr="00322128" w:rsidRDefault="00C7319A" w:rsidP="00A67771">
            <w:pPr>
              <w:ind w:left="522"/>
              <w:rPr>
                <w:rFonts w:cs="Tahoma"/>
                <w:b/>
                <w:bCs/>
                <w:szCs w:val="18"/>
              </w:rPr>
            </w:pPr>
            <w:r>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322128" w:rsidRDefault="00C7319A" w:rsidP="00A67771">
            <w:pPr>
              <w:jc w:val="center"/>
              <w:rPr>
                <w:rFonts w:eastAsia="Times New Roman" w:cs="Tahoma"/>
                <w:szCs w:val="18"/>
              </w:rPr>
            </w:pPr>
            <w:r>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322128" w:rsidRDefault="00C7319A" w:rsidP="00A67771">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322128" w:rsidRDefault="00C7319A" w:rsidP="00A67771">
            <w:pPr>
              <w:jc w:val="center"/>
              <w:rPr>
                <w:rFonts w:eastAsia="Times New Roman" w:cs="Tahoma"/>
                <w:szCs w:val="18"/>
              </w:rPr>
            </w:pPr>
            <w:r>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7319A" w:rsidRPr="00322128" w:rsidRDefault="00C7319A" w:rsidP="00A67771">
            <w:pPr>
              <w:jc w:val="center"/>
              <w:rPr>
                <w:rFonts w:eastAsia="Times New Roman" w:cs="Tahoma"/>
                <w:szCs w:val="18"/>
              </w:rPr>
            </w:pPr>
            <w:r>
              <w:rPr>
                <w:rFonts w:eastAsia="Times New Roman" w:cs="Tahoma"/>
                <w:szCs w:val="18"/>
              </w:rPr>
              <w:t>x</w:t>
            </w:r>
          </w:p>
        </w:tc>
        <w:tc>
          <w:tcPr>
            <w:tcW w:w="16" w:type="dxa"/>
            <w:vAlign w:val="center"/>
          </w:tcPr>
          <w:p w:rsidR="00C7319A" w:rsidRPr="00322128" w:rsidRDefault="00C7319A" w:rsidP="00A67771">
            <w:pPr>
              <w:rPr>
                <w:rFonts w:eastAsia="Calibri" w:cs="Tahoma"/>
                <w:szCs w:val="18"/>
              </w:rPr>
            </w:pPr>
          </w:p>
        </w:tc>
      </w:tr>
      <w:tr w:rsidR="00C7319A" w:rsidRPr="00322128" w:rsidTr="00A6777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rPr>
                <w:rFonts w:eastAsia="Calibri" w:cs="Tahoma"/>
                <w:b/>
                <w:bCs/>
                <w:szCs w:val="18"/>
              </w:rPr>
            </w:pPr>
            <w:r>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jc w:val="center"/>
              <w:rPr>
                <w:rFonts w:eastAsia="Times New Roman" w:cs="Tahoma"/>
                <w:szCs w:val="18"/>
              </w:rPr>
            </w:pPr>
          </w:p>
        </w:tc>
        <w:tc>
          <w:tcPr>
            <w:tcW w:w="16" w:type="dxa"/>
            <w:vAlign w:val="center"/>
          </w:tcPr>
          <w:p w:rsidR="00C7319A" w:rsidRPr="00322128" w:rsidRDefault="00C7319A" w:rsidP="00A67771">
            <w:pPr>
              <w:rPr>
                <w:rFonts w:eastAsia="Calibri" w:cs="Tahoma"/>
                <w:szCs w:val="18"/>
              </w:rPr>
            </w:pPr>
          </w:p>
        </w:tc>
      </w:tr>
      <w:tr w:rsidR="00C7319A" w:rsidRPr="00322128" w:rsidTr="00A6777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ind w:left="522"/>
              <w:rPr>
                <w:rFonts w:eastAsia="Calibri" w:cs="Tahoma"/>
                <w:bCs/>
                <w:szCs w:val="18"/>
              </w:rPr>
            </w:pPr>
            <w:r>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jc w:val="center"/>
              <w:rPr>
                <w:rFonts w:eastAsia="Calibri" w:cs="Tahoma"/>
                <w:szCs w:val="18"/>
              </w:rPr>
            </w:pPr>
            <w:r>
              <w:rPr>
                <w:rFonts w:cs="Tahoma"/>
                <w:szCs w:val="18"/>
              </w:rPr>
              <w:t>x</w:t>
            </w:r>
          </w:p>
        </w:tc>
        <w:tc>
          <w:tcPr>
            <w:tcW w:w="16" w:type="dxa"/>
            <w:vAlign w:val="center"/>
          </w:tcPr>
          <w:p w:rsidR="00C7319A" w:rsidRPr="00322128" w:rsidRDefault="00C7319A" w:rsidP="00A67771">
            <w:pPr>
              <w:rPr>
                <w:rFonts w:eastAsia="Calibri" w:cs="Tahoma"/>
                <w:szCs w:val="18"/>
              </w:rPr>
            </w:pPr>
          </w:p>
        </w:tc>
      </w:tr>
      <w:tr w:rsidR="00C7319A" w:rsidRPr="001B6F67" w:rsidTr="00A6777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9123CB" w:rsidRDefault="00C7319A" w:rsidP="00A67771">
            <w:pPr>
              <w:keepNext/>
              <w:rPr>
                <w:rFonts w:eastAsia="Calibri" w:cs="Tahoma"/>
                <w:b/>
                <w:bCs/>
                <w:szCs w:val="18"/>
                <w:lang w:val="de-DE"/>
              </w:rPr>
            </w:pPr>
            <w:r w:rsidRPr="009123CB">
              <w:rPr>
                <w:rFonts w:cs="Tahoma"/>
                <w:b/>
                <w:bCs/>
                <w:szCs w:val="18"/>
                <w:lang w:val="de-DE"/>
              </w:rPr>
              <w:t>Windows Vista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9123CB" w:rsidRDefault="00C7319A" w:rsidP="00A67771">
            <w:pPr>
              <w:jc w:val="center"/>
              <w:rPr>
                <w:rFonts w:eastAsia="Calibri" w:cs="Tahoma"/>
                <w:szCs w:val="18"/>
                <w:lang w:val="de-DE"/>
              </w:rPr>
            </w:pPr>
            <w:r w:rsidRPr="009123CB">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9123CB" w:rsidRDefault="00C7319A" w:rsidP="00A67771">
            <w:pPr>
              <w:jc w:val="center"/>
              <w:rPr>
                <w:rFonts w:eastAsia="Calibri" w:cs="Tahoma"/>
                <w:szCs w:val="18"/>
                <w:lang w:val="de-DE"/>
              </w:rPr>
            </w:pPr>
            <w:r w:rsidRPr="009123CB">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9123CB" w:rsidRDefault="00C7319A" w:rsidP="00A67771">
            <w:pPr>
              <w:jc w:val="center"/>
              <w:rPr>
                <w:rFonts w:eastAsia="Calibri" w:cs="Tahoma"/>
                <w:szCs w:val="18"/>
                <w:lang w:val="de-DE"/>
              </w:rPr>
            </w:pPr>
            <w:r w:rsidRPr="009123CB">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9123CB" w:rsidRDefault="00C7319A" w:rsidP="00A67771">
            <w:pPr>
              <w:jc w:val="center"/>
              <w:rPr>
                <w:rFonts w:eastAsia="Calibri" w:cs="Tahoma"/>
                <w:szCs w:val="18"/>
                <w:lang w:val="de-DE"/>
              </w:rPr>
            </w:pPr>
            <w:r w:rsidRPr="009123CB">
              <w:rPr>
                <w:rFonts w:cs="Tahoma"/>
                <w:szCs w:val="18"/>
                <w:lang w:val="de-DE"/>
              </w:rPr>
              <w:t xml:space="preserve"> </w:t>
            </w:r>
          </w:p>
        </w:tc>
        <w:tc>
          <w:tcPr>
            <w:tcW w:w="16" w:type="dxa"/>
            <w:vAlign w:val="center"/>
          </w:tcPr>
          <w:p w:rsidR="00C7319A" w:rsidRPr="009123CB" w:rsidRDefault="00C7319A" w:rsidP="00A67771">
            <w:pPr>
              <w:rPr>
                <w:rFonts w:eastAsia="Calibri" w:cs="Tahoma"/>
                <w:szCs w:val="18"/>
                <w:lang w:val="de-DE"/>
              </w:rPr>
            </w:pPr>
          </w:p>
        </w:tc>
      </w:tr>
      <w:tr w:rsidR="00C7319A" w:rsidRPr="00322128" w:rsidTr="00A6777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ind w:firstLine="540"/>
              <w:rPr>
                <w:rFonts w:eastAsia="Calibri" w:cs="Tahoma"/>
                <w:szCs w:val="18"/>
              </w:rPr>
            </w:pPr>
            <w:r>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7319A" w:rsidRPr="00322128" w:rsidRDefault="00C7319A" w:rsidP="00A67771">
            <w:pPr>
              <w:jc w:val="center"/>
              <w:rPr>
                <w:rFonts w:eastAsia="Calibri" w:cs="Tahoma"/>
                <w:szCs w:val="18"/>
              </w:rPr>
            </w:pPr>
            <w:r>
              <w:rPr>
                <w:rFonts w:cs="Tahoma"/>
                <w:szCs w:val="18"/>
              </w:rPr>
              <w:t>x</w:t>
            </w:r>
          </w:p>
        </w:tc>
        <w:tc>
          <w:tcPr>
            <w:tcW w:w="16" w:type="dxa"/>
            <w:vAlign w:val="center"/>
          </w:tcPr>
          <w:p w:rsidR="00C7319A" w:rsidRPr="00322128" w:rsidRDefault="00C7319A" w:rsidP="00A67771">
            <w:pPr>
              <w:rPr>
                <w:rFonts w:eastAsia="Calibri" w:cs="Tahoma"/>
                <w:szCs w:val="18"/>
              </w:rPr>
            </w:pPr>
          </w:p>
        </w:tc>
      </w:tr>
    </w:tbl>
    <w:p w:rsidR="00C7319A" w:rsidRDefault="00C7319A" w:rsidP="00C7319A"/>
    <w:p w:rsidR="00C7319A" w:rsidRPr="009123CB" w:rsidRDefault="00C7319A" w:rsidP="00C7319A">
      <w:pPr>
        <w:ind w:left="720"/>
        <w:rPr>
          <w:lang w:val="de-DE"/>
        </w:rPr>
      </w:pPr>
      <w:r w:rsidRPr="009123CB">
        <w:rPr>
          <w:rFonts w:cs="Tahoma"/>
          <w:szCs w:val="18"/>
          <w:lang w:val="de-DE"/>
        </w:rPr>
        <w:t>Kunden, die eine Vermietungsrechtelizenz zusätzlich zu einer Lizenz für ein qualifizierendes Betriebssystemerwerben, erweitern ihre Rechte gemäß der Lizenz für das qualifizierende Betriebssystem,</w:t>
      </w:r>
      <w:r w:rsidRPr="009123CB">
        <w:rPr>
          <w:rStyle w:val="CommentReference"/>
          <w:rFonts w:cs="Tahoma"/>
          <w:sz w:val="18"/>
          <w:szCs w:val="18"/>
          <w:lang w:val="de-DE"/>
        </w:rPr>
        <w:t xml:space="preserve"> </w:t>
      </w:r>
      <w:r w:rsidRPr="009123CB">
        <w:rPr>
          <w:rFonts w:cs="Tahoma"/>
          <w:szCs w:val="18"/>
          <w:lang w:val="de-DE"/>
        </w:rPr>
        <w:t>damit Dritte dieselbe Software verwenden können</w:t>
      </w:r>
      <w:r w:rsidR="006257A7">
        <w:rPr>
          <w:rFonts w:cs="Tahoma"/>
          <w:szCs w:val="18"/>
          <w:lang w:val="de-DE"/>
        </w:rPr>
        <w:t xml:space="preserve">. </w:t>
      </w:r>
      <w:r w:rsidRPr="009123CB">
        <w:rPr>
          <w:rFonts w:cs="Tahoma"/>
          <w:szCs w:val="18"/>
          <w:lang w:val="de-DE"/>
        </w:rPr>
        <w:t>Die Vermietungsrechtelizenz gewährt kein Versionsupgrade</w:t>
      </w:r>
      <w:r w:rsidR="006257A7">
        <w:rPr>
          <w:rFonts w:cs="Tahoma"/>
          <w:szCs w:val="18"/>
          <w:lang w:val="de-DE"/>
        </w:rPr>
        <w:t xml:space="preserve">. </w:t>
      </w:r>
    </w:p>
    <w:p w:rsidR="00C7319A" w:rsidRDefault="00C7319A" w:rsidP="00C7319A">
      <w:pPr>
        <w:ind w:left="720"/>
        <w:rPr>
          <w:lang w:val="de-DE"/>
        </w:rPr>
      </w:pPr>
    </w:p>
    <w:p w:rsidR="008A3D24" w:rsidRDefault="008A3D24" w:rsidP="00C7319A">
      <w:pPr>
        <w:ind w:left="720"/>
        <w:rPr>
          <w:lang w:val="de-DE"/>
        </w:rPr>
      </w:pPr>
    </w:p>
    <w:p w:rsidR="008A3D24" w:rsidRDefault="008A3D24" w:rsidP="00C7319A">
      <w:pPr>
        <w:ind w:left="720"/>
        <w:rPr>
          <w:lang w:val="de-DE"/>
        </w:rPr>
      </w:pPr>
    </w:p>
    <w:p w:rsidR="008A3D24" w:rsidRDefault="008A3D24" w:rsidP="00C7319A">
      <w:pPr>
        <w:ind w:left="720"/>
        <w:rPr>
          <w:lang w:val="de-DE"/>
        </w:rPr>
      </w:pPr>
    </w:p>
    <w:p w:rsidR="008A3D24" w:rsidRDefault="008A3D24" w:rsidP="00C7319A">
      <w:pPr>
        <w:ind w:left="720"/>
        <w:rPr>
          <w:lang w:val="de-DE"/>
        </w:rPr>
      </w:pPr>
    </w:p>
    <w:p w:rsidR="008A3D24" w:rsidRDefault="008A3D24" w:rsidP="00C7319A">
      <w:pPr>
        <w:ind w:left="720"/>
        <w:rPr>
          <w:lang w:val="de-DE"/>
        </w:rPr>
      </w:pPr>
    </w:p>
    <w:p w:rsidR="008A3D24" w:rsidRPr="009123CB" w:rsidRDefault="008A3D24" w:rsidP="00C7319A">
      <w:pPr>
        <w:ind w:left="720"/>
        <w:rPr>
          <w:lang w:val="de-DE"/>
        </w:rPr>
      </w:pPr>
    </w:p>
    <w:p w:rsidR="00C7319A" w:rsidRPr="009123CB" w:rsidRDefault="00C7319A" w:rsidP="00C7319A">
      <w:pPr>
        <w:ind w:left="720"/>
        <w:rPr>
          <w:lang w:val="de-DE"/>
        </w:rPr>
      </w:pPr>
      <w:r w:rsidRPr="009123CB">
        <w:rPr>
          <w:rFonts w:cs="Tahoma"/>
          <w:szCs w:val="18"/>
          <w:u w:val="single"/>
          <w:lang w:val="de-DE"/>
        </w:rPr>
        <w:t>Software Assurance-Ausnahme</w:t>
      </w:r>
    </w:p>
    <w:p w:rsidR="00C7319A" w:rsidRPr="009123CB" w:rsidRDefault="00C7319A" w:rsidP="00C7319A">
      <w:pPr>
        <w:ind w:left="720"/>
        <w:rPr>
          <w:lang w:val="de-DE"/>
        </w:rPr>
      </w:pPr>
      <w:r w:rsidRPr="009123CB">
        <w:rPr>
          <w:rFonts w:cs="Tahoma"/>
          <w:szCs w:val="18"/>
          <w:lang w:val="de-DE"/>
        </w:rPr>
        <w:t>Kunden, die Vermietungsrechtelizenzen erwerben, sind nicht berechtigt, Software Assurance für dieselben zugrunde liegenden Softwarelizenzen abzuschließen</w:t>
      </w:r>
      <w:r w:rsidR="006257A7">
        <w:rPr>
          <w:rFonts w:cs="Tahoma"/>
          <w:szCs w:val="18"/>
          <w:lang w:val="de-DE"/>
        </w:rPr>
        <w:t xml:space="preserve">. </w:t>
      </w:r>
      <w:r w:rsidRPr="009123CB">
        <w:rPr>
          <w:rFonts w:cs="Tahoma"/>
          <w:szCs w:val="18"/>
          <w:lang w:val="de-DE"/>
        </w:rPr>
        <w:t>Nutzer, die Geräte mieten/leasen und verwenden, denen Vermietungsrechtelizenzen zugewiesen sind, dürfen jedoch gemäß ihres eigenen Volumenlizenzvertrages Upgrades oder Upgrades und Software Assurance für die zugrunde liegenden Softwarelizenzen erwerben</w:t>
      </w:r>
      <w:r w:rsidR="006257A7">
        <w:rPr>
          <w:rFonts w:cs="Tahoma"/>
          <w:szCs w:val="18"/>
          <w:lang w:val="de-DE"/>
        </w:rPr>
        <w:t xml:space="preserve">. </w:t>
      </w:r>
      <w:r w:rsidRPr="009123CB">
        <w:rPr>
          <w:rFonts w:cs="Tahoma"/>
          <w:szCs w:val="18"/>
          <w:lang w:val="de-DE"/>
        </w:rPr>
        <w:t>Dieser Vorgang unterliegt den Bestimmungen dieser Vereinbarung zum Erwerb von Upgrades und Software Assurance</w:t>
      </w:r>
      <w:r w:rsidR="006257A7">
        <w:rPr>
          <w:rFonts w:cs="Tahoma"/>
          <w:szCs w:val="18"/>
          <w:lang w:val="de-DE"/>
        </w:rPr>
        <w:t xml:space="preserve">. </w:t>
      </w:r>
      <w:r w:rsidRPr="009123CB">
        <w:rPr>
          <w:rFonts w:cs="Tahoma"/>
          <w:szCs w:val="18"/>
          <w:lang w:val="de-DE"/>
        </w:rPr>
        <w:t>Ungeachtet gegenteiliger Bestimmungen im Vertrag dieses Kunden hinsichtlich der Ansammlung zeitlich unbeschränkter Rechte gilt das Recht zur Nutzung der Software im Rahmen von Software Assurance nur so lange, bis die entsprechenden Vermietungsrechtelizenzen ablaufen</w:t>
      </w:r>
      <w:r w:rsidR="006257A7">
        <w:rPr>
          <w:rFonts w:cs="Tahoma"/>
          <w:szCs w:val="18"/>
          <w:lang w:val="de-DE"/>
        </w:rPr>
        <w:t xml:space="preserve">. </w:t>
      </w:r>
    </w:p>
    <w:p w:rsidR="00C7319A" w:rsidRPr="009123CB" w:rsidRDefault="00C7319A" w:rsidP="00C7319A">
      <w:pPr>
        <w:rPr>
          <w:lang w:val="de-DE"/>
        </w:rPr>
      </w:pPr>
    </w:p>
    <w:bookmarkEnd w:id="1140"/>
    <w:bookmarkEnd w:id="1141"/>
    <w:bookmarkEnd w:id="1142"/>
    <w:p w:rsidR="00C7319A" w:rsidRPr="009123CB" w:rsidRDefault="00C7319A" w:rsidP="00C7319A">
      <w:pPr>
        <w:tabs>
          <w:tab w:val="left" w:pos="1440"/>
        </w:tabs>
        <w:ind w:left="1080"/>
        <w:contextualSpacing/>
        <w:rPr>
          <w:lang w:val="de-DE"/>
        </w:rPr>
      </w:pPr>
    </w:p>
    <w:p w:rsidR="00C7319A" w:rsidRPr="009123CB" w:rsidRDefault="00C7319A" w:rsidP="00C7319A">
      <w:pPr>
        <w:pStyle w:val="Heading2"/>
        <w:ind w:hanging="720"/>
        <w:rPr>
          <w:lang w:val="de-DE"/>
        </w:rPr>
      </w:pPr>
      <w:bookmarkStart w:id="1143" w:name="_98_Windows_Multipoint"/>
      <w:bookmarkStart w:id="1144" w:name="_98Windows_Intune_Add-on"/>
      <w:bookmarkStart w:id="1145" w:name="_97_Windows_Intune"/>
      <w:bookmarkStart w:id="1146" w:name="_33_Windows_Intune"/>
      <w:bookmarkStart w:id="1147" w:name="_34_Add-on_für"/>
      <w:bookmarkStart w:id="1148" w:name="Srv_110WindowsIntuneAddOn"/>
      <w:bookmarkStart w:id="1149" w:name="_Toc336338366"/>
      <w:bookmarkStart w:id="1150" w:name="_Toc363999030"/>
      <w:bookmarkStart w:id="1151" w:name="Srv_104WindowsIntuneAddOn"/>
      <w:bookmarkEnd w:id="1143"/>
      <w:bookmarkEnd w:id="1144"/>
      <w:bookmarkEnd w:id="1145"/>
      <w:bookmarkEnd w:id="1146"/>
      <w:bookmarkEnd w:id="1147"/>
      <w:r w:rsidRPr="009123CB">
        <w:rPr>
          <w:rFonts w:ascii="Tahoma" w:hAnsi="Tahoma" w:cs="Tahoma"/>
          <w:caps/>
          <w:color w:val="EE6000"/>
          <w:sz w:val="22"/>
          <w:szCs w:val="18"/>
          <w:vertAlign w:val="superscript"/>
          <w:lang w:val="de-DE"/>
        </w:rPr>
        <w:t>34</w:t>
      </w:r>
      <w:r w:rsidRPr="007E1881">
        <w:rPr>
          <w:rFonts w:ascii="Tahoma" w:hAnsi="Tahoma" w:cs="Tahoma"/>
          <w:caps/>
          <w:color w:val="EE6000"/>
          <w:sz w:val="22"/>
          <w:szCs w:val="18"/>
          <w:lang w:val="de-DE"/>
        </w:rPr>
        <w:t xml:space="preserve"> </w:t>
      </w:r>
      <w:r w:rsidRPr="009123CB">
        <w:rPr>
          <w:rFonts w:ascii="Tahoma" w:hAnsi="Tahoma" w:cs="Tahoma"/>
          <w:color w:val="EE6000"/>
          <w:sz w:val="22"/>
          <w:szCs w:val="18"/>
          <w:lang w:val="de-DE"/>
        </w:rPr>
        <w:t>Add-on für Windows Intune</w:t>
      </w:r>
      <w:bookmarkEnd w:id="1148"/>
      <w:bookmarkEnd w:id="1149"/>
      <w:r w:rsidRPr="009123CB">
        <w:rPr>
          <w:rFonts w:ascii="Tahoma" w:hAnsi="Tahoma" w:cs="Tahoma"/>
          <w:color w:val="EE6000"/>
          <w:sz w:val="22"/>
          <w:szCs w:val="18"/>
          <w:lang w:val="de-DE"/>
        </w:rPr>
        <w:t xml:space="preserve"> (pro Gerät)</w:t>
      </w:r>
      <w:bookmarkEnd w:id="1150"/>
    </w:p>
    <w:bookmarkEnd w:id="1151"/>
    <w:p w:rsidR="00C7319A" w:rsidRPr="009123CB" w:rsidRDefault="00C7319A" w:rsidP="00C7319A">
      <w:pPr>
        <w:ind w:left="720"/>
        <w:rPr>
          <w:lang w:val="de-DE"/>
        </w:rPr>
      </w:pPr>
    </w:p>
    <w:p w:rsidR="00C7319A" w:rsidRPr="009123CB" w:rsidRDefault="00C7319A" w:rsidP="00C7319A">
      <w:pPr>
        <w:ind w:left="720"/>
        <w:rPr>
          <w:lang w:val="de-DE"/>
        </w:rPr>
      </w:pPr>
      <w:r w:rsidRPr="009123CB">
        <w:rPr>
          <w:lang w:val="de-DE"/>
        </w:rPr>
        <w:t>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w:t>
      </w:r>
      <w:r w:rsidR="006257A7">
        <w:rPr>
          <w:lang w:val="de-DE"/>
        </w:rPr>
        <w:t xml:space="preserve">. </w:t>
      </w:r>
      <w:r w:rsidRPr="009123CB">
        <w:rPr>
          <w:lang w:val="de-DE"/>
        </w:rPr>
        <w:t>Add-On-Lizenzen für Windows Intune (Pro Gerät) müssen unter dem gleichen Beitritt erworben werden wie die entsprechende Software Assurance bzw</w:t>
      </w:r>
      <w:r w:rsidR="006257A7">
        <w:rPr>
          <w:lang w:val="de-DE"/>
        </w:rPr>
        <w:t xml:space="preserve">. </w:t>
      </w:r>
      <w:r w:rsidRPr="009123CB">
        <w:rPr>
          <w:lang w:val="de-DE"/>
        </w:rPr>
        <w:t>Windows VDA-Lizenz</w:t>
      </w:r>
      <w:r w:rsidR="006257A7">
        <w:rPr>
          <w:lang w:val="de-DE"/>
        </w:rPr>
        <w:t xml:space="preserve">. </w:t>
      </w:r>
    </w:p>
    <w:p w:rsidR="00C7319A" w:rsidRPr="009123CB" w:rsidRDefault="00C7319A" w:rsidP="00C7319A">
      <w:pPr>
        <w:ind w:left="720"/>
        <w:rPr>
          <w:lang w:val="de-DE"/>
        </w:rPr>
      </w:pPr>
    </w:p>
    <w:p w:rsidR="00C7319A" w:rsidRPr="009123CB" w:rsidRDefault="00C7319A" w:rsidP="00C7319A">
      <w:pPr>
        <w:spacing w:after="60"/>
        <w:ind w:left="720"/>
        <w:rPr>
          <w:lang w:val="de-DE"/>
        </w:rPr>
      </w:pPr>
      <w:r w:rsidRPr="009123CB">
        <w:rPr>
          <w:b/>
          <w:lang w:val="de-DE"/>
        </w:rPr>
        <w:t>Neuzuweisung von Lizenzen</w:t>
      </w:r>
    </w:p>
    <w:p w:rsidR="00C7319A" w:rsidRPr="009123CB" w:rsidRDefault="00C7319A" w:rsidP="00C7319A">
      <w:pPr>
        <w:ind w:left="720"/>
        <w:rPr>
          <w:lang w:val="de-DE"/>
        </w:rPr>
      </w:pPr>
      <w:r w:rsidRPr="009123CB">
        <w:rPr>
          <w:lang w:val="de-DE"/>
        </w:rPr>
        <w:t>Kunden sind berechtigt, Add-On-Lizenzen für Windows Intune (Pro Gerät) neu zuzuweisen, jedoch nicht nur kurzzeitig (d</w:t>
      </w:r>
      <w:r w:rsidR="006257A7">
        <w:rPr>
          <w:lang w:val="de-DE"/>
        </w:rPr>
        <w:t xml:space="preserve">. </w:t>
      </w:r>
      <w:r w:rsidRPr="009123CB">
        <w:rPr>
          <w:lang w:val="de-DE"/>
        </w:rPr>
        <w:t>h</w:t>
      </w:r>
      <w:r w:rsidR="006257A7">
        <w:rPr>
          <w:lang w:val="de-DE"/>
        </w:rPr>
        <w:t xml:space="preserve">. </w:t>
      </w:r>
      <w:r w:rsidRPr="009123CB">
        <w:rPr>
          <w:lang w:val="de-DE"/>
        </w:rPr>
        <w:t>nicht innerhalb von 90 Tagen nach der letzten Zuweisung)</w:t>
      </w:r>
      <w:r w:rsidR="006257A7">
        <w:rPr>
          <w:lang w:val="de-DE"/>
        </w:rPr>
        <w:t xml:space="preserve">. </w:t>
      </w:r>
      <w:r w:rsidRPr="009123CB">
        <w:rPr>
          <w:lang w:val="de-DE"/>
        </w:rPr>
        <w:t>Kunden sind berechtigt, eine Add-On-Lizenz für Windows Intune (Pro Gerät) früher neu zuzuweisen, wenn sie das vorhandene lizenzierte Gerät aufgrund eines Hardwarefehlers außer Dienst stellen</w:t>
      </w:r>
      <w:r w:rsidR="006257A7">
        <w:rPr>
          <w:lang w:val="de-DE"/>
        </w:rPr>
        <w:t xml:space="preserve">. </w:t>
      </w:r>
      <w:r w:rsidRPr="009123CB">
        <w:rPr>
          <w:lang w:val="de-DE"/>
        </w:rPr>
        <w:t>Das Gerät, dem eine Add-On-Lizenz für Windows Intune (Pro Gerät) neu zugewiesen wird, muss entweder über aktive Windows Software Assurance oder über eine aktive Lizenz für Windows VDA verfügen, die unter dem gleichen Beitritt erworben wurde wie die Add-On-Lizenz für Windows Intune (Pro Gerät)</w:t>
      </w:r>
      <w:r w:rsidR="006257A7">
        <w:rPr>
          <w:lang w:val="de-DE"/>
        </w:rPr>
        <w:t xml:space="preserve">. </w:t>
      </w:r>
    </w:p>
    <w:p w:rsidR="00C7319A" w:rsidRPr="009123CB" w:rsidRDefault="00C7319A" w:rsidP="00C7319A">
      <w:pPr>
        <w:pStyle w:val="Heading2"/>
        <w:ind w:left="0"/>
        <w:rPr>
          <w:lang w:val="de-DE"/>
        </w:rPr>
      </w:pPr>
      <w:r w:rsidRPr="009123CB">
        <w:rPr>
          <w:rFonts w:ascii="Tahoma" w:hAnsi="Tahoma" w:cs="Tahoma"/>
          <w:sz w:val="28"/>
          <w:lang w:val="de-DE"/>
        </w:rPr>
        <w:br w:type="page"/>
      </w:r>
      <w:bookmarkStart w:id="1152" w:name="_Toc336338287"/>
      <w:bookmarkStart w:id="1153" w:name="_Toc363999031"/>
      <w:r w:rsidRPr="009123CB">
        <w:rPr>
          <w:rFonts w:ascii="Tahoma" w:hAnsi="Tahoma" w:cs="Tahoma"/>
          <w:sz w:val="28"/>
          <w:lang w:val="de-DE"/>
        </w:rPr>
        <w:t>Server-Pool</w:t>
      </w:r>
      <w:bookmarkEnd w:id="1152"/>
      <w:bookmarkEnd w:id="1153"/>
    </w:p>
    <w:p w:rsidR="00C7319A" w:rsidRPr="009123CB" w:rsidRDefault="00C7319A" w:rsidP="00C7319A">
      <w:pPr>
        <w:pStyle w:val="EndnoteText"/>
        <w:rPr>
          <w:lang w:val="de-DE"/>
        </w:rPr>
      </w:pPr>
    </w:p>
    <w:p w:rsidR="00C7319A" w:rsidRPr="009123CB" w:rsidRDefault="00C7319A" w:rsidP="00C7319A">
      <w:pPr>
        <w:pStyle w:val="EndnoteText"/>
        <w:rPr>
          <w:lang w:val="de-DE"/>
        </w:rPr>
      </w:pPr>
      <w:bookmarkStart w:id="1154" w:name="Srv_25BingMapsandAddons"/>
    </w:p>
    <w:p w:rsidR="00C7319A" w:rsidRPr="009123CB" w:rsidRDefault="00C7319A" w:rsidP="001F401B">
      <w:pPr>
        <w:pStyle w:val="Heading2"/>
        <w:ind w:left="234" w:hanging="234"/>
        <w:rPr>
          <w:lang w:val="de-DE"/>
        </w:rPr>
      </w:pPr>
      <w:bookmarkStart w:id="1155" w:name="_34_Bing_Maps"/>
      <w:bookmarkStart w:id="1156" w:name="_35_Add-On_für"/>
      <w:bookmarkStart w:id="1157" w:name="Srv_27BingMapsSvrandContentPack"/>
      <w:bookmarkStart w:id="1158" w:name="_Toc336338288"/>
      <w:bookmarkStart w:id="1159" w:name="_Toc363999032"/>
      <w:bookmarkEnd w:id="1155"/>
      <w:bookmarkEnd w:id="1156"/>
      <w:r w:rsidRPr="009123CB">
        <w:rPr>
          <w:rFonts w:ascii="Tahoma" w:hAnsi="Tahoma" w:cs="Tahoma"/>
          <w:caps/>
          <w:color w:val="EE6000"/>
          <w:sz w:val="22"/>
          <w:vertAlign w:val="superscript"/>
          <w:lang w:val="de-DE"/>
        </w:rPr>
        <w:t>35</w:t>
      </w:r>
      <w:r w:rsidRPr="009123CB">
        <w:rPr>
          <w:rFonts w:ascii="Tahoma" w:hAnsi="Tahoma" w:cs="Tahoma"/>
          <w:color w:val="EE6000"/>
          <w:sz w:val="22"/>
          <w:lang w:val="de-DE"/>
        </w:rPr>
        <w:t xml:space="preserve"> Add-On für Bing Maps Öffentliche Website-Nutzung und Add-On-AL für Bing Maps Interne Website-Nutzung</w:t>
      </w:r>
      <w:bookmarkEnd w:id="1157"/>
      <w:bookmarkEnd w:id="1158"/>
      <w:bookmarkEnd w:id="1159"/>
    </w:p>
    <w:p w:rsidR="00C7319A" w:rsidRPr="009123CB" w:rsidRDefault="00C7319A" w:rsidP="00C7319A">
      <w:pPr>
        <w:pStyle w:val="NormalWeb"/>
        <w:spacing w:before="0" w:beforeAutospacing="0" w:after="0" w:afterAutospacing="0"/>
        <w:ind w:left="720"/>
        <w:rPr>
          <w:lang w:val="de-DE"/>
        </w:rPr>
      </w:pPr>
    </w:p>
    <w:p w:rsidR="00C7319A" w:rsidRPr="009123CB" w:rsidRDefault="00C7319A" w:rsidP="001F401B">
      <w:pPr>
        <w:pStyle w:val="NormalWeb"/>
        <w:spacing w:before="0" w:beforeAutospacing="0" w:after="0" w:afterAutospacing="0"/>
        <w:ind w:left="720"/>
        <w:rPr>
          <w:lang w:val="de-DE"/>
        </w:rPr>
      </w:pPr>
      <w:r w:rsidRPr="009123CB">
        <w:rPr>
          <w:rFonts w:ascii="Tahoma" w:hAnsi="Tahoma" w:cs="Tahoma"/>
          <w:sz w:val="18"/>
          <w:szCs w:val="18"/>
          <w:lang w:val="de-DE"/>
        </w:rPr>
        <w:t>Jedes Angebot für eine Add-On-AL für Bing Maps Öffentliche Website-Nutzung besteht aus einer unterschiedlichen Anzahl an Abrechenbaren Transaktionen (hierin definiert)</w:t>
      </w:r>
      <w:r w:rsidR="006257A7">
        <w:rPr>
          <w:rFonts w:ascii="Tahoma" w:hAnsi="Tahoma" w:cs="Tahoma"/>
          <w:sz w:val="18"/>
          <w:szCs w:val="18"/>
          <w:lang w:val="de-DE"/>
        </w:rPr>
        <w:t xml:space="preserve">. </w:t>
      </w:r>
      <w:r w:rsidRPr="009123CB">
        <w:rPr>
          <w:rFonts w:ascii="Tahoma" w:hAnsi="Tahoma" w:cs="Tahoma"/>
          <w:sz w:val="18"/>
          <w:szCs w:val="18"/>
          <w:lang w:val="de-DE"/>
        </w:rPr>
        <w:t>„Abrechenbare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w:t>
      </w:r>
      <w:r w:rsidR="001F401B">
        <w:rPr>
          <w:rFonts w:ascii="Tahoma" w:hAnsi="Tahoma" w:cs="Tahoma"/>
          <w:sz w:val="18"/>
          <w:szCs w:val="18"/>
          <w:lang w:val="de-DE"/>
        </w:rPr>
        <w:t> </w:t>
      </w:r>
      <w:r w:rsidRPr="009123CB">
        <w:rPr>
          <w:rFonts w:ascii="Tahoma" w:hAnsi="Tahoma" w:cs="Tahoma"/>
          <w:sz w:val="18"/>
          <w:szCs w:val="18"/>
          <w:lang w:val="de-DE"/>
        </w:rPr>
        <w:t>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w:t>
      </w:r>
      <w:r w:rsidR="006257A7">
        <w:rPr>
          <w:rFonts w:ascii="Tahoma" w:hAnsi="Tahoma" w:cs="Tahoma"/>
          <w:sz w:val="18"/>
          <w:szCs w:val="18"/>
          <w:lang w:val="de-DE"/>
        </w:rPr>
        <w:t xml:space="preserve">. </w:t>
      </w:r>
    </w:p>
    <w:p w:rsidR="00C7319A" w:rsidRPr="009123CB" w:rsidRDefault="00C7319A" w:rsidP="00C7319A">
      <w:pPr>
        <w:ind w:left="720"/>
        <w:rPr>
          <w:lang w:val="de-DE"/>
        </w:rPr>
      </w:pPr>
    </w:p>
    <w:p w:rsidR="00C7319A" w:rsidRPr="009123CB" w:rsidRDefault="00C7319A" w:rsidP="005E48FF">
      <w:pPr>
        <w:ind w:left="720"/>
        <w:rPr>
          <w:lang w:val="de-DE"/>
        </w:rPr>
      </w:pPr>
      <w:r w:rsidRPr="009123CB">
        <w:rPr>
          <w:rFonts w:cs="Tahoma"/>
          <w:szCs w:val="18"/>
          <w:lang w:val="de-DE"/>
        </w:rPr>
        <w:t>Kunden sind berechtigt, mehrere Angebote für eine Add-On-AL für Bing Maps Öffentliche Website-Nutzung und für eine Add-On-AL für Bing Maps Interne Website-Nutzung zu erwerben, um mehrere Abrechenbare Transaktionen pro Monat zu erwerben</w:t>
      </w:r>
      <w:r w:rsidR="006257A7">
        <w:rPr>
          <w:rFonts w:cs="Tahoma"/>
          <w:szCs w:val="18"/>
          <w:lang w:val="de-DE"/>
        </w:rPr>
        <w:t xml:space="preserve">. </w:t>
      </w:r>
      <w:r w:rsidRPr="009123CB">
        <w:rPr>
          <w:rFonts w:cs="Tahoma"/>
          <w:szCs w:val="18"/>
          <w:lang w:val="de-DE"/>
        </w:rPr>
        <w:t>Dies gilt jedoch nicht für eine Add-On-AL für Bing Maps Unbegrenzte</w:t>
      </w:r>
      <w:r w:rsidR="001F401B">
        <w:rPr>
          <w:rFonts w:cs="Tahoma"/>
          <w:szCs w:val="18"/>
          <w:lang w:val="de-DE"/>
        </w:rPr>
        <w:t> </w:t>
      </w:r>
      <w:r w:rsidRPr="009123CB">
        <w:rPr>
          <w:rFonts w:cs="Tahoma"/>
          <w:szCs w:val="18"/>
          <w:lang w:val="de-DE"/>
        </w:rPr>
        <w:t>Transaktionen, die nur einmal erworben werden kann</w:t>
      </w:r>
      <w:r w:rsidR="006257A7">
        <w:rPr>
          <w:rFonts w:cs="Tahoma"/>
          <w:szCs w:val="18"/>
          <w:lang w:val="de-DE"/>
        </w:rPr>
        <w:t xml:space="preserve">. </w:t>
      </w:r>
      <w:r w:rsidRPr="009123CB">
        <w:rPr>
          <w:rFonts w:cs="Tahoma"/>
          <w:szCs w:val="18"/>
          <w:lang w:val="de-DE"/>
        </w:rPr>
        <w:t>Nicht genutzte monatliche Abrechenbare Transaktionen können bis zum Ablauf des Beitrittsdatums monatlich vorgetragen werden</w:t>
      </w:r>
      <w:r w:rsidR="006257A7">
        <w:rPr>
          <w:rFonts w:cs="Tahoma"/>
          <w:szCs w:val="18"/>
          <w:lang w:val="de-DE"/>
        </w:rPr>
        <w:t xml:space="preserve">. </w:t>
      </w:r>
      <w:r w:rsidRPr="009123CB">
        <w:rPr>
          <w:rFonts w:cs="Tahoma"/>
          <w:szCs w:val="18"/>
          <w:lang w:val="de-DE"/>
        </w:rPr>
        <w:t>Am</w:t>
      </w:r>
      <w:r w:rsidR="005E48FF">
        <w:rPr>
          <w:rFonts w:cs="Tahoma"/>
          <w:szCs w:val="18"/>
          <w:lang w:val="de-DE"/>
        </w:rPr>
        <w:t> </w:t>
      </w:r>
      <w:r w:rsidRPr="009123CB">
        <w:rPr>
          <w:rFonts w:cs="Tahoma"/>
          <w:szCs w:val="18"/>
          <w:lang w:val="de-DE"/>
        </w:rPr>
        <w:t>Ablauf des Beitrittsdatums verfallen alle nicht genutzten Abrechenbaren Transaktionen, die bis dahin erworben wurden</w:t>
      </w:r>
      <w:r w:rsidR="006257A7">
        <w:rPr>
          <w:rFonts w:cs="Tahoma"/>
          <w:szCs w:val="18"/>
          <w:lang w:val="de-DE"/>
        </w:rPr>
        <w:t xml:space="preserve">. </w:t>
      </w:r>
      <w:r w:rsidRPr="009123CB">
        <w:rPr>
          <w:rFonts w:cs="Tahoma"/>
          <w:szCs w:val="18"/>
          <w:lang w:val="de-DE"/>
        </w:rPr>
        <w:t>Kunden sind berechtigt, die in einem Monat erworbene Anzahl von Abrechenbaren Transaktionen zu überschreiten, sofern die Gesamtzahl der genutzten Abrechenbaren Transaktionen nicht die der insgesamt während der Laufzeit des Beitritts erworbenen Abrechenbaren Transaktionen überschreitet</w:t>
      </w:r>
      <w:r w:rsidR="006257A7">
        <w:rPr>
          <w:rFonts w:cs="Tahoma"/>
          <w:szCs w:val="18"/>
          <w:lang w:val="de-DE"/>
        </w:rPr>
        <w:t xml:space="preserve">. </w:t>
      </w:r>
      <w:r w:rsidRPr="009123CB">
        <w:rPr>
          <w:rFonts w:cs="Tahoma"/>
          <w:szCs w:val="18"/>
          <w:lang w:val="de-DE"/>
        </w:rPr>
        <w:t>Wenn ein Kunde</w:t>
      </w:r>
      <w:r w:rsidR="001F401B">
        <w:rPr>
          <w:rFonts w:cs="Tahoma"/>
          <w:szCs w:val="18"/>
          <w:lang w:val="de-DE"/>
        </w:rPr>
        <w:t> </w:t>
      </w:r>
      <w:r w:rsidRPr="009123CB">
        <w:rPr>
          <w:rFonts w:cs="Tahoma"/>
          <w:szCs w:val="18"/>
          <w:lang w:val="de-DE"/>
        </w:rPr>
        <w:t>die Gesamtanzahl an erworbenen Abrechenbaren Transaktionen überschreitet, muss der Kunden innerhalb von 30 Tagen ab der Mitteilung von Microsoft zusätzliche Angebote für eine Add-On-AL für Bing</w:t>
      </w:r>
      <w:r w:rsidR="001F401B">
        <w:rPr>
          <w:rFonts w:cs="Tahoma"/>
          <w:szCs w:val="18"/>
          <w:lang w:val="de-DE"/>
        </w:rPr>
        <w:t> </w:t>
      </w:r>
      <w:r w:rsidRPr="009123CB">
        <w:rPr>
          <w:rFonts w:cs="Tahoma"/>
          <w:szCs w:val="18"/>
          <w:lang w:val="de-DE"/>
        </w:rPr>
        <w:t>Maps Öffentliche Website-Nutzung oder für eine Add-On-AL für Bing Maps Interne Website-Nutzung erwerben, um die überschrittenen Abrechenbaren Transaktionen sowie die voraussichtlichen zukünftigen Abrechenbaren Transaktionen für den Rest der Laufzeit des Beitritts abzudecken</w:t>
      </w:r>
      <w:r w:rsidR="006257A7">
        <w:rPr>
          <w:rFonts w:cs="Tahoma"/>
          <w:szCs w:val="18"/>
          <w:lang w:val="de-DE"/>
        </w:rPr>
        <w:t xml:space="preserve">. </w:t>
      </w:r>
      <w:r w:rsidRPr="009123CB">
        <w:rPr>
          <w:rFonts w:cs="Tahoma"/>
          <w:szCs w:val="18"/>
          <w:lang w:val="de-DE"/>
        </w:rPr>
        <w:t>Andernfalls ist Microsoft berechtigt, den Zugriff des Kunden auf Bing Maps einstellen</w:t>
      </w:r>
      <w:r w:rsidR="006257A7">
        <w:rPr>
          <w:rFonts w:cs="Tahoma"/>
          <w:szCs w:val="18"/>
          <w:lang w:val="de-DE"/>
        </w:rPr>
        <w:t xml:space="preserve">. </w:t>
      </w:r>
    </w:p>
    <w:p w:rsidR="00C7319A" w:rsidRPr="009123CB" w:rsidRDefault="00C7319A" w:rsidP="00C7319A">
      <w:pPr>
        <w:ind w:left="720"/>
        <w:rPr>
          <w:lang w:val="de-DE"/>
        </w:rPr>
      </w:pPr>
    </w:p>
    <w:p w:rsidR="00C7319A" w:rsidRPr="009123CB" w:rsidRDefault="00C7319A" w:rsidP="00C7319A">
      <w:pPr>
        <w:spacing w:after="60"/>
        <w:ind w:left="720"/>
        <w:rPr>
          <w:lang w:val="de-DE"/>
        </w:rPr>
      </w:pPr>
      <w:r w:rsidRPr="009123CB">
        <w:rPr>
          <w:rFonts w:cs="Tahoma"/>
          <w:b/>
          <w:color w:val="000000" w:themeColor="text1"/>
          <w:szCs w:val="18"/>
          <w:lang w:val="de-DE"/>
        </w:rPr>
        <w:t>Bing Maps Unbegrenzte Transaktionen Add-On-AL</w:t>
      </w:r>
    </w:p>
    <w:p w:rsidR="00C7319A" w:rsidRPr="009123CB" w:rsidRDefault="00C7319A" w:rsidP="001F401B">
      <w:pPr>
        <w:pStyle w:val="NormalWeb"/>
        <w:spacing w:before="0" w:beforeAutospacing="0" w:after="0" w:afterAutospacing="0"/>
        <w:ind w:left="720"/>
        <w:rPr>
          <w:lang w:val="de-DE"/>
        </w:rPr>
      </w:pPr>
      <w:r w:rsidRPr="009123CB">
        <w:rPr>
          <w:rFonts w:ascii="Tahoma" w:hAnsi="Tahoma" w:cs="Tahoma"/>
          <w:sz w:val="18"/>
          <w:szCs w:val="18"/>
          <w:lang w:val="de-DE"/>
        </w:rPr>
        <w:t>Das Angebot für Bing Maps Unbegrenzte Transaktionen Add-On-AL umfasst höchstens 400 Millionen Abrechenbare Transaktionen pro Jahr</w:t>
      </w:r>
      <w:r w:rsidR="006257A7">
        <w:rPr>
          <w:rFonts w:ascii="Tahoma" w:hAnsi="Tahoma" w:cs="Tahoma"/>
          <w:sz w:val="18"/>
          <w:szCs w:val="18"/>
          <w:lang w:val="de-DE"/>
        </w:rPr>
        <w:t xml:space="preserve">. </w:t>
      </w:r>
      <w:r w:rsidRPr="009123CB">
        <w:rPr>
          <w:rFonts w:ascii="Tahoma" w:hAnsi="Tahoma" w:cs="Tahoma"/>
          <w:sz w:val="18"/>
          <w:szCs w:val="18"/>
          <w:lang w:val="de-DE"/>
        </w:rPr>
        <w:t>Wenn ein Kunde die Höchstgrenze von 400 Millionen Abrechenbaren Transaktionen während eines Jahres der Laufzeit des Beitritts überschreitet, muss der Kunden innerhalb von</w:t>
      </w:r>
      <w:r w:rsidR="001F401B">
        <w:rPr>
          <w:rFonts w:ascii="Tahoma" w:hAnsi="Tahoma" w:cs="Tahoma"/>
          <w:sz w:val="18"/>
          <w:szCs w:val="18"/>
          <w:lang w:val="de-DE"/>
        </w:rPr>
        <w:t> </w:t>
      </w:r>
      <w:r w:rsidRPr="009123CB">
        <w:rPr>
          <w:rFonts w:ascii="Tahoma" w:hAnsi="Tahoma" w:cs="Tahoma"/>
          <w:sz w:val="18"/>
          <w:szCs w:val="18"/>
          <w:lang w:val="de-DE"/>
        </w:rPr>
        <w:t>60 Tagen ab der Mitteilung von Microsoft zusätzliche Angebote für eine Bing Maps Öffentliche Website-Nutzung Add-On-AL oder Bing Maps Interne Website-Nutzung Add-On-AL erwerben, um die überschrittenen Abrechenbaren Transaktionen sowie die voraussichtlichen zukünftigen Abrechenbaren Transaktionen für den Rest der Laufzeit des Beitritts abzudecken</w:t>
      </w:r>
      <w:r w:rsidR="006257A7">
        <w:rPr>
          <w:rFonts w:ascii="Tahoma" w:hAnsi="Tahoma" w:cs="Tahoma"/>
          <w:sz w:val="18"/>
          <w:szCs w:val="18"/>
          <w:lang w:val="de-DE"/>
        </w:rPr>
        <w:t xml:space="preserve">. </w:t>
      </w:r>
      <w:r w:rsidRPr="009123CB">
        <w:rPr>
          <w:rFonts w:ascii="Tahoma" w:hAnsi="Tahoma" w:cs="Tahoma"/>
          <w:sz w:val="18"/>
          <w:szCs w:val="18"/>
          <w:lang w:val="de-DE"/>
        </w:rPr>
        <w:t>Andernfalls ist Microsoft berechtigt, den Zugriff des Kunden auf Bing Maps einstellen</w:t>
      </w:r>
      <w:r w:rsidR="006257A7">
        <w:rPr>
          <w:rFonts w:ascii="Tahoma" w:hAnsi="Tahoma" w:cs="Tahoma"/>
          <w:sz w:val="18"/>
          <w:szCs w:val="18"/>
          <w:lang w:val="de-DE"/>
        </w:rPr>
        <w:t xml:space="preserve">. </w:t>
      </w:r>
    </w:p>
    <w:p w:rsidR="00C7319A" w:rsidRPr="009123CB" w:rsidRDefault="00C7319A" w:rsidP="00C7319A">
      <w:pPr>
        <w:pStyle w:val="NormalWeb"/>
        <w:spacing w:before="0" w:beforeAutospacing="0" w:after="0" w:afterAutospacing="0"/>
        <w:ind w:left="720"/>
        <w:rPr>
          <w:lang w:val="de-DE"/>
        </w:rPr>
      </w:pPr>
    </w:p>
    <w:p w:rsidR="00C7319A" w:rsidRPr="009123CB" w:rsidRDefault="00C7319A" w:rsidP="00C7319A">
      <w:pPr>
        <w:spacing w:after="60"/>
        <w:ind w:left="720"/>
        <w:rPr>
          <w:lang w:val="de-DE"/>
        </w:rPr>
      </w:pPr>
      <w:r w:rsidRPr="009123CB">
        <w:rPr>
          <w:rFonts w:cs="Tahoma"/>
          <w:b/>
          <w:color w:val="000000" w:themeColor="text1"/>
          <w:szCs w:val="18"/>
          <w:lang w:val="de-DE"/>
        </w:rPr>
        <w:t>Kundensupport für Bing Maps</w:t>
      </w:r>
    </w:p>
    <w:p w:rsidR="00C7319A" w:rsidRPr="009123CB" w:rsidRDefault="00C7319A" w:rsidP="00C7319A">
      <w:pPr>
        <w:pStyle w:val="NormalWeb"/>
        <w:spacing w:before="0" w:beforeAutospacing="0" w:after="0" w:afterAutospacing="0"/>
        <w:ind w:left="720"/>
        <w:rPr>
          <w:lang w:val="de-DE"/>
        </w:rPr>
      </w:pPr>
      <w:r w:rsidRPr="009123CB">
        <w:rPr>
          <w:rFonts w:ascii="Tahoma" w:hAnsi="Tahoma" w:cs="Tahoma"/>
          <w:sz w:val="18"/>
          <w:szCs w:val="18"/>
          <w:lang w:val="de-DE"/>
        </w:rPr>
        <w:t>Der Kundensupport für Bing Maps steht allen Kunden, die Bing Maps erworben haben, wie folgt zur Verfügung</w:t>
      </w:r>
      <w:r w:rsidR="006257A7">
        <w:rPr>
          <w:rFonts w:ascii="Tahoma" w:hAnsi="Tahoma" w:cs="Tahoma"/>
          <w:sz w:val="18"/>
          <w:szCs w:val="18"/>
          <w:lang w:val="de-DE"/>
        </w:rPr>
        <w:t xml:space="preserve">. </w:t>
      </w:r>
    </w:p>
    <w:p w:rsidR="00C7319A" w:rsidRDefault="00C7319A" w:rsidP="00C7319A">
      <w:pPr>
        <w:pStyle w:val="NormalWeb"/>
        <w:spacing w:before="0" w:beforeAutospacing="0" w:after="0" w:afterAutospacing="0"/>
        <w:ind w:left="720"/>
        <w:rPr>
          <w:lang w:val="de-DE"/>
        </w:rPr>
      </w:pPr>
    </w:p>
    <w:p w:rsidR="00C7319A" w:rsidRPr="009123CB" w:rsidRDefault="00C7319A" w:rsidP="00C7319A">
      <w:pPr>
        <w:spacing w:after="60"/>
        <w:ind w:left="720"/>
        <w:rPr>
          <w:lang w:val="de-DE"/>
        </w:rPr>
      </w:pPr>
      <w:r w:rsidRPr="009123CB">
        <w:rPr>
          <w:rFonts w:cs="Tahoma"/>
          <w:b/>
          <w:bCs/>
          <w:color w:val="000000"/>
          <w:szCs w:val="18"/>
          <w:lang w:val="de-DE"/>
        </w:rPr>
        <w:t>Der Kundensupport für Bing Maps umfasst Folgendes:</w:t>
      </w:r>
    </w:p>
    <w:p w:rsidR="00C7319A" w:rsidRPr="009123CB" w:rsidRDefault="00C7319A" w:rsidP="00C7319A">
      <w:pPr>
        <w:ind w:left="720"/>
        <w:rPr>
          <w:lang w:val="de-DE"/>
        </w:rPr>
      </w:pPr>
      <w:r w:rsidRPr="009123CB">
        <w:rPr>
          <w:rFonts w:cs="Tahoma"/>
          <w:color w:val="000000"/>
          <w:szCs w:val="18"/>
          <w:lang w:val="de-DE"/>
        </w:rPr>
        <w:t>Direkte Kontaktaufnahme mit dem Technischen Support für Bing Maps per E-Mail, Telefon oder Internet während der folgenden Geschäftszeiten: montags bis freitags von 8:00 bis 2:00 Uhr GMT (außer an US-amerikanischen Feiertagen)</w:t>
      </w:r>
      <w:r w:rsidR="006257A7">
        <w:rPr>
          <w:rFonts w:cs="Tahoma"/>
          <w:color w:val="000000"/>
          <w:szCs w:val="18"/>
          <w:lang w:val="de-DE"/>
        </w:rPr>
        <w:t xml:space="preserve">. </w:t>
      </w:r>
      <w:r w:rsidRPr="009123CB">
        <w:rPr>
          <w:rFonts w:cs="Tahoma"/>
          <w:color w:val="000000"/>
          <w:szCs w:val="18"/>
          <w:lang w:val="de-DE"/>
        </w:rPr>
        <w:t>Den Kunden steht das Supportteam für Notfälle auch außerhalb der Geschäftszeiten (von 2:00 bis 8:00 Uhr GMT) ausschließlich über die nachstehende Telefonnummer zur Verfügung</w:t>
      </w:r>
      <w:r w:rsidR="006257A7">
        <w:rPr>
          <w:rFonts w:cs="Tahoma"/>
          <w:color w:val="000000"/>
          <w:szCs w:val="18"/>
          <w:lang w:val="de-DE"/>
        </w:rPr>
        <w:t xml:space="preserve">. </w:t>
      </w:r>
      <w:r w:rsidRPr="009123CB">
        <w:rPr>
          <w:rFonts w:cs="Tahoma"/>
          <w:color w:val="000000"/>
          <w:szCs w:val="18"/>
          <w:lang w:val="de-DE"/>
        </w:rPr>
        <w:t>Die Bearbeitung aller vorgetragenen Anliegen, bei denen es sich nicht um Notfälle handelt, erfolgt zu den normalen Geschäftszeiten</w:t>
      </w:r>
      <w:r w:rsidR="006257A7">
        <w:rPr>
          <w:rFonts w:cs="Tahoma"/>
          <w:color w:val="000000"/>
          <w:szCs w:val="18"/>
          <w:lang w:val="de-DE"/>
        </w:rPr>
        <w:t xml:space="preserve">. </w:t>
      </w:r>
      <w:r w:rsidRPr="009123CB">
        <w:rPr>
          <w:rFonts w:cs="Tahoma"/>
          <w:color w:val="000000"/>
          <w:szCs w:val="18"/>
          <w:lang w:val="de-DE"/>
        </w:rPr>
        <w:t>Das Supportteam kann wie folgt erreicht werden:</w:t>
      </w:r>
    </w:p>
    <w:p w:rsidR="00C7319A" w:rsidRDefault="00C7319A" w:rsidP="00C7319A">
      <w:pPr>
        <w:ind w:left="720"/>
        <w:rPr>
          <w:lang w:val="de-DE"/>
        </w:rPr>
      </w:pPr>
    </w:p>
    <w:p w:rsidR="001F401B" w:rsidRPr="009123CB" w:rsidRDefault="001F401B" w:rsidP="00C7319A">
      <w:pPr>
        <w:ind w:left="720"/>
        <w:rPr>
          <w:lang w:val="de-DE"/>
        </w:rPr>
      </w:pPr>
    </w:p>
    <w:p w:rsidR="00C7319A" w:rsidRPr="009123CB" w:rsidRDefault="00C7319A" w:rsidP="00C7319A">
      <w:pPr>
        <w:ind w:left="720"/>
        <w:rPr>
          <w:lang w:val="de-DE"/>
        </w:rPr>
      </w:pPr>
      <w:r w:rsidRPr="009123CB">
        <w:rPr>
          <w:rFonts w:cs="Tahoma"/>
          <w:color w:val="000000"/>
          <w:szCs w:val="18"/>
          <w:lang w:val="de-DE"/>
        </w:rPr>
        <w:t>E-Mail:</w:t>
      </w:r>
    </w:p>
    <w:p w:rsidR="00C7319A" w:rsidRPr="009123CB" w:rsidRDefault="005B744B" w:rsidP="00C7319A">
      <w:pPr>
        <w:ind w:left="720"/>
        <w:rPr>
          <w:lang w:val="de-DE"/>
        </w:rPr>
      </w:pPr>
      <w:hyperlink r:id="rId43" w:history="1">
        <w:r w:rsidR="00E869D6" w:rsidRPr="00420E1C">
          <w:rPr>
            <w:rStyle w:val="Hyperlink"/>
            <w:rFonts w:cs="Tahoma"/>
            <w:szCs w:val="18"/>
            <w:lang w:val="de-DE"/>
          </w:rPr>
          <w:t>bmesupp@microsoft.com</w:t>
        </w:r>
      </w:hyperlink>
    </w:p>
    <w:p w:rsidR="00C7319A" w:rsidRPr="009123CB" w:rsidRDefault="00C7319A" w:rsidP="00C7319A">
      <w:pPr>
        <w:ind w:left="720"/>
        <w:rPr>
          <w:lang w:val="de-DE"/>
        </w:rPr>
      </w:pPr>
    </w:p>
    <w:p w:rsidR="00C7319A" w:rsidRPr="00F83EE5" w:rsidRDefault="00C7319A" w:rsidP="00C7319A">
      <w:pPr>
        <w:ind w:left="720"/>
        <w:rPr>
          <w:lang w:val="de-DE"/>
        </w:rPr>
      </w:pPr>
      <w:r w:rsidRPr="00F83EE5">
        <w:rPr>
          <w:rFonts w:cs="Tahoma"/>
          <w:color w:val="000000"/>
          <w:szCs w:val="18"/>
          <w:lang w:val="de-DE"/>
        </w:rPr>
        <w:t>Telefonnummer:</w:t>
      </w:r>
    </w:p>
    <w:p w:rsidR="00C7319A" w:rsidRPr="00F83EE5" w:rsidRDefault="00C7319A" w:rsidP="00C7319A">
      <w:pPr>
        <w:ind w:left="720"/>
        <w:rPr>
          <w:lang w:val="de-DE"/>
        </w:rPr>
      </w:pPr>
    </w:p>
    <w:p w:rsidR="00C7319A" w:rsidRPr="00F83EE5" w:rsidRDefault="00C7319A" w:rsidP="00C7319A">
      <w:pPr>
        <w:ind w:left="720"/>
        <w:rPr>
          <w:lang w:val="de-DE"/>
        </w:rPr>
      </w:pPr>
      <w:r w:rsidRPr="00F83EE5">
        <w:rPr>
          <w:rFonts w:cs="Tahoma"/>
          <w:color w:val="000000"/>
          <w:szCs w:val="18"/>
          <w:lang w:val="de-DE"/>
        </w:rPr>
        <w:t>+1 (425) 705-2737</w:t>
      </w:r>
    </w:p>
    <w:p w:rsidR="00C7319A" w:rsidRPr="00F83EE5" w:rsidRDefault="00C7319A" w:rsidP="00C7319A">
      <w:pPr>
        <w:ind w:left="720"/>
        <w:rPr>
          <w:lang w:val="de-DE"/>
        </w:rPr>
      </w:pPr>
    </w:p>
    <w:p w:rsidR="00C7319A" w:rsidRPr="00F83EE5" w:rsidRDefault="00C7319A" w:rsidP="00C7319A">
      <w:pPr>
        <w:ind w:left="720"/>
        <w:rPr>
          <w:lang w:val="de-DE"/>
        </w:rPr>
      </w:pPr>
      <w:r w:rsidRPr="00F83EE5">
        <w:rPr>
          <w:rFonts w:cs="Tahoma"/>
          <w:color w:val="000000"/>
          <w:szCs w:val="18"/>
          <w:lang w:val="de-DE"/>
        </w:rPr>
        <w:t>Webformular</w:t>
      </w:r>
    </w:p>
    <w:p w:rsidR="00C7319A" w:rsidRPr="00F83EE5" w:rsidRDefault="005B744B" w:rsidP="00C7319A">
      <w:pPr>
        <w:ind w:left="720"/>
        <w:rPr>
          <w:lang w:val="de-DE"/>
        </w:rPr>
      </w:pPr>
      <w:hyperlink r:id="rId44" w:history="1">
        <w:r w:rsidR="00E869D6" w:rsidRPr="00420E1C">
          <w:rPr>
            <w:rStyle w:val="Hyperlink"/>
            <w:rFonts w:cs="Tahoma"/>
            <w:szCs w:val="18"/>
            <w:lang w:val="de-DE"/>
          </w:rPr>
          <w:t>https://support.microsoft.com/oas/default.aspx?prid=13766&amp;st=1</w:t>
        </w:r>
      </w:hyperlink>
    </w:p>
    <w:p w:rsidR="00C7319A" w:rsidRPr="00F83EE5" w:rsidRDefault="00C7319A" w:rsidP="00C7319A">
      <w:pPr>
        <w:ind w:left="720"/>
        <w:rPr>
          <w:lang w:val="de-DE"/>
        </w:rPr>
      </w:pPr>
    </w:p>
    <w:p w:rsidR="00C7319A" w:rsidRPr="009123CB" w:rsidRDefault="00C7319A" w:rsidP="001F401B">
      <w:pPr>
        <w:ind w:left="720"/>
        <w:rPr>
          <w:lang w:val="de-DE"/>
        </w:rPr>
      </w:pPr>
      <w:r w:rsidRPr="009123CB">
        <w:rPr>
          <w:rFonts w:cs="Tahoma"/>
          <w:b/>
          <w:bCs/>
          <w:color w:val="000000"/>
          <w:szCs w:val="18"/>
          <w:lang w:val="de-DE"/>
        </w:rPr>
        <w:t>Priorität</w:t>
      </w:r>
      <w:r w:rsidR="006257A7">
        <w:rPr>
          <w:rFonts w:cs="Tahoma"/>
          <w:color w:val="000000"/>
          <w:szCs w:val="18"/>
          <w:lang w:val="de-DE"/>
        </w:rPr>
        <w:t xml:space="preserve">. </w:t>
      </w:r>
      <w:r w:rsidRPr="009123CB">
        <w:rPr>
          <w:rFonts w:cs="Tahoma"/>
          <w:color w:val="000000"/>
          <w:szCs w:val="18"/>
          <w:lang w:val="de-DE"/>
        </w:rPr>
        <w:t>Alle an den Kundensupport für Bing Maps gerichteten Anfragen werden gemäß den Erläuterungen in der nachstehenden Tabelle zu Dringlichkeitsstufen und Zielreaktionszeiten mit der Dringlichkeitsstufe A,</w:t>
      </w:r>
      <w:r w:rsidR="001F401B">
        <w:rPr>
          <w:rFonts w:cs="Tahoma"/>
          <w:color w:val="000000"/>
          <w:szCs w:val="18"/>
          <w:lang w:val="de-DE"/>
        </w:rPr>
        <w:t> </w:t>
      </w:r>
      <w:r w:rsidRPr="009123CB">
        <w:rPr>
          <w:rFonts w:cs="Tahoma"/>
          <w:color w:val="000000"/>
          <w:szCs w:val="18"/>
          <w:lang w:val="de-DE"/>
        </w:rPr>
        <w:t>B, C oder D gekennzeichnet</w:t>
      </w:r>
      <w:r w:rsidR="006257A7">
        <w:rPr>
          <w:rFonts w:cs="Tahoma"/>
          <w:color w:val="000000"/>
          <w:szCs w:val="18"/>
          <w:lang w:val="de-DE"/>
        </w:rPr>
        <w:t xml:space="preserve">. </w:t>
      </w:r>
      <w:r w:rsidRPr="009123CB">
        <w:rPr>
          <w:rFonts w:cs="Tahoma"/>
          <w:color w:val="000000"/>
          <w:szCs w:val="18"/>
          <w:lang w:val="de-DE"/>
        </w:rPr>
        <w:t>Sie erhalten innerhalb der in der nachstehenden Tabelle angegebenen Zielreaktionszeiten eine Antwort von einem Support Engineer</w:t>
      </w:r>
      <w:r w:rsidR="006257A7">
        <w:rPr>
          <w:rFonts w:cs="Tahoma"/>
          <w:color w:val="000000"/>
          <w:szCs w:val="18"/>
          <w:lang w:val="de-DE"/>
        </w:rPr>
        <w:t xml:space="preserve">. </w:t>
      </w:r>
      <w:r w:rsidRPr="009123CB">
        <w:rPr>
          <w:rFonts w:cs="Tahoma"/>
          <w:color w:val="000000"/>
          <w:szCs w:val="18"/>
          <w:lang w:val="de-DE"/>
        </w:rPr>
        <w:t>Der Support Engineer ermittelt die letztendliche Dringlichkeitsstufe gemäß der Erläuterung zu den Serviceanliegen in der nachstehenden Tabelle</w:t>
      </w:r>
      <w:r w:rsidR="006257A7">
        <w:rPr>
          <w:rFonts w:cs="Tahoma"/>
          <w:color w:val="000000"/>
          <w:szCs w:val="18"/>
          <w:lang w:val="de-DE"/>
        </w:rPr>
        <w:t xml:space="preserve">. </w:t>
      </w:r>
    </w:p>
    <w:p w:rsidR="00C7319A" w:rsidRPr="009123CB" w:rsidRDefault="00C7319A" w:rsidP="00C7319A">
      <w:pPr>
        <w:ind w:left="720"/>
        <w:rPr>
          <w:lang w:val="de-DE"/>
        </w:rPr>
      </w:pPr>
      <w:r w:rsidRPr="009123CB">
        <w:rPr>
          <w:rFonts w:cs="Tahoma"/>
          <w:b/>
          <w:bCs/>
          <w:color w:val="000000"/>
          <w:szCs w:val="18"/>
          <w:lang w:val="de-DE"/>
        </w:rPr>
        <w:t xml:space="preserve">Dringlichkeitsstufen für die normalen Geschäftszeiten und Zielreaktionszeiten: </w:t>
      </w:r>
    </w:p>
    <w:p w:rsidR="00C7319A" w:rsidRPr="009123CB" w:rsidRDefault="00C7319A" w:rsidP="00C7319A">
      <w:pPr>
        <w:ind w:left="720"/>
        <w:rPr>
          <w:lang w:val="de-DE"/>
        </w:rPr>
      </w:pPr>
    </w:p>
    <w:tbl>
      <w:tblPr>
        <w:tblW w:w="9225" w:type="dxa"/>
        <w:tblInd w:w="738" w:type="dxa"/>
        <w:tblCellMar>
          <w:left w:w="0" w:type="dxa"/>
          <w:right w:w="0" w:type="dxa"/>
        </w:tblCellMar>
        <w:tblLook w:val="04A0" w:firstRow="1" w:lastRow="0" w:firstColumn="1" w:lastColumn="0" w:noHBand="0" w:noVBand="1"/>
      </w:tblPr>
      <w:tblGrid>
        <w:gridCol w:w="1928"/>
        <w:gridCol w:w="2020"/>
        <w:gridCol w:w="5277"/>
      </w:tblGrid>
      <w:tr w:rsidR="00C7319A" w:rsidRPr="004640EC" w:rsidTr="00A67771">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b/>
                <w:bCs/>
                <w:color w:val="000000"/>
                <w:szCs w:val="18"/>
              </w:rPr>
              <w:t>Dringlichkeitsstufe des Anliegens</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b/>
                <w:bCs/>
                <w:color w:val="000000"/>
                <w:szCs w:val="18"/>
              </w:rPr>
              <w:t>Zielreaktionszeit</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b/>
                <w:bCs/>
                <w:color w:val="000000"/>
                <w:szCs w:val="18"/>
              </w:rPr>
              <w:t>Erläuterung zu den Serviceanliegen</w:t>
            </w:r>
          </w:p>
        </w:tc>
      </w:tr>
      <w:tr w:rsidR="00C7319A" w:rsidRPr="001B6F67" w:rsidTr="00A67771">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color w:val="000000"/>
                <w:szCs w:val="18"/>
              </w:rPr>
              <w:t>Dringlichkeit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color w:val="000000"/>
                <w:szCs w:val="18"/>
              </w:rPr>
              <w:t>1 Stunde zu den Geschäftszeiten</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19A" w:rsidRPr="009123CB" w:rsidRDefault="00C7319A" w:rsidP="00A67771">
            <w:pPr>
              <w:rPr>
                <w:rFonts w:cs="Tahoma"/>
                <w:color w:val="000000"/>
                <w:szCs w:val="18"/>
                <w:lang w:val="de-DE"/>
              </w:rPr>
            </w:pPr>
            <w:r w:rsidRPr="009123CB">
              <w:rPr>
                <w:rFonts w:cs="Tahoma"/>
                <w:color w:val="000000"/>
                <w:szCs w:val="18"/>
                <w:lang w:val="de-DE"/>
              </w:rPr>
              <w:t>Der Kunde trägt einen Serviceausfall oder ein sonstiges Anliegen vor, das für Produktionsanwendungen kritisch ist</w:t>
            </w:r>
            <w:r w:rsidR="006257A7">
              <w:rPr>
                <w:rFonts w:cs="Tahoma"/>
                <w:color w:val="000000"/>
                <w:szCs w:val="18"/>
                <w:lang w:val="de-DE"/>
              </w:rPr>
              <w:t xml:space="preserve">. </w:t>
            </w:r>
          </w:p>
        </w:tc>
      </w:tr>
      <w:tr w:rsidR="00C7319A" w:rsidRPr="001B6F67" w:rsidTr="00A67771">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color w:val="000000"/>
                <w:szCs w:val="18"/>
              </w:rPr>
              <w:t>Dringlichkeit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color w:val="000000"/>
                <w:szCs w:val="18"/>
              </w:rPr>
              <w:t>4 Stunden zu den Geschäftszeiten</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19A" w:rsidRPr="009123CB" w:rsidRDefault="00C7319A" w:rsidP="00A67771">
            <w:pPr>
              <w:rPr>
                <w:rFonts w:cs="Tahoma"/>
                <w:color w:val="000000"/>
                <w:szCs w:val="18"/>
                <w:lang w:val="de-DE"/>
              </w:rPr>
            </w:pPr>
            <w:r w:rsidRPr="009123CB">
              <w:rPr>
                <w:rFonts w:cs="Tahoma"/>
                <w:color w:val="000000"/>
                <w:szCs w:val="18"/>
                <w:lang w:val="de-DE"/>
              </w:rPr>
              <w:t>Der Kunde trägt ein weitreichenderes Anliegen vor, das wesentliche Auswirkung auf die Produktionsanwendungen hat</w:t>
            </w:r>
            <w:r w:rsidR="006257A7">
              <w:rPr>
                <w:rFonts w:cs="Tahoma"/>
                <w:color w:val="000000"/>
                <w:szCs w:val="18"/>
                <w:lang w:val="de-DE"/>
              </w:rPr>
              <w:t xml:space="preserve">. </w:t>
            </w:r>
          </w:p>
        </w:tc>
      </w:tr>
      <w:tr w:rsidR="00C7319A" w:rsidRPr="001B6F67" w:rsidTr="00A67771">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color w:val="000000"/>
                <w:szCs w:val="18"/>
              </w:rPr>
              <w:t>Dringlichkeit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color w:val="000000"/>
                <w:szCs w:val="18"/>
              </w:rPr>
              <w:t>1 Geschäftstag</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19A" w:rsidRPr="009123CB" w:rsidRDefault="00C7319A" w:rsidP="00A67771">
            <w:pPr>
              <w:rPr>
                <w:rFonts w:cs="Tahoma"/>
                <w:color w:val="000000"/>
                <w:szCs w:val="18"/>
                <w:lang w:val="de-DE"/>
              </w:rPr>
            </w:pPr>
            <w:r w:rsidRPr="009123CB">
              <w:rPr>
                <w:rFonts w:cs="Tahoma"/>
                <w:color w:val="000000"/>
                <w:szCs w:val="18"/>
                <w:lang w:val="de-DE"/>
              </w:rPr>
              <w:t>Der Kunde trägt ein nicht kritisches Anliegen vor (z</w:t>
            </w:r>
            <w:r w:rsidR="006257A7">
              <w:rPr>
                <w:rFonts w:cs="Tahoma"/>
                <w:color w:val="000000"/>
                <w:szCs w:val="18"/>
                <w:lang w:val="de-DE"/>
              </w:rPr>
              <w:t xml:space="preserve">. </w:t>
            </w:r>
            <w:r w:rsidRPr="009123CB">
              <w:rPr>
                <w:rFonts w:cs="Tahoma"/>
                <w:color w:val="000000"/>
                <w:szCs w:val="18"/>
                <w:lang w:val="de-DE"/>
              </w:rPr>
              <w:t>B</w:t>
            </w:r>
            <w:r w:rsidR="006257A7">
              <w:rPr>
                <w:rFonts w:cs="Tahoma"/>
                <w:color w:val="000000"/>
                <w:szCs w:val="18"/>
                <w:lang w:val="de-DE"/>
              </w:rPr>
              <w:t xml:space="preserve">. </w:t>
            </w:r>
            <w:r w:rsidRPr="009123CB">
              <w:rPr>
                <w:rFonts w:cs="Tahoma"/>
                <w:color w:val="000000"/>
                <w:szCs w:val="18"/>
                <w:lang w:val="de-DE"/>
              </w:rPr>
              <w:t>allgemeine Entwicklungs- oder Produktfragen)</w:t>
            </w:r>
            <w:r w:rsidR="006257A7">
              <w:rPr>
                <w:rFonts w:cs="Tahoma"/>
                <w:color w:val="000000"/>
                <w:szCs w:val="18"/>
                <w:lang w:val="de-DE"/>
              </w:rPr>
              <w:t xml:space="preserve">. </w:t>
            </w:r>
          </w:p>
        </w:tc>
      </w:tr>
      <w:tr w:rsidR="00C7319A" w:rsidRPr="001B6F67" w:rsidTr="00A67771">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color w:val="000000"/>
                <w:szCs w:val="18"/>
              </w:rPr>
              <w:t>Dringlichkeit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color w:val="000000"/>
                <w:szCs w:val="18"/>
              </w:rPr>
              <w:t>3 Geschäftstage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19A" w:rsidRPr="009123CB" w:rsidRDefault="00C7319A" w:rsidP="00A67771">
            <w:pPr>
              <w:rPr>
                <w:rFonts w:cs="Tahoma"/>
                <w:color w:val="000000"/>
                <w:szCs w:val="18"/>
                <w:lang w:val="de-DE"/>
              </w:rPr>
            </w:pPr>
            <w:r w:rsidRPr="009123CB">
              <w:rPr>
                <w:rFonts w:cs="Tahoma"/>
                <w:color w:val="000000"/>
                <w:szCs w:val="18"/>
                <w:lang w:val="de-DE"/>
              </w:rPr>
              <w:t>Der Kunde gibt Feedback zu Zuordnungs- Fahrtanweisungs- oder Geocodinganliegen</w:t>
            </w:r>
            <w:r w:rsidR="006257A7">
              <w:rPr>
                <w:rFonts w:cs="Tahoma"/>
                <w:color w:val="000000"/>
                <w:szCs w:val="18"/>
                <w:lang w:val="de-DE"/>
              </w:rPr>
              <w:t xml:space="preserve">. </w:t>
            </w:r>
          </w:p>
        </w:tc>
      </w:tr>
    </w:tbl>
    <w:p w:rsidR="00C7319A" w:rsidRPr="009123CB" w:rsidRDefault="00C7319A" w:rsidP="00C7319A">
      <w:pPr>
        <w:ind w:left="720"/>
        <w:rPr>
          <w:lang w:val="de-DE"/>
        </w:rPr>
      </w:pPr>
    </w:p>
    <w:p w:rsidR="00C7319A" w:rsidRPr="009123CB" w:rsidRDefault="00C7319A" w:rsidP="00C7319A">
      <w:pPr>
        <w:ind w:left="720"/>
        <w:rPr>
          <w:lang w:val="de-DE"/>
        </w:rPr>
      </w:pPr>
      <w:r w:rsidRPr="009123CB">
        <w:rPr>
          <w:rFonts w:cs="Tahoma"/>
          <w:b/>
          <w:bCs/>
          <w:color w:val="000000"/>
          <w:szCs w:val="18"/>
          <w:lang w:val="de-DE"/>
        </w:rPr>
        <w:t xml:space="preserve">Kontaktdaten für den rund um die Uhr erreichbaren Notfallkundensupport von Bing Maps: </w:t>
      </w:r>
    </w:p>
    <w:p w:rsidR="00C7319A" w:rsidRPr="009123CB" w:rsidRDefault="00C7319A" w:rsidP="00C7319A">
      <w:pPr>
        <w:ind w:left="720"/>
        <w:rPr>
          <w:lang w:val="de-DE"/>
        </w:rPr>
      </w:pPr>
    </w:p>
    <w:p w:rsidR="00C7319A" w:rsidRPr="009123CB" w:rsidRDefault="00C7319A" w:rsidP="00C7319A">
      <w:pPr>
        <w:ind w:left="720"/>
        <w:rPr>
          <w:lang w:val="de-DE"/>
        </w:rPr>
      </w:pPr>
      <w:r w:rsidRPr="009123CB">
        <w:rPr>
          <w:rFonts w:cs="Tahoma"/>
          <w:szCs w:val="18"/>
          <w:lang w:val="de-DE"/>
        </w:rPr>
        <w:t>Telefonnummer:</w:t>
      </w:r>
    </w:p>
    <w:p w:rsidR="00C7319A" w:rsidRPr="009123CB" w:rsidRDefault="00C7319A" w:rsidP="00C7319A">
      <w:pPr>
        <w:ind w:left="720"/>
        <w:rPr>
          <w:lang w:val="de-DE"/>
        </w:rPr>
      </w:pPr>
    </w:p>
    <w:p w:rsidR="00C7319A" w:rsidRPr="009123CB" w:rsidRDefault="00C7319A" w:rsidP="00C7319A">
      <w:pPr>
        <w:ind w:left="720"/>
        <w:rPr>
          <w:lang w:val="de-DE"/>
        </w:rPr>
      </w:pPr>
      <w:r w:rsidRPr="009123CB">
        <w:rPr>
          <w:rFonts w:cs="Tahoma"/>
          <w:color w:val="000000"/>
          <w:szCs w:val="18"/>
          <w:lang w:val="de-DE"/>
        </w:rPr>
        <w:t>+1 (425) 705-2737</w:t>
      </w:r>
    </w:p>
    <w:p w:rsidR="00C7319A" w:rsidRPr="009123CB" w:rsidRDefault="00C7319A" w:rsidP="00C7319A">
      <w:pPr>
        <w:ind w:left="720"/>
        <w:rPr>
          <w:lang w:val="de-DE"/>
        </w:rPr>
      </w:pPr>
    </w:p>
    <w:p w:rsidR="00C7319A" w:rsidRPr="009123CB" w:rsidRDefault="00C7319A" w:rsidP="001F401B">
      <w:pPr>
        <w:ind w:left="720"/>
        <w:rPr>
          <w:lang w:val="de-DE"/>
        </w:rPr>
      </w:pPr>
      <w:r w:rsidRPr="009123CB">
        <w:rPr>
          <w:rFonts w:cs="Tahoma"/>
          <w:color w:val="000000"/>
          <w:szCs w:val="18"/>
          <w:lang w:val="de-DE"/>
        </w:rPr>
        <w:t>Wichtiger Hinweis: Der rund um die Uhr (außerhalb der Geschäftszeiten) erreichbare Notfallsupport steht nur für Anliegen mit der Dringlichkeitsstufe A zur Verfügung (Serviceausfälle oder erhebliche Servicebeeinträchtigungen mit Auswirkung auf die Produktionsanwendungen des Kunden)</w:t>
      </w:r>
      <w:r w:rsidR="006257A7">
        <w:rPr>
          <w:rFonts w:cs="Tahoma"/>
          <w:color w:val="000000"/>
          <w:szCs w:val="18"/>
          <w:lang w:val="de-DE"/>
        </w:rPr>
        <w:t xml:space="preserve">. </w:t>
      </w:r>
      <w:r w:rsidRPr="009123CB">
        <w:rPr>
          <w:rFonts w:cs="Tahoma"/>
          <w:color w:val="000000"/>
          <w:szCs w:val="18"/>
          <w:lang w:val="de-DE"/>
        </w:rPr>
        <w:t>Microsoft antwortet auf alle anderen außerhalb der Geschäftszeiten vorgetragenen Anliegen, die nicht der Dringlichkeitsstufe A entsprechen, am folgenden Geschäftstag, und zwar gemäß den vorstehend aufgeführten Zielreaktionszeiten</w:t>
      </w:r>
      <w:r w:rsidR="006257A7">
        <w:rPr>
          <w:rFonts w:cs="Tahoma"/>
          <w:color w:val="000000"/>
          <w:szCs w:val="18"/>
          <w:lang w:val="de-DE"/>
        </w:rPr>
        <w:t xml:space="preserve">. </w:t>
      </w:r>
      <w:r w:rsidRPr="009123CB">
        <w:rPr>
          <w:rFonts w:cs="Tahoma"/>
          <w:color w:val="000000"/>
          <w:szCs w:val="18"/>
          <w:lang w:val="de-DE"/>
        </w:rPr>
        <w:t>Bitte beachten Sie zudem, dass per E-Mail (</w:t>
      </w:r>
      <w:hyperlink r:id="rId45" w:history="1">
        <w:r w:rsidR="00E869D6" w:rsidRPr="00420E1C">
          <w:rPr>
            <w:rStyle w:val="Hyperlink"/>
            <w:rFonts w:cs="Tahoma"/>
            <w:szCs w:val="18"/>
            <w:lang w:val="de-DE"/>
          </w:rPr>
          <w:t>bmesupp@microsoft.com</w:t>
        </w:r>
      </w:hyperlink>
      <w:r w:rsidRPr="009123CB">
        <w:rPr>
          <w:rFonts w:cs="Tahoma"/>
          <w:color w:val="000000"/>
          <w:szCs w:val="18"/>
          <w:lang w:val="de-DE"/>
        </w:rPr>
        <w:t>) oder</w:t>
      </w:r>
      <w:r w:rsidR="001F401B">
        <w:rPr>
          <w:rFonts w:cs="Tahoma"/>
          <w:color w:val="000000"/>
          <w:szCs w:val="18"/>
          <w:lang w:val="de-DE"/>
        </w:rPr>
        <w:t> </w:t>
      </w:r>
      <w:r w:rsidRPr="009123CB">
        <w:rPr>
          <w:rFonts w:cs="Tahoma"/>
          <w:color w:val="000000"/>
          <w:szCs w:val="18"/>
          <w:lang w:val="de-DE"/>
        </w:rPr>
        <w:t>per Webformular vorgetragene Anliegen außerhalb der normalen Geschäftszeiten des Kundensupports für Bing Maps nicht gelesen werden</w:t>
      </w:r>
      <w:r w:rsidR="006257A7">
        <w:rPr>
          <w:rFonts w:cs="Tahoma"/>
          <w:color w:val="000000"/>
          <w:szCs w:val="18"/>
          <w:lang w:val="de-DE"/>
        </w:rPr>
        <w:t xml:space="preserve">. </w:t>
      </w:r>
    </w:p>
    <w:p w:rsidR="00F81961" w:rsidRDefault="00F81961" w:rsidP="00C7319A">
      <w:pPr>
        <w:ind w:left="720"/>
        <w:rPr>
          <w:rFonts w:cs="Tahoma"/>
          <w:b/>
          <w:bCs/>
          <w:color w:val="000000"/>
          <w:szCs w:val="18"/>
          <w:lang w:val="de-DE"/>
        </w:rPr>
      </w:pPr>
    </w:p>
    <w:p w:rsidR="00C7319A" w:rsidRPr="009123CB" w:rsidRDefault="00C7319A" w:rsidP="00C7319A">
      <w:pPr>
        <w:ind w:left="720"/>
        <w:rPr>
          <w:lang w:val="de-DE"/>
        </w:rPr>
      </w:pPr>
      <w:r w:rsidRPr="009123CB">
        <w:rPr>
          <w:rFonts w:cs="Tahoma"/>
          <w:b/>
          <w:bCs/>
          <w:color w:val="000000"/>
          <w:szCs w:val="18"/>
          <w:lang w:val="de-DE"/>
        </w:rPr>
        <w:t>Dringlichkeitsstufen für Notfälle außerhalb der Geschäftszeiten und Zielreaktionszeiten:</w:t>
      </w:r>
    </w:p>
    <w:p w:rsidR="00C7319A" w:rsidRPr="005E48FF" w:rsidRDefault="00C7319A" w:rsidP="00F81961">
      <w:pPr>
        <w:spacing w:line="204" w:lineRule="auto"/>
        <w:ind w:left="720"/>
        <w:rPr>
          <w:sz w:val="16"/>
          <w:szCs w:val="16"/>
          <w:lang w:val="de-DE"/>
        </w:rPr>
      </w:pPr>
    </w:p>
    <w:tbl>
      <w:tblPr>
        <w:tblW w:w="9225" w:type="dxa"/>
        <w:tblInd w:w="738" w:type="dxa"/>
        <w:tblCellMar>
          <w:left w:w="0" w:type="dxa"/>
          <w:right w:w="0" w:type="dxa"/>
        </w:tblCellMar>
        <w:tblLook w:val="04A0" w:firstRow="1" w:lastRow="0" w:firstColumn="1" w:lastColumn="0" w:noHBand="0" w:noVBand="1"/>
      </w:tblPr>
      <w:tblGrid>
        <w:gridCol w:w="2225"/>
        <w:gridCol w:w="1724"/>
        <w:gridCol w:w="5276"/>
      </w:tblGrid>
      <w:tr w:rsidR="00C7319A" w:rsidRPr="004640EC" w:rsidTr="001F401B">
        <w:trPr>
          <w:trHeight w:val="549"/>
        </w:trPr>
        <w:tc>
          <w:tcPr>
            <w:tcW w:w="2225"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b/>
                <w:bCs/>
                <w:color w:val="000000"/>
                <w:szCs w:val="18"/>
              </w:rPr>
              <w:t>Dringlichkeitsstufe des Anliegens</w:t>
            </w:r>
          </w:p>
        </w:tc>
        <w:tc>
          <w:tcPr>
            <w:tcW w:w="1724"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b/>
                <w:bCs/>
                <w:color w:val="000000"/>
                <w:szCs w:val="18"/>
              </w:rPr>
              <w:t>Zielreaktionszeit</w:t>
            </w:r>
          </w:p>
        </w:tc>
        <w:tc>
          <w:tcPr>
            <w:tcW w:w="5276"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b/>
                <w:bCs/>
                <w:color w:val="000000"/>
                <w:szCs w:val="18"/>
              </w:rPr>
              <w:t>Erläuterung zu den Serviceanliegen</w:t>
            </w:r>
          </w:p>
        </w:tc>
      </w:tr>
      <w:tr w:rsidR="00C7319A" w:rsidRPr="001B6F67" w:rsidTr="001F401B">
        <w:trPr>
          <w:trHeight w:val="549"/>
        </w:trPr>
        <w:tc>
          <w:tcPr>
            <w:tcW w:w="22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color w:val="000000"/>
                <w:szCs w:val="18"/>
              </w:rPr>
              <w:t>Dringlichkeit A</w:t>
            </w:r>
          </w:p>
        </w:tc>
        <w:tc>
          <w:tcPr>
            <w:tcW w:w="1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19A" w:rsidRPr="004640EC" w:rsidRDefault="00C7319A" w:rsidP="00A67771">
            <w:pPr>
              <w:rPr>
                <w:rFonts w:cs="Tahoma"/>
                <w:color w:val="000000"/>
                <w:szCs w:val="18"/>
              </w:rPr>
            </w:pPr>
            <w:r>
              <w:rPr>
                <w:rFonts w:cs="Tahoma"/>
                <w:color w:val="000000"/>
                <w:szCs w:val="18"/>
              </w:rPr>
              <w:t>1 Stunde zu den Geschäftszeiten</w:t>
            </w:r>
          </w:p>
        </w:tc>
        <w:tc>
          <w:tcPr>
            <w:tcW w:w="52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19A" w:rsidRPr="009123CB" w:rsidRDefault="00C7319A" w:rsidP="00A67771">
            <w:pPr>
              <w:rPr>
                <w:rFonts w:cs="Tahoma"/>
                <w:color w:val="000000"/>
                <w:szCs w:val="18"/>
                <w:lang w:val="de-DE"/>
              </w:rPr>
            </w:pPr>
            <w:r w:rsidRPr="009123CB">
              <w:rPr>
                <w:rFonts w:cs="Tahoma"/>
                <w:color w:val="000000"/>
                <w:szCs w:val="18"/>
                <w:lang w:val="de-DE"/>
              </w:rPr>
              <w:t>Der Kunde trägt einen Serviceausfall oder ein sonstiges Anliegen vor, das für Produktionsanwendungen kritisch ist</w:t>
            </w:r>
            <w:r w:rsidR="006257A7">
              <w:rPr>
                <w:rFonts w:cs="Tahoma"/>
                <w:color w:val="000000"/>
                <w:szCs w:val="18"/>
                <w:lang w:val="de-DE"/>
              </w:rPr>
              <w:t xml:space="preserve">. </w:t>
            </w:r>
          </w:p>
        </w:tc>
      </w:tr>
    </w:tbl>
    <w:p w:rsidR="00C7319A" w:rsidRPr="005E48FF" w:rsidRDefault="00C7319A" w:rsidP="00F81961">
      <w:pPr>
        <w:spacing w:line="204" w:lineRule="auto"/>
        <w:ind w:left="720"/>
        <w:rPr>
          <w:sz w:val="16"/>
          <w:szCs w:val="16"/>
          <w:lang w:val="de-DE"/>
        </w:rPr>
      </w:pPr>
    </w:p>
    <w:bookmarkEnd w:id="1154"/>
    <w:p w:rsidR="00C7319A" w:rsidRPr="009123CB" w:rsidRDefault="00C7319A" w:rsidP="00C7319A">
      <w:pPr>
        <w:ind w:left="720"/>
        <w:rPr>
          <w:lang w:val="de-DE"/>
        </w:rPr>
      </w:pPr>
      <w:r w:rsidRPr="009123CB">
        <w:rPr>
          <w:rFonts w:cs="Tahoma"/>
          <w:b/>
          <w:bCs/>
          <w:color w:val="000000"/>
          <w:szCs w:val="18"/>
          <w:lang w:val="de-DE"/>
        </w:rPr>
        <w:t>So greifen Sie auf den Bing Maps-Dienst zu:</w:t>
      </w:r>
    </w:p>
    <w:p w:rsidR="00C7319A" w:rsidRPr="005E48FF" w:rsidRDefault="00C7319A" w:rsidP="00F81961">
      <w:pPr>
        <w:spacing w:line="204" w:lineRule="auto"/>
        <w:ind w:left="720"/>
        <w:rPr>
          <w:sz w:val="16"/>
          <w:szCs w:val="16"/>
          <w:lang w:val="de-DE"/>
        </w:rPr>
      </w:pPr>
    </w:p>
    <w:p w:rsidR="00C7319A" w:rsidRPr="009123CB" w:rsidRDefault="00C7319A" w:rsidP="00C7319A">
      <w:pPr>
        <w:ind w:left="720"/>
        <w:rPr>
          <w:lang w:val="de-DE"/>
        </w:rPr>
      </w:pPr>
      <w:r w:rsidRPr="009123CB">
        <w:rPr>
          <w:rFonts w:cs="Tahoma"/>
          <w:color w:val="000000"/>
          <w:szCs w:val="18"/>
          <w:lang w:val="de-DE"/>
        </w:rPr>
        <w:t xml:space="preserve">Der Bing Maps-Dienst kann bei The Bing Maps Account Center freigeschaltet werden: </w:t>
      </w:r>
      <w:hyperlink r:id="rId46" w:history="1">
        <w:r w:rsidR="00E869D6" w:rsidRPr="00420E1C">
          <w:rPr>
            <w:rStyle w:val="Hyperlink"/>
            <w:rFonts w:cs="Tahoma"/>
            <w:szCs w:val="18"/>
            <w:lang w:val="de-DE"/>
          </w:rPr>
          <w:t>https://www.bingmapsportal.com/</w:t>
        </w:r>
      </w:hyperlink>
      <w:r w:rsidR="006257A7">
        <w:rPr>
          <w:rFonts w:cs="Tahoma"/>
          <w:color w:val="000000"/>
          <w:szCs w:val="18"/>
          <w:lang w:val="de-DE"/>
        </w:rPr>
        <w:t xml:space="preserve">. </w:t>
      </w:r>
    </w:p>
    <w:p w:rsidR="00C7319A" w:rsidRPr="005E48FF" w:rsidRDefault="00C7319A" w:rsidP="00F81961">
      <w:pPr>
        <w:pStyle w:val="EndnoteText"/>
        <w:spacing w:line="204" w:lineRule="auto"/>
        <w:ind w:left="0"/>
        <w:rPr>
          <w:sz w:val="16"/>
          <w:szCs w:val="16"/>
          <w:lang w:val="de-DE"/>
        </w:rPr>
      </w:pPr>
    </w:p>
    <w:p w:rsidR="00C7319A" w:rsidRPr="009123CB" w:rsidRDefault="00C7319A" w:rsidP="00C7319A">
      <w:pPr>
        <w:pStyle w:val="NormalWeb"/>
        <w:spacing w:before="0" w:beforeAutospacing="0" w:after="0" w:afterAutospacing="0"/>
        <w:ind w:left="720"/>
        <w:rPr>
          <w:lang w:val="de-DE"/>
        </w:rPr>
      </w:pPr>
      <w:r w:rsidRPr="009123CB">
        <w:rPr>
          <w:rFonts w:ascii="Tahoma" w:hAnsi="Tahoma" w:cs="Tahoma"/>
          <w:sz w:val="18"/>
          <w:szCs w:val="22"/>
          <w:lang w:val="de-DE"/>
        </w:rPr>
        <w:t>Für jedes Angebot sowie für Szenarien, in denen das Angebot das Gleiche ist, aber verschiedene Deckungszeiträume umfasst, müssen Sie eine getrennte Account-ID erstellen</w:t>
      </w:r>
      <w:r w:rsidR="006257A7">
        <w:rPr>
          <w:rFonts w:ascii="Tahoma" w:hAnsi="Tahoma" w:cs="Tahoma"/>
          <w:sz w:val="18"/>
          <w:szCs w:val="22"/>
          <w:lang w:val="de-DE"/>
        </w:rPr>
        <w:t xml:space="preserve">. </w:t>
      </w:r>
    </w:p>
    <w:p w:rsidR="00C7319A" w:rsidRPr="005E48FF" w:rsidRDefault="00C7319A" w:rsidP="00F81961">
      <w:pPr>
        <w:pStyle w:val="NormalWeb"/>
        <w:spacing w:before="0" w:beforeAutospacing="0" w:after="0" w:afterAutospacing="0" w:line="204" w:lineRule="auto"/>
        <w:ind w:left="720"/>
        <w:rPr>
          <w:sz w:val="16"/>
          <w:szCs w:val="16"/>
          <w:lang w:val="de-DE"/>
        </w:rPr>
      </w:pPr>
    </w:p>
    <w:p w:rsidR="00C7319A" w:rsidRPr="0062435A" w:rsidRDefault="00C7319A" w:rsidP="00C7319A">
      <w:pPr>
        <w:numPr>
          <w:ilvl w:val="0"/>
          <w:numId w:val="53"/>
        </w:numPr>
        <w:spacing w:after="60"/>
        <w:ind w:left="1440"/>
      </w:pPr>
      <w:r w:rsidRPr="009123CB">
        <w:rPr>
          <w:rFonts w:eastAsia="Calibri" w:cs="Tahoma"/>
          <w:b/>
          <w:color w:val="000000"/>
          <w:szCs w:val="18"/>
          <w:lang w:val="de-DE"/>
        </w:rPr>
        <w:t xml:space="preserve">Szenario 1: </w:t>
      </w:r>
      <w:r w:rsidRPr="009123CB">
        <w:rPr>
          <w:rFonts w:eastAsia="Calibri" w:cs="Tahoma"/>
          <w:color w:val="000000"/>
          <w:szCs w:val="18"/>
          <w:lang w:val="de-DE"/>
        </w:rPr>
        <w:t>Sie haben Bing Maps Known Users unter einem Beitritt mit identischer Laufzeit bestellt</w:t>
      </w:r>
      <w:r w:rsidR="006257A7">
        <w:rPr>
          <w:rFonts w:eastAsia="Calibri" w:cs="Tahoma"/>
          <w:color w:val="000000"/>
          <w:szCs w:val="18"/>
          <w:lang w:val="de-DE"/>
        </w:rPr>
        <w:t xml:space="preserve">. </w:t>
      </w:r>
      <w:r>
        <w:rPr>
          <w:rFonts w:eastAsia="Calibri" w:cs="Tahoma"/>
          <w:color w:val="000000"/>
          <w:szCs w:val="18"/>
        </w:rPr>
        <w:t>Dafür ist nur eine Bing Maps Account-ID erforderlich</w:t>
      </w:r>
      <w:r w:rsidR="006257A7">
        <w:rPr>
          <w:rFonts w:eastAsia="Calibri" w:cs="Tahoma"/>
          <w:color w:val="000000"/>
          <w:szCs w:val="18"/>
        </w:rPr>
        <w:t xml:space="preserve">. </w:t>
      </w:r>
    </w:p>
    <w:p w:rsidR="00C7319A" w:rsidRPr="009123CB" w:rsidRDefault="00C7319A" w:rsidP="001F401B">
      <w:pPr>
        <w:numPr>
          <w:ilvl w:val="0"/>
          <w:numId w:val="53"/>
        </w:numPr>
        <w:spacing w:after="60"/>
        <w:ind w:left="1440"/>
        <w:rPr>
          <w:lang w:val="de-DE"/>
        </w:rPr>
      </w:pPr>
      <w:r w:rsidRPr="009123CB">
        <w:rPr>
          <w:rFonts w:eastAsia="Calibri" w:cs="Tahoma"/>
          <w:b/>
          <w:color w:val="000000"/>
          <w:szCs w:val="18"/>
          <w:lang w:val="de-DE"/>
        </w:rPr>
        <w:t xml:space="preserve">Szenario 2: </w:t>
      </w:r>
      <w:r w:rsidRPr="009123CB">
        <w:rPr>
          <w:rFonts w:eastAsia="Calibri" w:cs="Tahoma"/>
          <w:color w:val="000000"/>
          <w:szCs w:val="18"/>
          <w:lang w:val="de-DE"/>
        </w:rPr>
        <w:t>Sie haben Bing Maps Mobile Asset Management unter einem Beitritt mit verschiedenen Laufzeiten (eine Laufzeit von 12 Monaten und eine von 36 Monaten) bestellt</w:t>
      </w:r>
      <w:r w:rsidR="006257A7">
        <w:rPr>
          <w:rFonts w:eastAsia="Calibri" w:cs="Tahoma"/>
          <w:color w:val="000000"/>
          <w:szCs w:val="18"/>
          <w:lang w:val="de-DE"/>
        </w:rPr>
        <w:t xml:space="preserve">. </w:t>
      </w:r>
      <w:r w:rsidRPr="009123CB">
        <w:rPr>
          <w:rFonts w:eastAsia="Calibri" w:cs="Tahoma"/>
          <w:color w:val="000000"/>
          <w:szCs w:val="18"/>
          <w:lang w:val="de-DE"/>
        </w:rPr>
        <w:t>Dafür</w:t>
      </w:r>
      <w:r w:rsidR="001F401B">
        <w:rPr>
          <w:rFonts w:eastAsia="Calibri" w:cs="Tahoma"/>
          <w:color w:val="000000"/>
          <w:szCs w:val="18"/>
          <w:lang w:val="de-DE"/>
        </w:rPr>
        <w:t> </w:t>
      </w:r>
      <w:r w:rsidRPr="009123CB">
        <w:rPr>
          <w:rFonts w:eastAsia="Calibri" w:cs="Tahoma"/>
          <w:color w:val="000000"/>
          <w:szCs w:val="18"/>
          <w:lang w:val="de-DE"/>
        </w:rPr>
        <w:t>sind zwei Bing Maps Account-IDs erforderlich, eine für jedes Produktangebot mit seiner jeweiligen Laufzeit</w:t>
      </w:r>
      <w:r w:rsidR="006257A7">
        <w:rPr>
          <w:rFonts w:eastAsia="Calibri" w:cs="Tahoma"/>
          <w:color w:val="000000"/>
          <w:szCs w:val="18"/>
          <w:lang w:val="de-DE"/>
        </w:rPr>
        <w:t xml:space="preserve">. </w:t>
      </w:r>
    </w:p>
    <w:p w:rsidR="00C7319A" w:rsidRPr="001F401B" w:rsidRDefault="00C7319A" w:rsidP="001F401B">
      <w:pPr>
        <w:numPr>
          <w:ilvl w:val="0"/>
          <w:numId w:val="53"/>
        </w:numPr>
        <w:spacing w:after="60"/>
        <w:ind w:left="1440"/>
        <w:rPr>
          <w:lang w:val="de-DE"/>
        </w:rPr>
      </w:pPr>
      <w:r w:rsidRPr="009123CB">
        <w:rPr>
          <w:rFonts w:eastAsia="Calibri" w:cs="Tahoma"/>
          <w:b/>
          <w:color w:val="000000"/>
          <w:szCs w:val="18"/>
          <w:lang w:val="de-DE"/>
        </w:rPr>
        <w:t xml:space="preserve">Szenario 3: </w:t>
      </w:r>
      <w:r w:rsidRPr="009123CB">
        <w:rPr>
          <w:rFonts w:eastAsia="Calibri" w:cs="Tahoma"/>
          <w:color w:val="000000"/>
          <w:szCs w:val="18"/>
          <w:lang w:val="de-DE"/>
        </w:rPr>
        <w:t>Sie haben Bing Maps Mobile Asset Management und Bing Maps Light Known User unter dem gleichen Beitritt mit identischer Laufzeit bestellt</w:t>
      </w:r>
      <w:r w:rsidR="006257A7">
        <w:rPr>
          <w:rFonts w:eastAsia="Calibri" w:cs="Tahoma"/>
          <w:color w:val="000000"/>
          <w:szCs w:val="18"/>
          <w:lang w:val="de-DE"/>
        </w:rPr>
        <w:t xml:space="preserve">. </w:t>
      </w:r>
      <w:r w:rsidRPr="009123CB">
        <w:rPr>
          <w:rFonts w:eastAsia="Calibri" w:cs="Tahoma"/>
          <w:color w:val="000000"/>
          <w:szCs w:val="18"/>
          <w:lang w:val="de-DE"/>
        </w:rPr>
        <w:t>Es sind zwei Bing Maps Account-IDs für</w:t>
      </w:r>
      <w:r w:rsidR="001F401B">
        <w:rPr>
          <w:rFonts w:eastAsia="Calibri" w:cs="Tahoma"/>
          <w:color w:val="000000"/>
          <w:szCs w:val="18"/>
          <w:lang w:val="de-DE"/>
        </w:rPr>
        <w:t> </w:t>
      </w:r>
      <w:r w:rsidRPr="009123CB">
        <w:rPr>
          <w:rFonts w:eastAsia="Calibri" w:cs="Tahoma"/>
          <w:color w:val="000000"/>
          <w:szCs w:val="18"/>
          <w:lang w:val="de-DE"/>
        </w:rPr>
        <w:t>die beiden Angebote erforderlich (eine für Mobile Asset Management und eine für Light Known</w:t>
      </w:r>
      <w:r w:rsidR="001F401B">
        <w:rPr>
          <w:rFonts w:eastAsia="Calibri" w:cs="Tahoma"/>
          <w:color w:val="000000"/>
          <w:szCs w:val="18"/>
          <w:lang w:val="de-DE"/>
        </w:rPr>
        <w:t> </w:t>
      </w:r>
      <w:r w:rsidRPr="009123CB">
        <w:rPr>
          <w:rFonts w:eastAsia="Calibri" w:cs="Tahoma"/>
          <w:color w:val="000000"/>
          <w:szCs w:val="18"/>
          <w:lang w:val="de-DE"/>
        </w:rPr>
        <w:t>User)</w:t>
      </w:r>
      <w:r w:rsidR="006257A7">
        <w:rPr>
          <w:rFonts w:eastAsia="Calibri" w:cs="Tahoma"/>
          <w:color w:val="000000"/>
          <w:szCs w:val="18"/>
          <w:lang w:val="de-DE"/>
        </w:rPr>
        <w:t xml:space="preserve">. </w:t>
      </w:r>
    </w:p>
    <w:p w:rsidR="001F401B" w:rsidRPr="005E48FF" w:rsidRDefault="001F401B" w:rsidP="00F81961">
      <w:pPr>
        <w:spacing w:line="204" w:lineRule="auto"/>
        <w:rPr>
          <w:sz w:val="16"/>
          <w:szCs w:val="16"/>
          <w:lang w:val="de-DE"/>
        </w:rPr>
      </w:pPr>
    </w:p>
    <w:p w:rsidR="00C7319A" w:rsidRPr="005E48FF" w:rsidRDefault="00C7319A" w:rsidP="00F81961">
      <w:pPr>
        <w:pStyle w:val="EndnoteText"/>
        <w:spacing w:line="204" w:lineRule="auto"/>
        <w:ind w:left="0"/>
        <w:rPr>
          <w:sz w:val="16"/>
          <w:szCs w:val="16"/>
          <w:lang w:val="de-DE"/>
        </w:rPr>
      </w:pPr>
    </w:p>
    <w:p w:rsidR="00C7319A" w:rsidRPr="009123CB" w:rsidRDefault="00C7319A" w:rsidP="00C7319A">
      <w:pPr>
        <w:pStyle w:val="Heading3"/>
        <w:rPr>
          <w:lang w:val="de-DE"/>
        </w:rPr>
      </w:pPr>
      <w:bookmarkStart w:id="1160" w:name="_29_BizTalk®_Server"/>
      <w:bookmarkStart w:id="1161" w:name="_32_BizTalk_Server®"/>
      <w:bookmarkStart w:id="1162" w:name="_35_BizTalk_Server®"/>
      <w:bookmarkStart w:id="1163" w:name="_Toc363999033"/>
      <w:bookmarkEnd w:id="1160"/>
      <w:bookmarkEnd w:id="1161"/>
      <w:bookmarkEnd w:id="1162"/>
      <w:r w:rsidRPr="009123CB">
        <w:rPr>
          <w:rFonts w:ascii="Tahoma" w:hAnsi="Tahoma" w:cs="Tahoma"/>
          <w:caps/>
          <w:color w:val="F66400"/>
          <w:sz w:val="22"/>
          <w:vertAlign w:val="superscript"/>
          <w:lang w:val="de-DE"/>
        </w:rPr>
        <w:t>36</w:t>
      </w:r>
      <w:r w:rsidRPr="001F401B">
        <w:rPr>
          <w:rFonts w:ascii="Tahoma" w:hAnsi="Tahoma" w:cs="Tahoma"/>
          <w:caps/>
          <w:color w:val="F66400"/>
          <w:sz w:val="22"/>
          <w:lang w:val="de-DE"/>
        </w:rPr>
        <w:t xml:space="preserve"> </w:t>
      </w:r>
      <w:r w:rsidRPr="009123CB">
        <w:rPr>
          <w:rFonts w:ascii="Tahoma" w:hAnsi="Tahoma" w:cs="Tahoma"/>
          <w:color w:val="F66400"/>
          <w:sz w:val="22"/>
          <w:lang w:val="de-DE"/>
        </w:rPr>
        <w:t>BizTalk Server</w:t>
      </w:r>
      <w:r w:rsidR="0069040B" w:rsidRPr="0069040B">
        <w:rPr>
          <w:rFonts w:ascii="Tahoma" w:hAnsi="Tahoma" w:cs="Tahoma"/>
          <w:color w:val="F66400"/>
          <w:sz w:val="22"/>
          <w:vertAlign w:val="superscript"/>
          <w:lang w:val="de-DE"/>
        </w:rPr>
        <w:t>®</w:t>
      </w:r>
      <w:r w:rsidRPr="009123CB">
        <w:rPr>
          <w:rFonts w:ascii="Tahoma" w:hAnsi="Tahoma" w:cs="Tahoma"/>
          <w:color w:val="F66400"/>
          <w:sz w:val="22"/>
          <w:lang w:val="de-DE"/>
        </w:rPr>
        <w:t xml:space="preserve"> 2013 Branch</w:t>
      </w:r>
      <w:bookmarkEnd w:id="1163"/>
    </w:p>
    <w:p w:rsidR="00C7319A" w:rsidRPr="005E48FF" w:rsidRDefault="00C7319A" w:rsidP="00F81961">
      <w:pPr>
        <w:spacing w:line="204" w:lineRule="auto"/>
        <w:rPr>
          <w:sz w:val="16"/>
          <w:szCs w:val="16"/>
          <w:lang w:val="de-DE"/>
        </w:rPr>
      </w:pPr>
    </w:p>
    <w:p w:rsidR="00C7319A" w:rsidRPr="009123CB" w:rsidRDefault="00C7319A" w:rsidP="00C7319A">
      <w:pPr>
        <w:spacing w:after="60"/>
        <w:ind w:left="720"/>
        <w:rPr>
          <w:lang w:val="de-DE"/>
        </w:rPr>
      </w:pPr>
      <w:r w:rsidRPr="009123CB">
        <w:rPr>
          <w:rFonts w:eastAsia="Calibri" w:cs="Tahoma"/>
          <w:b/>
          <w:color w:val="000000"/>
          <w:szCs w:val="18"/>
          <w:lang w:val="de-DE"/>
        </w:rPr>
        <w:t>Lizenzgewährungen im Zusammenhang mit der Änderung des Lizenzmodells</w:t>
      </w:r>
    </w:p>
    <w:p w:rsidR="00C7319A" w:rsidRPr="009123CB" w:rsidRDefault="00C7319A" w:rsidP="00C7319A">
      <w:pPr>
        <w:ind w:left="720"/>
        <w:rPr>
          <w:lang w:val="de-DE"/>
        </w:rPr>
      </w:pPr>
      <w:r w:rsidRPr="009123CB">
        <w:rPr>
          <w:rFonts w:eastAsia="Calibri" w:cs="Tahoma"/>
          <w:color w:val="000000"/>
          <w:szCs w:val="18"/>
          <w:lang w:val="de-DE"/>
        </w:rPr>
        <w:t>BizTalk Server 2010 ist die letzte Version von BizTalk Server, die unter dem Pro-Prozessor-Lizenzmodell lizenziert wird</w:t>
      </w:r>
      <w:r w:rsidR="006257A7">
        <w:rPr>
          <w:rFonts w:eastAsia="Calibri" w:cs="Tahoma"/>
          <w:color w:val="000000"/>
          <w:szCs w:val="18"/>
          <w:lang w:val="de-DE"/>
        </w:rPr>
        <w:t xml:space="preserve">. </w:t>
      </w:r>
      <w:r w:rsidRPr="009123CB">
        <w:rPr>
          <w:rFonts w:eastAsia="Calibri" w:cs="Tahoma"/>
          <w:color w:val="000000"/>
          <w:szCs w:val="18"/>
          <w:lang w:val="de-DE"/>
        </w:rPr>
        <w:t>Als Ausnahme erhalten Volumenlizenzkunden, die zum Zeitpunkt der Veröffentlichung dieser Produktliste über aktive Software Assurance für BizTalk Server 2010 Branch-Prozessorlizenzen („qualifizierende Lizenzen“) verfügen, die folgenden Optionen</w:t>
      </w:r>
      <w:r w:rsidR="006257A7">
        <w:rPr>
          <w:rFonts w:eastAsia="Calibri" w:cs="Tahoma"/>
          <w:color w:val="000000"/>
          <w:szCs w:val="18"/>
          <w:lang w:val="de-DE"/>
        </w:rPr>
        <w:t xml:space="preserve">. </w:t>
      </w:r>
    </w:p>
    <w:p w:rsidR="00C7319A" w:rsidRPr="005E48FF" w:rsidRDefault="00C7319A" w:rsidP="00F81961">
      <w:pPr>
        <w:spacing w:line="204" w:lineRule="auto"/>
        <w:ind w:left="720"/>
        <w:rPr>
          <w:sz w:val="16"/>
          <w:szCs w:val="16"/>
          <w:lang w:val="de-DE"/>
        </w:rPr>
      </w:pPr>
    </w:p>
    <w:p w:rsidR="00C7319A" w:rsidRPr="009123CB" w:rsidRDefault="00C7319A" w:rsidP="00C7319A">
      <w:pPr>
        <w:spacing w:after="60"/>
        <w:ind w:left="720"/>
        <w:rPr>
          <w:lang w:val="de-DE"/>
        </w:rPr>
      </w:pPr>
      <w:r w:rsidRPr="009123CB">
        <w:rPr>
          <w:rFonts w:eastAsia="Calibri" w:cs="Tahoma"/>
          <w:b/>
          <w:color w:val="000000"/>
          <w:szCs w:val="18"/>
          <w:lang w:val="de-DE"/>
        </w:rPr>
        <w:t>Aktuelle Laufzeit</w:t>
      </w:r>
    </w:p>
    <w:p w:rsidR="00C7319A" w:rsidRPr="009123CB" w:rsidRDefault="00C7319A" w:rsidP="001F401B">
      <w:pPr>
        <w:ind w:left="720"/>
        <w:rPr>
          <w:lang w:val="de-DE"/>
        </w:rPr>
      </w:pPr>
      <w:r w:rsidRPr="009123CB">
        <w:rPr>
          <w:rFonts w:eastAsia="Calibri" w:cs="Tahoma"/>
          <w:color w:val="000000"/>
          <w:szCs w:val="18"/>
          <w:lang w:val="de-DE"/>
        </w:rPr>
        <w:t>Während der aktuellen Laufzeit ihrer Software Assurance sind Kunden (einschließlich Kunden mit Abonnementverträgen) unter qualifizierenden Lizenzen berechtigt, vorbehaltlich der Produktbenutzungsrechte für BizTalk Server 2010 Branch-Prozessorlizenzen (wie in den</w:t>
      </w:r>
      <w:r w:rsidR="001F401B">
        <w:rPr>
          <w:rFonts w:eastAsia="Calibri" w:cs="Tahoma"/>
          <w:color w:val="000000"/>
          <w:szCs w:val="18"/>
          <w:lang w:val="de-DE"/>
        </w:rPr>
        <w:t> </w:t>
      </w:r>
      <w:r w:rsidRPr="009123CB">
        <w:rPr>
          <w:rFonts w:eastAsia="Calibri" w:cs="Tahoma"/>
          <w:color w:val="000000"/>
          <w:szCs w:val="18"/>
          <w:lang w:val="de-DE"/>
        </w:rPr>
        <w:t>Produktbenutzungsrechten von Januar 2013 dargestellt) auf die neueste Version der BizTalk Server</w:t>
      </w:r>
      <w:r w:rsidR="001F401B">
        <w:rPr>
          <w:rFonts w:eastAsia="Calibri" w:cs="Tahoma"/>
          <w:color w:val="000000"/>
          <w:szCs w:val="18"/>
          <w:lang w:val="de-DE"/>
        </w:rPr>
        <w:t> </w:t>
      </w:r>
      <w:r w:rsidRPr="009123CB">
        <w:rPr>
          <w:rFonts w:eastAsia="Calibri" w:cs="Tahoma"/>
          <w:color w:val="000000"/>
          <w:szCs w:val="18"/>
          <w:lang w:val="de-DE"/>
        </w:rPr>
        <w:t>Branch-Software anstelle von BizTalk Server 2010 Branch upzugraden und diese zu verwenden</w:t>
      </w:r>
      <w:r w:rsidR="006257A7">
        <w:rPr>
          <w:rFonts w:eastAsia="Calibri" w:cs="Tahoma"/>
          <w:color w:val="000000"/>
          <w:szCs w:val="18"/>
          <w:lang w:val="de-DE"/>
        </w:rPr>
        <w:t xml:space="preserve">. </w:t>
      </w:r>
    </w:p>
    <w:p w:rsidR="00C7319A" w:rsidRPr="005E48FF" w:rsidRDefault="00C7319A" w:rsidP="00F81961">
      <w:pPr>
        <w:spacing w:line="204" w:lineRule="auto"/>
        <w:rPr>
          <w:sz w:val="16"/>
          <w:szCs w:val="16"/>
          <w:lang w:val="de-DE"/>
        </w:rPr>
      </w:pPr>
    </w:p>
    <w:p w:rsidR="00C7319A" w:rsidRPr="009123CB" w:rsidRDefault="00C7319A" w:rsidP="00C7319A">
      <w:pPr>
        <w:spacing w:after="60"/>
        <w:ind w:left="720"/>
        <w:rPr>
          <w:lang w:val="de-DE"/>
        </w:rPr>
      </w:pPr>
      <w:r w:rsidRPr="009123CB">
        <w:rPr>
          <w:rFonts w:eastAsia="Calibri" w:cs="Tahoma"/>
          <w:b/>
          <w:color w:val="000000"/>
          <w:szCs w:val="18"/>
          <w:lang w:val="de-DE"/>
        </w:rPr>
        <w:t>Erster Verlängerungszeitraum</w:t>
      </w:r>
    </w:p>
    <w:p w:rsidR="00C7319A" w:rsidRPr="009123CB" w:rsidRDefault="00C7319A" w:rsidP="00C7319A">
      <w:pPr>
        <w:tabs>
          <w:tab w:val="left" w:pos="1800"/>
        </w:tabs>
        <w:spacing w:after="60"/>
        <w:ind w:left="720"/>
        <w:rPr>
          <w:lang w:val="de-DE"/>
        </w:rPr>
      </w:pPr>
      <w:r w:rsidRPr="009123CB">
        <w:rPr>
          <w:rFonts w:eastAsia="Calibri" w:cs="Tahoma"/>
          <w:color w:val="000000"/>
          <w:szCs w:val="18"/>
          <w:lang w:val="de-DE"/>
        </w:rPr>
        <w:t>Bei der ersten Software Assurance-Verlängerung am oder nach dem 1</w:t>
      </w:r>
      <w:r w:rsidR="006257A7">
        <w:rPr>
          <w:rFonts w:eastAsia="Calibri" w:cs="Tahoma"/>
          <w:color w:val="000000"/>
          <w:szCs w:val="18"/>
          <w:lang w:val="de-DE"/>
        </w:rPr>
        <w:t xml:space="preserve">. </w:t>
      </w:r>
      <w:r w:rsidRPr="009123CB">
        <w:rPr>
          <w:rFonts w:eastAsia="Calibri" w:cs="Tahoma"/>
          <w:color w:val="000000"/>
          <w:szCs w:val="18"/>
          <w:lang w:val="de-DE"/>
        </w:rPr>
        <w:t xml:space="preserve">April 2013 ist ein Kunde berechtigt, für jeden Server, den der Kunde unter den Produktbenutzungsrechten für BizTalk Server 2010-Prozessorlizenzen ordnungsgemäß lizenziert hat, Software Assurance für BizTalk Server Branch-Core-Lizenzen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C7319A" w:rsidRPr="0062435A" w:rsidRDefault="00C7319A" w:rsidP="00C7319A">
      <w:pPr>
        <w:numPr>
          <w:ilvl w:val="3"/>
          <w:numId w:val="93"/>
        </w:numPr>
        <w:tabs>
          <w:tab w:val="left" w:pos="2160"/>
        </w:tabs>
        <w:spacing w:after="60"/>
        <w:ind w:left="2160"/>
      </w:pPr>
      <w:r>
        <w:rPr>
          <w:rFonts w:eastAsia="Calibri" w:cs="Tahoma"/>
          <w:color w:val="000000"/>
          <w:szCs w:val="18"/>
        </w:rPr>
        <w:t>vier ODER</w:t>
      </w:r>
    </w:p>
    <w:p w:rsidR="00C7319A" w:rsidRPr="009123CB" w:rsidRDefault="00C7319A" w:rsidP="001F401B">
      <w:pPr>
        <w:numPr>
          <w:ilvl w:val="3"/>
          <w:numId w:val="93"/>
        </w:numPr>
        <w:tabs>
          <w:tab w:val="left" w:pos="2160"/>
        </w:tabs>
        <w:spacing w:after="60"/>
        <w:ind w:left="2160"/>
        <w:rPr>
          <w:lang w:val="de-DE"/>
        </w:rPr>
      </w:pPr>
      <w:r w:rsidRPr="009123CB">
        <w:rPr>
          <w:rFonts w:eastAsia="Calibri" w:cs="Tahoma"/>
          <w:color w:val="000000"/>
          <w:szCs w:val="18"/>
          <w:lang w:val="de-DE"/>
        </w:rPr>
        <w:t>der tatsächlichen Anzahl von Cores pro physischem Prozessor multipliziert mit dem entsprechenden Core-Faktor</w:t>
      </w:r>
      <w:r w:rsidR="006257A7">
        <w:rPr>
          <w:rFonts w:eastAsia="Calibri" w:cs="Tahoma"/>
          <w:color w:val="000000"/>
          <w:szCs w:val="18"/>
          <w:lang w:val="de-DE"/>
        </w:rPr>
        <w:t xml:space="preserve">. </w:t>
      </w:r>
      <w:r w:rsidRPr="009123CB">
        <w:rPr>
          <w:rFonts w:eastAsia="Calibri" w:cs="Tahoma"/>
          <w:color w:val="000000"/>
          <w:szCs w:val="18"/>
          <w:lang w:val="de-DE"/>
        </w:rPr>
        <w:t>(Wenn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w:t>
      </w:r>
      <w:r w:rsidR="001F401B">
        <w:rPr>
          <w:rFonts w:eastAsia="Calibri" w:cs="Tahoma"/>
          <w:color w:val="000000"/>
          <w:szCs w:val="18"/>
          <w:lang w:val="de-DE"/>
        </w:rPr>
        <w:t> </w:t>
      </w:r>
      <w:r w:rsidRPr="009123CB">
        <w:rPr>
          <w:rFonts w:eastAsia="Calibri" w:cs="Tahoma"/>
          <w:color w:val="000000"/>
          <w:szCs w:val="18"/>
          <w:lang w:val="de-DE"/>
        </w:rPr>
        <w:t>Software unterstützt</w:t>
      </w:r>
      <w:r w:rsidR="006257A7">
        <w:rPr>
          <w:rFonts w:eastAsia="Calibri" w:cs="Tahoma"/>
          <w:color w:val="000000"/>
          <w:szCs w:val="18"/>
          <w:lang w:val="de-DE"/>
        </w:rPr>
        <w:t xml:space="preserve">. </w:t>
      </w:r>
      <w:r w:rsidRPr="009123CB">
        <w:rPr>
          <w:rFonts w:eastAsia="Calibri" w:cs="Tahoma"/>
          <w:color w:val="000000"/>
          <w:szCs w:val="18"/>
          <w:lang w:val="de-DE"/>
        </w:rPr>
        <w:t xml:space="preserve">) </w:t>
      </w:r>
    </w:p>
    <w:p w:rsidR="00C7319A" w:rsidRDefault="00C7319A" w:rsidP="00C7319A">
      <w:pPr>
        <w:spacing w:after="60"/>
        <w:ind w:left="720"/>
        <w:rPr>
          <w:rFonts w:eastAsia="Calibri" w:cs="Tahoma"/>
          <w:szCs w:val="18"/>
          <w:lang w:val="de-DE"/>
        </w:rPr>
      </w:pPr>
      <w:r w:rsidRPr="009123CB">
        <w:rPr>
          <w:rFonts w:eastAsia="Calibri" w:cs="Tahoma"/>
          <w:color w:val="000000"/>
          <w:szCs w:val="18"/>
          <w:lang w:val="de-DE"/>
        </w:rPr>
        <w:t>Die Prozessorlizenzen des Kunden sind bei Erwerb von Software Assurance für Core-Lizenzen unter diesem Angebot nicht mehr gültig</w:t>
      </w:r>
      <w:r w:rsidR="006257A7">
        <w:rPr>
          <w:rFonts w:eastAsia="Calibri" w:cs="Tahoma"/>
          <w:color w:val="000000"/>
          <w:szCs w:val="18"/>
          <w:lang w:val="de-DE"/>
        </w:rPr>
        <w:t xml:space="preserve">. </w:t>
      </w:r>
      <w:r w:rsidRPr="009123CB">
        <w:rPr>
          <w:rFonts w:eastAsia="Calibri" w:cs="Tahoma"/>
          <w:szCs w:val="18"/>
          <w:lang w:val="de-DE"/>
        </w:rPr>
        <w:t>Die Option zum Erwerb von Core-Lizenzen für Software Assurance für BizTalk Server ist nicht auf die Software Assurance-Verlängerung unter Abonnementprogrammen anwendbar</w:t>
      </w:r>
      <w:r w:rsidR="006257A7">
        <w:rPr>
          <w:rFonts w:eastAsia="Calibri" w:cs="Tahoma"/>
          <w:szCs w:val="18"/>
          <w:lang w:val="de-DE"/>
        </w:rPr>
        <w:t xml:space="preserve">. </w:t>
      </w:r>
    </w:p>
    <w:p w:rsidR="00DD788F" w:rsidRPr="00DD788F" w:rsidRDefault="00DD788F" w:rsidP="00DD788F">
      <w:pPr>
        <w:spacing w:line="204" w:lineRule="auto"/>
        <w:ind w:left="720"/>
        <w:rPr>
          <w:sz w:val="16"/>
          <w:szCs w:val="16"/>
          <w:lang w:val="de-DE"/>
        </w:rPr>
      </w:pPr>
    </w:p>
    <w:p w:rsidR="00C7319A" w:rsidRPr="009123CB" w:rsidRDefault="00C7319A" w:rsidP="00C7319A">
      <w:pPr>
        <w:tabs>
          <w:tab w:val="left" w:pos="1440"/>
        </w:tabs>
        <w:spacing w:after="60"/>
        <w:ind w:left="720"/>
        <w:rPr>
          <w:lang w:val="de-DE"/>
        </w:rPr>
      </w:pPr>
      <w:r w:rsidRPr="009123CB">
        <w:rPr>
          <w:rFonts w:eastAsia="Calibri" w:cs="Tahoma"/>
          <w:b/>
          <w:color w:val="000000"/>
          <w:szCs w:val="18"/>
          <w:lang w:val="de-DE"/>
        </w:rPr>
        <w:t>Für Kunden mit aktiver Software Assurance, die nicht verlängern möchten</w:t>
      </w:r>
    </w:p>
    <w:p w:rsidR="00C7319A" w:rsidRPr="009123CB" w:rsidRDefault="00C7319A" w:rsidP="00C7319A">
      <w:pPr>
        <w:tabs>
          <w:tab w:val="left" w:pos="1440"/>
        </w:tabs>
        <w:ind w:left="720"/>
        <w:rPr>
          <w:lang w:val="de-DE"/>
        </w:rPr>
      </w:pPr>
      <w:r w:rsidRPr="009123CB">
        <w:rPr>
          <w:rFonts w:eastAsia="Calibri" w:cs="Tahoma"/>
          <w:color w:val="000000"/>
          <w:szCs w:val="18"/>
          <w:lang w:val="de-DE"/>
        </w:rPr>
        <w:t xml:space="preserve">Konzern-Abonnement- </w:t>
      </w:r>
      <w:r w:rsidRPr="009123CB">
        <w:rPr>
          <w:rFonts w:cs="Tahoma"/>
          <w:bCs/>
          <w:color w:val="000000"/>
          <w:szCs w:val="18"/>
          <w:lang w:val="de-DE"/>
        </w:rPr>
        <w:t>und Open Value Subscription-</w:t>
      </w:r>
      <w:r w:rsidRPr="009123CB">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rsidR="00C7319A" w:rsidRPr="00DD788F" w:rsidRDefault="00C7319A" w:rsidP="00DD788F">
      <w:pPr>
        <w:tabs>
          <w:tab w:val="left" w:pos="1440"/>
        </w:tabs>
        <w:spacing w:line="204" w:lineRule="auto"/>
        <w:ind w:left="720"/>
        <w:rPr>
          <w:sz w:val="16"/>
          <w:szCs w:val="16"/>
          <w:lang w:val="de-DE"/>
        </w:rPr>
      </w:pPr>
    </w:p>
    <w:p w:rsidR="00C7319A" w:rsidRPr="009123CB" w:rsidRDefault="00C7319A" w:rsidP="001F401B">
      <w:pPr>
        <w:numPr>
          <w:ilvl w:val="0"/>
          <w:numId w:val="53"/>
        </w:numPr>
        <w:spacing w:after="60"/>
        <w:ind w:left="1440"/>
        <w:rPr>
          <w:lang w:val="de-DE"/>
        </w:rPr>
      </w:pPr>
      <w:r w:rsidRPr="009123CB">
        <w:rPr>
          <w:rFonts w:eastAsia="Calibri" w:cs="Tahoma"/>
          <w:b/>
          <w:color w:val="000000"/>
          <w:szCs w:val="18"/>
          <w:lang w:val="de-DE"/>
        </w:rPr>
        <w:t>BizTalk Server 2010 Branch:</w:t>
      </w:r>
      <w:r w:rsidRPr="009123CB">
        <w:rPr>
          <w:rFonts w:eastAsia="Calibri" w:cs="Tahoma"/>
          <w:color w:val="000000"/>
          <w:szCs w:val="18"/>
          <w:lang w:val="de-DE"/>
        </w:rPr>
        <w:t xml:space="preserve"> Die kontinuierliche Verwendung dieser Version der Software unterliegt den Produktbenutzungsrechten für BizTalk Server 2010 Branch-Prozessorlizenzen, jedoch</w:t>
      </w:r>
      <w:r w:rsidR="001F401B">
        <w:rPr>
          <w:rFonts w:eastAsia="Calibri" w:cs="Tahoma"/>
          <w:color w:val="000000"/>
          <w:szCs w:val="18"/>
          <w:lang w:val="de-DE"/>
        </w:rPr>
        <w:t> </w:t>
      </w:r>
      <w:r w:rsidRPr="009123CB">
        <w:rPr>
          <w:rFonts w:eastAsia="Calibri" w:cs="Tahoma"/>
          <w:color w:val="000000"/>
          <w:szCs w:val="18"/>
          <w:lang w:val="de-DE"/>
        </w:rPr>
        <w:t>verfügen die Kunden nicht mehr über die Lizenzmobilität durch Software Assurance</w:t>
      </w:r>
      <w:r w:rsidR="006257A7">
        <w:rPr>
          <w:rFonts w:eastAsia="Calibri" w:cs="Tahoma"/>
          <w:color w:val="000000"/>
          <w:szCs w:val="18"/>
          <w:lang w:val="de-DE"/>
        </w:rPr>
        <w:t xml:space="preserve">. </w:t>
      </w:r>
    </w:p>
    <w:p w:rsidR="00C7319A" w:rsidRPr="009123CB" w:rsidRDefault="00C7319A" w:rsidP="00C7319A">
      <w:pPr>
        <w:numPr>
          <w:ilvl w:val="0"/>
          <w:numId w:val="53"/>
        </w:numPr>
        <w:tabs>
          <w:tab w:val="left" w:pos="1800"/>
        </w:tabs>
        <w:spacing w:after="60"/>
        <w:ind w:left="1440"/>
        <w:rPr>
          <w:lang w:val="de-DE"/>
        </w:rPr>
      </w:pPr>
      <w:r w:rsidRPr="009123CB">
        <w:rPr>
          <w:rFonts w:eastAsia="Calibri" w:cs="Tahoma"/>
          <w:b/>
          <w:color w:val="000000"/>
          <w:szCs w:val="18"/>
          <w:lang w:val="de-DE"/>
        </w:rPr>
        <w:t xml:space="preserve">Neueste Version von BizTalk Server Branch: </w:t>
      </w:r>
      <w:r w:rsidRPr="009123CB">
        <w:rPr>
          <w:rFonts w:eastAsia="Calibri" w:cs="Tahoma"/>
          <w:color w:val="000000"/>
          <w:szCs w:val="18"/>
          <w:lang w:val="de-DE"/>
        </w:rPr>
        <w:t xml:space="preserve">Die Verwendung dieser Version der Software unterliegt den Produktbenutzungsrechten fürBizTalk Server 2010 Branch -Prozessorlizenzen, jedoch mit folgenden Einschränkungen: </w:t>
      </w:r>
    </w:p>
    <w:p w:rsidR="00C7319A" w:rsidRPr="009123CB" w:rsidRDefault="00C7319A" w:rsidP="00C7319A">
      <w:pPr>
        <w:numPr>
          <w:ilvl w:val="1"/>
          <w:numId w:val="53"/>
        </w:numPr>
        <w:tabs>
          <w:tab w:val="left" w:pos="2160"/>
        </w:tabs>
        <w:spacing w:after="60"/>
        <w:ind w:left="2160"/>
        <w:rPr>
          <w:lang w:val="de-DE"/>
        </w:rPr>
      </w:pPr>
      <w:r w:rsidRPr="009123CB">
        <w:rPr>
          <w:rFonts w:eastAsia="Calibri" w:cs="Tahoma"/>
          <w:color w:val="000000"/>
          <w:szCs w:val="18"/>
          <w:lang w:val="de-DE"/>
        </w:rPr>
        <w:t xml:space="preserve">Kunden verfügen nicht mehr über die Lizenzmobilität innerhalb von Serverfarmen oder Lizenzmobilität durch Software Assurance, und </w:t>
      </w:r>
    </w:p>
    <w:p w:rsidR="00C7319A" w:rsidRPr="0062435A" w:rsidRDefault="00C7319A" w:rsidP="00C7319A">
      <w:pPr>
        <w:numPr>
          <w:ilvl w:val="1"/>
          <w:numId w:val="53"/>
        </w:numPr>
        <w:tabs>
          <w:tab w:val="left" w:pos="2160"/>
          <w:tab w:val="left" w:pos="2970"/>
        </w:tabs>
        <w:spacing w:after="60"/>
        <w:ind w:left="2160"/>
      </w:pPr>
      <w:r w:rsidRPr="009123CB">
        <w:rPr>
          <w:rFonts w:eastAsia="Calibri" w:cs="Tahoma"/>
          <w:color w:val="000000"/>
          <w:szCs w:val="18"/>
          <w:lang w:val="de-DE"/>
        </w:rPr>
        <w:t>Neuzuweisungen von Lizenzen unterliegen den Beschränkungen unten in Bezug auf ihre „Core-Lizenzäquivalenz“</w:t>
      </w:r>
      <w:r w:rsidR="006257A7">
        <w:rPr>
          <w:rFonts w:eastAsia="Calibri" w:cs="Tahoma"/>
          <w:color w:val="000000"/>
          <w:szCs w:val="18"/>
          <w:lang w:val="de-DE"/>
        </w:rPr>
        <w:t xml:space="preserve">. </w:t>
      </w:r>
      <w:r>
        <w:rPr>
          <w:rFonts w:eastAsia="Calibri" w:cs="Tahoma"/>
          <w:color w:val="000000"/>
          <w:szCs w:val="18"/>
        </w:rPr>
        <w:t>Die Core-Lizenzäquivalenz wird wie folgt bestimmt</w:t>
      </w:r>
      <w:r w:rsidR="006257A7">
        <w:rPr>
          <w:rFonts w:eastAsia="Calibri" w:cs="Tahoma"/>
          <w:color w:val="000000"/>
          <w:szCs w:val="18"/>
        </w:rPr>
        <w:t xml:space="preserve">. </w:t>
      </w:r>
    </w:p>
    <w:p w:rsidR="00C7319A" w:rsidRPr="009123CB" w:rsidRDefault="00C7319A" w:rsidP="001F401B">
      <w:pPr>
        <w:numPr>
          <w:ilvl w:val="2"/>
          <w:numId w:val="53"/>
        </w:numPr>
        <w:tabs>
          <w:tab w:val="left" w:pos="2520"/>
        </w:tabs>
        <w:spacing w:after="60"/>
        <w:ind w:left="2520"/>
        <w:rPr>
          <w:lang w:val="de-DE"/>
        </w:rPr>
      </w:pPr>
      <w:r w:rsidRPr="009123CB">
        <w:rPr>
          <w:rFonts w:eastAsia="Calibri" w:cs="Tahoma"/>
          <w:color w:val="000000"/>
          <w:szCs w:val="18"/>
          <w:lang w:val="de-DE"/>
        </w:rPr>
        <w:t>Für jede qualifizierende Lizenz, die dem Server zugewiesen wurde, handelt es sich bei</w:t>
      </w:r>
      <w:r w:rsidR="001F401B">
        <w:rPr>
          <w:rFonts w:eastAsia="Calibri" w:cs="Tahoma"/>
          <w:color w:val="000000"/>
          <w:szCs w:val="18"/>
          <w:lang w:val="de-DE"/>
        </w:rPr>
        <w:t> </w:t>
      </w:r>
      <w:r w:rsidRPr="009123CB">
        <w:rPr>
          <w:rFonts w:eastAsia="Calibri" w:cs="Tahoma"/>
          <w:color w:val="000000"/>
          <w:szCs w:val="18"/>
          <w:lang w:val="de-DE"/>
        </w:rPr>
        <w:t xml:space="preserve">der Core-Lizenzäquivalenz um den jeweils größeren der folgenden Werte: </w:t>
      </w:r>
    </w:p>
    <w:p w:rsidR="00C7319A" w:rsidRPr="0062435A" w:rsidRDefault="00C7319A" w:rsidP="00C7319A">
      <w:pPr>
        <w:numPr>
          <w:ilvl w:val="4"/>
          <w:numId w:val="126"/>
        </w:numPr>
        <w:tabs>
          <w:tab w:val="left" w:pos="2880"/>
        </w:tabs>
        <w:spacing w:after="60"/>
        <w:ind w:left="2880"/>
      </w:pPr>
      <w:r>
        <w:rPr>
          <w:rFonts w:eastAsia="Calibri" w:cs="Tahoma"/>
          <w:color w:val="000000"/>
          <w:szCs w:val="18"/>
        </w:rPr>
        <w:t xml:space="preserve">vier Cores pro Prozessorlizenz ODER </w:t>
      </w:r>
    </w:p>
    <w:p w:rsidR="00C7319A" w:rsidRPr="009123CB" w:rsidRDefault="00C7319A" w:rsidP="00C7319A">
      <w:pPr>
        <w:numPr>
          <w:ilvl w:val="4"/>
          <w:numId w:val="126"/>
        </w:numPr>
        <w:tabs>
          <w:tab w:val="left" w:pos="2880"/>
        </w:tabs>
        <w:spacing w:after="60"/>
        <w:ind w:left="2880"/>
        <w:rPr>
          <w:lang w:val="de-DE"/>
        </w:rPr>
      </w:pPr>
      <w:r w:rsidRPr="009123CB">
        <w:rPr>
          <w:rFonts w:eastAsia="Calibri" w:cs="Tahoma"/>
          <w:color w:val="000000"/>
          <w:szCs w:val="18"/>
          <w:lang w:val="de-DE"/>
        </w:rPr>
        <w:t>einer Anzahl von Cores pro Prozessorlizenz basierend auf der tatsächlichen Anzahl von Cores pro physischem Prozessor multipliziert mit dem entsprechenden Core-Faktor</w:t>
      </w:r>
      <w:r w:rsidR="006257A7">
        <w:rPr>
          <w:rFonts w:eastAsia="Calibri" w:cs="Tahoma"/>
          <w:color w:val="000000"/>
          <w:szCs w:val="18"/>
          <w:lang w:val="de-DE"/>
        </w:rPr>
        <w:t xml:space="preserve">. </w:t>
      </w:r>
      <w:r w:rsidRPr="009123CB">
        <w:rPr>
          <w:rFonts w:eastAsia="Calibri" w:cs="Tahoma"/>
          <w:color w:val="000000"/>
          <w:szCs w:val="18"/>
          <w:lang w:val="de-DE"/>
        </w:rPr>
        <w:t>(Wenn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color w:val="000000"/>
          <w:szCs w:val="18"/>
          <w:lang w:val="de-DE"/>
        </w:rPr>
        <w:t xml:space="preserve">. </w:t>
      </w:r>
      <w:r w:rsidRPr="009123CB">
        <w:rPr>
          <w:rFonts w:eastAsia="Calibri" w:cs="Tahoma"/>
          <w:color w:val="000000"/>
          <w:szCs w:val="18"/>
          <w:lang w:val="de-DE"/>
        </w:rPr>
        <w:t xml:space="preserve">) </w:t>
      </w:r>
    </w:p>
    <w:p w:rsidR="00C7319A" w:rsidRPr="009123CB" w:rsidRDefault="00C7319A" w:rsidP="00C7319A">
      <w:pPr>
        <w:numPr>
          <w:ilvl w:val="1"/>
          <w:numId w:val="128"/>
        </w:numPr>
        <w:tabs>
          <w:tab w:val="left" w:pos="1800"/>
        </w:tabs>
        <w:spacing w:after="60"/>
        <w:rPr>
          <w:lang w:val="de-DE"/>
        </w:rPr>
      </w:pPr>
      <w:r w:rsidRPr="009123CB">
        <w:rPr>
          <w:rFonts w:eastAsia="Calibri" w:cs="Tahoma"/>
          <w:color w:val="000000"/>
          <w:szCs w:val="18"/>
          <w:lang w:val="de-DE"/>
        </w:rPr>
        <w:t xml:space="preserve">Kunden </w:t>
      </w:r>
      <w:r w:rsidRPr="009123CB">
        <w:rPr>
          <w:rFonts w:eastAsia="Calibri" w:cs="Tahoma"/>
          <w:szCs w:val="18"/>
          <w:lang w:val="de-DE"/>
        </w:rPr>
        <w:t>sind berechtigt, Lizenzen einem anderen Server neu zuzuweisen</w:t>
      </w:r>
      <w:r w:rsidR="006257A7">
        <w:rPr>
          <w:rFonts w:eastAsia="Calibri" w:cs="Tahoma"/>
          <w:szCs w:val="18"/>
          <w:lang w:val="de-DE"/>
        </w:rPr>
        <w:t xml:space="preserve">. </w:t>
      </w:r>
      <w:r w:rsidRPr="009123CB">
        <w:rPr>
          <w:rFonts w:eastAsia="Calibri" w:cs="Tahoma"/>
          <w:szCs w:val="18"/>
          <w:lang w:val="de-DE"/>
        </w:rPr>
        <w:t>Wenn der Kunde jedoch eine Lizenz einem anderen Server neu zuweist, muss der Kunde die Nutzungsrechte für die von ihm verwendete Version der Software befolgen</w:t>
      </w:r>
      <w:r w:rsidR="006257A7">
        <w:rPr>
          <w:rFonts w:eastAsia="Calibri" w:cs="Tahoma"/>
          <w:szCs w:val="18"/>
          <w:lang w:val="de-DE"/>
        </w:rPr>
        <w:t xml:space="preserve">. </w:t>
      </w:r>
      <w:r w:rsidRPr="009123CB">
        <w:rPr>
          <w:rFonts w:eastAsia="Calibri" w:cs="Tahoma"/>
          <w:szCs w:val="18"/>
          <w:lang w:val="de-DE"/>
        </w:rPr>
        <w:t>Beim Zuweisen von Core-Lizenzen zu Servern in solchen Umständen ist der Kunde berechtigt, die Core-Äquivalenz seiner vorhandenen Lizenzen mit zusätzlichen Core-Lizenzen für BizTalk Server zu kombinieren</w:t>
      </w:r>
      <w:r w:rsidR="006257A7">
        <w:rPr>
          <w:rFonts w:eastAsia="Calibri" w:cs="Tahoma"/>
          <w:szCs w:val="18"/>
          <w:lang w:val="de-DE"/>
        </w:rPr>
        <w:t xml:space="preserve">. </w:t>
      </w:r>
    </w:p>
    <w:p w:rsidR="00C7319A" w:rsidRPr="009123CB" w:rsidRDefault="00C7319A" w:rsidP="00C7319A">
      <w:pPr>
        <w:numPr>
          <w:ilvl w:val="1"/>
          <w:numId w:val="128"/>
        </w:numPr>
        <w:tabs>
          <w:tab w:val="left" w:pos="1800"/>
          <w:tab w:val="left" w:pos="2970"/>
        </w:tabs>
        <w:spacing w:after="60"/>
        <w:rPr>
          <w:lang w:val="de-DE"/>
        </w:rPr>
      </w:pPr>
      <w:r w:rsidRPr="009123CB">
        <w:rPr>
          <w:rFonts w:eastAsia="Calibri" w:cs="Tahoma"/>
          <w:color w:val="000000"/>
          <w:szCs w:val="18"/>
          <w:lang w:val="de-DE"/>
        </w:rPr>
        <w:t>Die angenommene Core-Lizenzäquivalenz der Kunden impliziert nicht, dass sie berechtigt sind, eine einzelne Prozessorlizenz Cores auf zwei oder mehr Prozessoren zuzuweisen</w:t>
      </w:r>
      <w:r w:rsidR="006257A7">
        <w:rPr>
          <w:rFonts w:eastAsia="Calibri" w:cs="Tahoma"/>
          <w:color w:val="000000"/>
          <w:szCs w:val="18"/>
          <w:lang w:val="de-DE"/>
        </w:rPr>
        <w:t xml:space="preserve">. </w:t>
      </w:r>
    </w:p>
    <w:p w:rsidR="00C7319A" w:rsidRPr="00DD788F" w:rsidRDefault="00C7319A" w:rsidP="00DD788F">
      <w:pPr>
        <w:spacing w:line="204" w:lineRule="auto"/>
        <w:ind w:left="1440"/>
        <w:rPr>
          <w:sz w:val="16"/>
          <w:szCs w:val="16"/>
          <w:lang w:val="de-DE"/>
        </w:rPr>
      </w:pPr>
    </w:p>
    <w:p w:rsidR="00C7319A" w:rsidRPr="00DD788F" w:rsidRDefault="00C7319A" w:rsidP="00DD788F">
      <w:pPr>
        <w:spacing w:line="204" w:lineRule="auto"/>
        <w:rPr>
          <w:sz w:val="16"/>
          <w:szCs w:val="16"/>
          <w:lang w:val="de-DE"/>
        </w:rPr>
      </w:pPr>
    </w:p>
    <w:p w:rsidR="00C7319A" w:rsidRPr="009123CB" w:rsidRDefault="00C7319A" w:rsidP="00C7319A">
      <w:pPr>
        <w:pStyle w:val="Heading3"/>
        <w:rPr>
          <w:lang w:val="de-DE"/>
        </w:rPr>
      </w:pPr>
      <w:bookmarkStart w:id="1164" w:name="_36_BizTalk_Server®"/>
      <w:bookmarkStart w:id="1165" w:name="_Toc363999034"/>
      <w:bookmarkStart w:id="1166" w:name="_Toc343596567"/>
      <w:bookmarkEnd w:id="1164"/>
      <w:r w:rsidRPr="009123CB">
        <w:rPr>
          <w:rFonts w:ascii="Tahoma" w:hAnsi="Tahoma"/>
          <w:caps/>
          <w:color w:val="F66400"/>
          <w:sz w:val="22"/>
          <w:vertAlign w:val="superscript"/>
          <w:lang w:val="de-DE"/>
        </w:rPr>
        <w:t>37</w:t>
      </w:r>
      <w:r w:rsidRPr="001F401B">
        <w:rPr>
          <w:rFonts w:ascii="Tahoma" w:hAnsi="Tahoma"/>
          <w:caps/>
          <w:color w:val="F66400"/>
          <w:sz w:val="22"/>
          <w:lang w:val="de-DE"/>
        </w:rPr>
        <w:t xml:space="preserve"> </w:t>
      </w:r>
      <w:r w:rsidRPr="009123CB">
        <w:rPr>
          <w:rFonts w:ascii="Tahoma" w:hAnsi="Tahoma"/>
          <w:color w:val="F66400"/>
          <w:sz w:val="22"/>
          <w:lang w:val="de-DE"/>
        </w:rPr>
        <w:t>BizTalk Server</w:t>
      </w:r>
      <w:r w:rsidR="0069040B" w:rsidRPr="0069040B">
        <w:rPr>
          <w:rFonts w:ascii="Tahoma" w:hAnsi="Tahoma"/>
          <w:color w:val="F66400"/>
          <w:sz w:val="22"/>
          <w:vertAlign w:val="superscript"/>
          <w:lang w:val="de-DE"/>
        </w:rPr>
        <w:t>®</w:t>
      </w:r>
      <w:r w:rsidRPr="009123CB">
        <w:rPr>
          <w:rFonts w:ascii="Tahoma" w:hAnsi="Tahoma"/>
          <w:color w:val="F66400"/>
          <w:sz w:val="22"/>
          <w:lang w:val="de-DE"/>
        </w:rPr>
        <w:t xml:space="preserve"> 2013 Enterprise</w:t>
      </w:r>
      <w:bookmarkEnd w:id="1165"/>
      <w:r w:rsidRPr="009123CB">
        <w:rPr>
          <w:rFonts w:ascii="Tahoma" w:hAnsi="Tahoma"/>
          <w:color w:val="F66400"/>
          <w:sz w:val="22"/>
          <w:lang w:val="de-DE"/>
        </w:rPr>
        <w:t xml:space="preserve"> </w:t>
      </w:r>
      <w:bookmarkEnd w:id="1166"/>
    </w:p>
    <w:p w:rsidR="00C7319A" w:rsidRPr="00DD788F" w:rsidRDefault="00C7319A" w:rsidP="00DD788F">
      <w:pPr>
        <w:spacing w:line="204" w:lineRule="auto"/>
        <w:ind w:left="720"/>
        <w:rPr>
          <w:sz w:val="16"/>
          <w:szCs w:val="16"/>
          <w:lang w:val="de-DE"/>
        </w:rPr>
      </w:pPr>
    </w:p>
    <w:p w:rsidR="00C7319A" w:rsidRPr="009123CB" w:rsidRDefault="00C7319A" w:rsidP="00C7319A">
      <w:pPr>
        <w:spacing w:after="60"/>
        <w:ind w:left="720"/>
        <w:rPr>
          <w:lang w:val="de-DE"/>
        </w:rPr>
      </w:pPr>
      <w:r w:rsidRPr="009123CB">
        <w:rPr>
          <w:rFonts w:eastAsia="Calibri" w:cs="Tahoma"/>
          <w:b/>
          <w:color w:val="000000"/>
          <w:szCs w:val="18"/>
          <w:lang w:val="de-DE"/>
        </w:rPr>
        <w:t>Lizenzgewährungen im Zusammenhang mit der Änderung des Lizenzmodells</w:t>
      </w:r>
    </w:p>
    <w:p w:rsidR="00C7319A" w:rsidRPr="009123CB" w:rsidRDefault="00C7319A" w:rsidP="00C7319A">
      <w:pPr>
        <w:ind w:left="720"/>
        <w:rPr>
          <w:lang w:val="de-DE"/>
        </w:rPr>
      </w:pPr>
      <w:r w:rsidRPr="009123CB">
        <w:rPr>
          <w:rFonts w:eastAsia="Calibri" w:cs="Tahoma"/>
          <w:color w:val="000000"/>
          <w:szCs w:val="18"/>
          <w:lang w:val="de-DE"/>
        </w:rPr>
        <w:t>BizTalk Server 2010 ist die letzte Version von BizTalk Server, die unter dem Pro-Prozessor-Lizenzmodell lizenziert wird</w:t>
      </w:r>
      <w:r w:rsidR="006257A7">
        <w:rPr>
          <w:rFonts w:eastAsia="Calibri" w:cs="Tahoma"/>
          <w:color w:val="000000"/>
          <w:szCs w:val="18"/>
          <w:lang w:val="de-DE"/>
        </w:rPr>
        <w:t xml:space="preserve">. </w:t>
      </w:r>
      <w:r w:rsidRPr="009123CB">
        <w:rPr>
          <w:rFonts w:eastAsia="Calibri" w:cs="Tahoma"/>
          <w:color w:val="000000"/>
          <w:szCs w:val="18"/>
          <w:lang w:val="de-DE"/>
        </w:rPr>
        <w:t>Als Ausnahme erhalten Volumenlizenzkunden, die zum Zeitpunkt der Veröffentlichung dieser Produktliste über aktive Software Assurance für BizTalk Server 2010 Enterprise-Prozessorlizenzen („qualifizierende Lizenzen“) verfügen, die folgenden Optionen</w:t>
      </w:r>
      <w:r w:rsidR="006257A7">
        <w:rPr>
          <w:rFonts w:cs="Tahoma"/>
          <w:bCs/>
          <w:color w:val="000000"/>
          <w:szCs w:val="18"/>
          <w:lang w:val="de-DE"/>
        </w:rPr>
        <w:t xml:space="preserve">. </w:t>
      </w:r>
    </w:p>
    <w:p w:rsidR="00C7319A" w:rsidRPr="00DD788F" w:rsidRDefault="00C7319A" w:rsidP="00DD788F">
      <w:pPr>
        <w:spacing w:line="204" w:lineRule="auto"/>
        <w:ind w:left="720"/>
        <w:rPr>
          <w:sz w:val="16"/>
          <w:szCs w:val="16"/>
          <w:lang w:val="de-DE"/>
        </w:rPr>
      </w:pPr>
    </w:p>
    <w:p w:rsidR="00C7319A" w:rsidRPr="009123CB" w:rsidRDefault="00C7319A" w:rsidP="00C7319A">
      <w:pPr>
        <w:spacing w:after="60"/>
        <w:ind w:left="720"/>
        <w:rPr>
          <w:lang w:val="de-DE"/>
        </w:rPr>
      </w:pPr>
      <w:r w:rsidRPr="009123CB">
        <w:rPr>
          <w:rFonts w:eastAsia="Calibri" w:cs="Tahoma"/>
          <w:b/>
          <w:color w:val="000000"/>
          <w:szCs w:val="18"/>
          <w:lang w:val="de-DE"/>
        </w:rPr>
        <w:t>Aktuelle Laufzeit</w:t>
      </w:r>
    </w:p>
    <w:p w:rsidR="00C7319A" w:rsidRPr="009123CB" w:rsidRDefault="00C7319A" w:rsidP="001F401B">
      <w:pPr>
        <w:ind w:left="720"/>
        <w:rPr>
          <w:lang w:val="de-DE"/>
        </w:rPr>
      </w:pPr>
      <w:r w:rsidRPr="009123CB">
        <w:rPr>
          <w:rFonts w:eastAsia="Calibri" w:cs="Tahoma"/>
          <w:color w:val="000000"/>
          <w:szCs w:val="18"/>
          <w:lang w:val="de-DE"/>
        </w:rPr>
        <w:t>Während der aktuellen Laufzeit ihrer Software Assurance sind Kunden (einschließlich Kunden mit</w:t>
      </w:r>
      <w:r w:rsidR="001F401B">
        <w:rPr>
          <w:rFonts w:eastAsia="Calibri" w:cs="Tahoma"/>
          <w:color w:val="000000"/>
          <w:szCs w:val="18"/>
          <w:lang w:val="de-DE"/>
        </w:rPr>
        <w:t> </w:t>
      </w:r>
      <w:r w:rsidRPr="009123CB">
        <w:rPr>
          <w:rFonts w:eastAsia="Calibri" w:cs="Tahoma"/>
          <w:color w:val="000000"/>
          <w:szCs w:val="18"/>
          <w:lang w:val="de-DE"/>
        </w:rPr>
        <w:t>Abonnementverträgen) unter qualifizierenden Lizenzen berechtigt, vorbehaltlich der Produktbenutzungsrechte für BizTalk Server 2010 Enterprise-Prozessorlizenzen (wie in den Produktbenutzungsrechten von Januar 2013 dargestellt) auf die neueste Version von BizTalk Server Enterprise-Software anstelle von BizTalk Server 2010 Enterprise upzugraden und diese zu verwenden</w:t>
      </w:r>
      <w:r w:rsidR="006257A7">
        <w:rPr>
          <w:rFonts w:eastAsia="Calibri" w:cs="Tahoma"/>
          <w:color w:val="000000"/>
          <w:szCs w:val="18"/>
          <w:lang w:val="de-DE"/>
        </w:rPr>
        <w:t xml:space="preserve">. </w:t>
      </w:r>
    </w:p>
    <w:p w:rsidR="00C7319A" w:rsidRPr="009123CB" w:rsidRDefault="00C7319A" w:rsidP="00C7319A">
      <w:pPr>
        <w:spacing w:after="60"/>
        <w:ind w:left="720"/>
        <w:rPr>
          <w:lang w:val="de-DE"/>
        </w:rPr>
      </w:pPr>
      <w:r w:rsidRPr="009123CB">
        <w:rPr>
          <w:rFonts w:eastAsia="Calibri" w:cs="Tahoma"/>
          <w:b/>
          <w:color w:val="000000"/>
          <w:szCs w:val="18"/>
          <w:lang w:val="de-DE"/>
        </w:rPr>
        <w:t>Erster Verlängerungszeitraum</w:t>
      </w:r>
    </w:p>
    <w:p w:rsidR="00C7319A" w:rsidRPr="009123CB" w:rsidRDefault="00C7319A" w:rsidP="00C7319A">
      <w:pPr>
        <w:tabs>
          <w:tab w:val="left" w:pos="1800"/>
        </w:tabs>
        <w:spacing w:after="60"/>
        <w:ind w:left="720"/>
        <w:rPr>
          <w:lang w:val="de-DE"/>
        </w:rPr>
      </w:pPr>
      <w:r w:rsidRPr="009123CB">
        <w:rPr>
          <w:rFonts w:eastAsia="Calibri" w:cs="Tahoma"/>
          <w:color w:val="000000"/>
          <w:szCs w:val="18"/>
          <w:lang w:val="de-DE"/>
        </w:rPr>
        <w:t>Bei der ersten Software Assurance-Verlängerung am oder nach dem 1</w:t>
      </w:r>
      <w:r w:rsidR="006257A7">
        <w:rPr>
          <w:rFonts w:eastAsia="Calibri" w:cs="Tahoma"/>
          <w:color w:val="000000"/>
          <w:szCs w:val="18"/>
          <w:lang w:val="de-DE"/>
        </w:rPr>
        <w:t xml:space="preserve">. </w:t>
      </w:r>
      <w:r w:rsidRPr="009123CB">
        <w:rPr>
          <w:rFonts w:eastAsia="Calibri" w:cs="Tahoma"/>
          <w:color w:val="000000"/>
          <w:szCs w:val="18"/>
          <w:lang w:val="de-DE"/>
        </w:rPr>
        <w:t xml:space="preserve">April 2013 ist ein Kunde berechtigt, für jeden Server, den der Kunde unter den Produktbenutzungsrechten für BizTalk Server 2010-Prozessorlizenzen ordnungsgemäß lizenziert hat, Software Assurance für BizTalk Server Enterprise-Core-Lizenzen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C7319A" w:rsidRPr="0062435A" w:rsidRDefault="00C7319A" w:rsidP="00C7319A">
      <w:pPr>
        <w:numPr>
          <w:ilvl w:val="3"/>
          <w:numId w:val="93"/>
        </w:numPr>
        <w:tabs>
          <w:tab w:val="left" w:pos="2160"/>
        </w:tabs>
        <w:spacing w:after="60"/>
        <w:ind w:left="2160"/>
      </w:pPr>
      <w:r>
        <w:rPr>
          <w:rFonts w:eastAsia="Calibri" w:cs="Tahoma"/>
          <w:color w:val="000000"/>
          <w:szCs w:val="18"/>
        </w:rPr>
        <w:t>vier ODER</w:t>
      </w:r>
    </w:p>
    <w:p w:rsidR="00C7319A" w:rsidRPr="009123CB" w:rsidRDefault="00C7319A" w:rsidP="00C7319A">
      <w:pPr>
        <w:numPr>
          <w:ilvl w:val="3"/>
          <w:numId w:val="93"/>
        </w:numPr>
        <w:tabs>
          <w:tab w:val="left" w:pos="2160"/>
        </w:tabs>
        <w:spacing w:after="60"/>
        <w:ind w:left="2160"/>
        <w:rPr>
          <w:lang w:val="de-DE"/>
        </w:rPr>
      </w:pPr>
      <w:r w:rsidRPr="009123CB">
        <w:rPr>
          <w:rFonts w:eastAsia="Calibri" w:cs="Tahoma"/>
          <w:color w:val="000000"/>
          <w:szCs w:val="18"/>
          <w:lang w:val="de-DE"/>
        </w:rPr>
        <w:t>der tatsächlichen Anzahl von Cores pro physischem Prozessor multipliziert mit dem entsprechenden Core-Faktor</w:t>
      </w:r>
      <w:r w:rsidR="006257A7">
        <w:rPr>
          <w:rFonts w:eastAsia="Calibri" w:cs="Tahoma"/>
          <w:color w:val="000000"/>
          <w:szCs w:val="18"/>
          <w:lang w:val="de-DE"/>
        </w:rPr>
        <w:t xml:space="preserve">. </w:t>
      </w:r>
      <w:r w:rsidRPr="009123CB">
        <w:rPr>
          <w:rFonts w:eastAsia="Calibri" w:cs="Tahoma"/>
          <w:color w:val="000000"/>
          <w:szCs w:val="18"/>
          <w:lang w:val="de-DE"/>
        </w:rPr>
        <w:t>(Wenn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color w:val="000000"/>
          <w:szCs w:val="18"/>
          <w:lang w:val="de-DE"/>
        </w:rPr>
        <w:t xml:space="preserve">. </w:t>
      </w:r>
      <w:r w:rsidRPr="009123CB">
        <w:rPr>
          <w:rFonts w:eastAsia="Calibri" w:cs="Tahoma"/>
          <w:color w:val="000000"/>
          <w:szCs w:val="18"/>
          <w:lang w:val="de-DE"/>
        </w:rPr>
        <w:t xml:space="preserve">) </w:t>
      </w:r>
    </w:p>
    <w:p w:rsidR="00C7319A" w:rsidRPr="009123CB" w:rsidRDefault="00C7319A" w:rsidP="00C7319A">
      <w:pPr>
        <w:tabs>
          <w:tab w:val="left" w:pos="1800"/>
        </w:tabs>
        <w:ind w:left="1080"/>
        <w:rPr>
          <w:lang w:val="de-DE"/>
        </w:rPr>
      </w:pPr>
    </w:p>
    <w:p w:rsidR="00C7319A" w:rsidRPr="009123CB" w:rsidRDefault="00C7319A" w:rsidP="00C7319A">
      <w:pPr>
        <w:spacing w:after="60"/>
        <w:ind w:left="720"/>
        <w:rPr>
          <w:lang w:val="de-DE"/>
        </w:rPr>
      </w:pPr>
      <w:r w:rsidRPr="009123CB">
        <w:rPr>
          <w:rFonts w:eastAsia="Calibri" w:cs="Tahoma"/>
          <w:color w:val="000000"/>
          <w:szCs w:val="18"/>
          <w:lang w:val="de-DE"/>
        </w:rPr>
        <w:t>Die Prozessorlizenzen des Kunden sind bei Erwerb von Software Assurance für Core-Lizenzen unter diesem Angebot nicht mehr gültig</w:t>
      </w:r>
      <w:r w:rsidR="006257A7">
        <w:rPr>
          <w:rFonts w:eastAsia="Calibri" w:cs="Tahoma"/>
          <w:color w:val="000000"/>
          <w:szCs w:val="18"/>
          <w:lang w:val="de-DE"/>
        </w:rPr>
        <w:t xml:space="preserve">. </w:t>
      </w:r>
      <w:r w:rsidRPr="009123CB">
        <w:rPr>
          <w:rFonts w:eastAsia="Calibri" w:cs="Tahoma"/>
          <w:szCs w:val="18"/>
          <w:lang w:val="de-DE"/>
        </w:rPr>
        <w:t>Die Option zum Erwerb von Core-Lizenzen für Software Assurance für BizTalk Server ist nicht auf die Software Assurance-Verlängerung unter Abonnementprogrammen anwendbar</w:t>
      </w:r>
      <w:r w:rsidR="006257A7">
        <w:rPr>
          <w:rFonts w:eastAsia="Calibri" w:cs="Tahoma"/>
          <w:szCs w:val="18"/>
          <w:lang w:val="de-DE"/>
        </w:rPr>
        <w:t xml:space="preserve">. </w:t>
      </w:r>
    </w:p>
    <w:p w:rsidR="00C7319A" w:rsidRPr="009123CB" w:rsidRDefault="00C7319A" w:rsidP="00C7319A">
      <w:pPr>
        <w:ind w:left="1440"/>
        <w:rPr>
          <w:lang w:val="de-DE"/>
        </w:rPr>
      </w:pPr>
    </w:p>
    <w:p w:rsidR="00C7319A" w:rsidRPr="009123CB" w:rsidRDefault="00C7319A" w:rsidP="00C7319A">
      <w:pPr>
        <w:tabs>
          <w:tab w:val="left" w:pos="1440"/>
        </w:tabs>
        <w:spacing w:after="60"/>
        <w:ind w:left="720"/>
        <w:rPr>
          <w:lang w:val="de-DE"/>
        </w:rPr>
      </w:pPr>
      <w:r w:rsidRPr="009123CB">
        <w:rPr>
          <w:rFonts w:eastAsia="Calibri" w:cs="Tahoma"/>
          <w:b/>
          <w:color w:val="000000"/>
          <w:szCs w:val="18"/>
          <w:lang w:val="de-DE"/>
        </w:rPr>
        <w:t>Für Kunden mit aktiver Software Assurance, die nicht verlängern möchten</w:t>
      </w:r>
    </w:p>
    <w:p w:rsidR="00C7319A" w:rsidRPr="009123CB" w:rsidRDefault="00C7319A" w:rsidP="00C7319A">
      <w:pPr>
        <w:tabs>
          <w:tab w:val="left" w:pos="1440"/>
        </w:tabs>
        <w:ind w:left="720"/>
        <w:rPr>
          <w:lang w:val="de-DE"/>
        </w:rPr>
      </w:pPr>
      <w:r w:rsidRPr="009123CB">
        <w:rPr>
          <w:rFonts w:eastAsia="Calibri" w:cs="Tahoma"/>
          <w:color w:val="000000"/>
          <w:szCs w:val="18"/>
          <w:lang w:val="de-DE"/>
        </w:rPr>
        <w:t xml:space="preserve">Konzern-Abonnement- </w:t>
      </w:r>
      <w:r w:rsidRPr="009123CB">
        <w:rPr>
          <w:rFonts w:cs="Tahoma"/>
          <w:bCs/>
          <w:color w:val="000000"/>
          <w:szCs w:val="18"/>
          <w:lang w:val="de-DE"/>
        </w:rPr>
        <w:t>und Open Value Subscription-</w:t>
      </w:r>
      <w:r w:rsidRPr="009123CB">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zu diesem Zeitpunkt verfügbare Version von BizTalk Server wie folgt unter diesen Lizenzen auszuführen:</w:t>
      </w:r>
    </w:p>
    <w:p w:rsidR="00C7319A" w:rsidRPr="009123CB" w:rsidRDefault="00C7319A" w:rsidP="00C7319A">
      <w:pPr>
        <w:tabs>
          <w:tab w:val="left" w:pos="1440"/>
        </w:tabs>
        <w:ind w:left="720"/>
        <w:rPr>
          <w:lang w:val="de-DE"/>
        </w:rPr>
      </w:pPr>
    </w:p>
    <w:p w:rsidR="00C7319A" w:rsidRPr="009123CB" w:rsidRDefault="00C7319A" w:rsidP="00C7319A">
      <w:pPr>
        <w:numPr>
          <w:ilvl w:val="0"/>
          <w:numId w:val="53"/>
        </w:numPr>
        <w:spacing w:after="60"/>
        <w:ind w:left="1440"/>
        <w:rPr>
          <w:lang w:val="de-DE"/>
        </w:rPr>
      </w:pPr>
      <w:r w:rsidRPr="009123CB">
        <w:rPr>
          <w:rFonts w:eastAsia="Calibri" w:cs="Tahoma"/>
          <w:b/>
          <w:color w:val="000000"/>
          <w:szCs w:val="18"/>
          <w:lang w:val="de-DE"/>
        </w:rPr>
        <w:t>BizTalk Server 2010 Enterprise:</w:t>
      </w:r>
      <w:r w:rsidRPr="009123CB">
        <w:rPr>
          <w:rFonts w:eastAsia="Calibri" w:cs="Tahoma"/>
          <w:color w:val="000000"/>
          <w:szCs w:val="18"/>
          <w:lang w:val="de-DE"/>
        </w:rPr>
        <w:t xml:space="preserve"> Die kontinuierliche Verwendung dieser Version der Software unterliegt den Produktbenutzungsrechten für BizTalk Server 2010 Enterprise-Prozessorlizenzen, jedoch verfügen die Kunden nicht mehr über die Lizenzmobilität durch Software Assurance</w:t>
      </w:r>
      <w:r w:rsidR="006257A7">
        <w:rPr>
          <w:rFonts w:eastAsia="Calibri" w:cs="Tahoma"/>
          <w:color w:val="000000"/>
          <w:szCs w:val="18"/>
          <w:lang w:val="de-DE"/>
        </w:rPr>
        <w:t xml:space="preserve">. </w:t>
      </w:r>
    </w:p>
    <w:p w:rsidR="00C7319A" w:rsidRPr="009123CB" w:rsidRDefault="00C7319A" w:rsidP="00C7319A">
      <w:pPr>
        <w:numPr>
          <w:ilvl w:val="0"/>
          <w:numId w:val="53"/>
        </w:numPr>
        <w:tabs>
          <w:tab w:val="left" w:pos="1800"/>
        </w:tabs>
        <w:spacing w:after="60"/>
        <w:ind w:left="1440"/>
        <w:rPr>
          <w:lang w:val="de-DE"/>
        </w:rPr>
      </w:pPr>
      <w:r w:rsidRPr="009123CB">
        <w:rPr>
          <w:rFonts w:eastAsia="Calibri" w:cs="Tahoma"/>
          <w:b/>
          <w:color w:val="000000"/>
          <w:szCs w:val="18"/>
          <w:lang w:val="de-DE"/>
        </w:rPr>
        <w:t xml:space="preserve">Neueste Version von BizTalk Server Enterprise: </w:t>
      </w:r>
      <w:r w:rsidRPr="009123CB">
        <w:rPr>
          <w:rFonts w:eastAsia="Calibri" w:cs="Tahoma"/>
          <w:color w:val="000000"/>
          <w:szCs w:val="18"/>
          <w:lang w:val="de-DE"/>
        </w:rPr>
        <w:t xml:space="preserve">Die Verwendung dieser Version der Software unterliegt den Produktbenutzungsrechten für BizTalk Server 2010 Enterprise-Prozessorlizenzen, jedoch mit folgenden Einschränkungen: </w:t>
      </w:r>
    </w:p>
    <w:p w:rsidR="00C7319A" w:rsidRPr="009123CB" w:rsidRDefault="00C7319A" w:rsidP="00C7319A">
      <w:pPr>
        <w:numPr>
          <w:ilvl w:val="1"/>
          <w:numId w:val="53"/>
        </w:numPr>
        <w:tabs>
          <w:tab w:val="left" w:pos="2160"/>
        </w:tabs>
        <w:spacing w:after="60"/>
        <w:ind w:left="2160"/>
        <w:rPr>
          <w:lang w:val="de-DE"/>
        </w:rPr>
      </w:pPr>
      <w:r w:rsidRPr="009123CB">
        <w:rPr>
          <w:rFonts w:eastAsia="Calibri" w:cs="Tahoma"/>
          <w:color w:val="000000"/>
          <w:szCs w:val="18"/>
          <w:lang w:val="de-DE"/>
        </w:rPr>
        <w:t xml:space="preserve">Kunden verfügen nicht mehr über die Lizenzmobilität innerhalb von Serverfarmen oder Lizenzmobilität durch Software Assurance, und </w:t>
      </w:r>
    </w:p>
    <w:p w:rsidR="00C7319A" w:rsidRPr="0062435A" w:rsidRDefault="00C7319A" w:rsidP="00C7319A">
      <w:pPr>
        <w:numPr>
          <w:ilvl w:val="1"/>
          <w:numId w:val="53"/>
        </w:numPr>
        <w:tabs>
          <w:tab w:val="left" w:pos="2160"/>
          <w:tab w:val="left" w:pos="2970"/>
        </w:tabs>
        <w:spacing w:after="60"/>
        <w:ind w:left="2160"/>
      </w:pPr>
      <w:r w:rsidRPr="009123CB">
        <w:rPr>
          <w:rFonts w:eastAsia="Calibri" w:cs="Tahoma"/>
          <w:color w:val="000000"/>
          <w:szCs w:val="18"/>
          <w:lang w:val="de-DE"/>
        </w:rPr>
        <w:t>Neuzuweisungen von Lizenzen unterliegen den Beschränkungen unten in Bezug auf ihre „Core-Lizenzäquivalenz“</w:t>
      </w:r>
      <w:r w:rsidR="006257A7">
        <w:rPr>
          <w:rFonts w:eastAsia="Calibri" w:cs="Tahoma"/>
          <w:color w:val="000000"/>
          <w:szCs w:val="18"/>
          <w:lang w:val="de-DE"/>
        </w:rPr>
        <w:t xml:space="preserve">. </w:t>
      </w:r>
      <w:r>
        <w:rPr>
          <w:rFonts w:eastAsia="Calibri" w:cs="Tahoma"/>
          <w:color w:val="000000"/>
          <w:szCs w:val="18"/>
        </w:rPr>
        <w:t>Die Core-Lizenzäquivalenz wird wie folgt bestimmt</w:t>
      </w:r>
      <w:r w:rsidR="006257A7">
        <w:rPr>
          <w:rFonts w:eastAsia="Calibri" w:cs="Tahoma"/>
          <w:color w:val="000000"/>
          <w:szCs w:val="18"/>
        </w:rPr>
        <w:t xml:space="preserve">. </w:t>
      </w:r>
    </w:p>
    <w:p w:rsidR="00C7319A" w:rsidRPr="009123CB" w:rsidRDefault="00C7319A" w:rsidP="00C7319A">
      <w:pPr>
        <w:numPr>
          <w:ilvl w:val="2"/>
          <w:numId w:val="53"/>
        </w:numPr>
        <w:tabs>
          <w:tab w:val="left" w:pos="2520"/>
        </w:tabs>
        <w:spacing w:after="60"/>
        <w:ind w:left="2520"/>
        <w:rPr>
          <w:lang w:val="de-DE"/>
        </w:rPr>
      </w:pPr>
      <w:r w:rsidRPr="009123CB">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C7319A" w:rsidRPr="0062435A" w:rsidRDefault="00C7319A" w:rsidP="00C7319A">
      <w:pPr>
        <w:numPr>
          <w:ilvl w:val="4"/>
          <w:numId w:val="126"/>
        </w:numPr>
        <w:tabs>
          <w:tab w:val="left" w:pos="2880"/>
        </w:tabs>
        <w:spacing w:after="60"/>
        <w:ind w:left="2880"/>
      </w:pPr>
      <w:r>
        <w:rPr>
          <w:rFonts w:eastAsia="Calibri" w:cs="Tahoma"/>
          <w:color w:val="000000"/>
          <w:szCs w:val="18"/>
        </w:rPr>
        <w:t xml:space="preserve">vier Cores pro Prozessorlizenz ODER </w:t>
      </w:r>
    </w:p>
    <w:p w:rsidR="00C7319A" w:rsidRPr="00F81961" w:rsidRDefault="00C7319A" w:rsidP="00C7319A">
      <w:pPr>
        <w:numPr>
          <w:ilvl w:val="4"/>
          <w:numId w:val="126"/>
        </w:numPr>
        <w:tabs>
          <w:tab w:val="left" w:pos="2880"/>
        </w:tabs>
        <w:spacing w:after="60"/>
        <w:ind w:left="2880"/>
        <w:rPr>
          <w:lang w:val="de-DE"/>
        </w:rPr>
      </w:pPr>
      <w:r w:rsidRPr="009123CB">
        <w:rPr>
          <w:rFonts w:eastAsia="Calibri" w:cs="Tahoma"/>
          <w:color w:val="000000"/>
          <w:szCs w:val="18"/>
          <w:lang w:val="de-DE"/>
        </w:rPr>
        <w:t>einer Anzahl von Cores pro Prozessorlizenz basierend auf der tatsächlichen Anzahl von Cores pro physischem Prozessor multipliziert mit dem entsprechenden Core-Faktor</w:t>
      </w:r>
      <w:r w:rsidR="006257A7">
        <w:rPr>
          <w:rFonts w:eastAsia="Calibri" w:cs="Tahoma"/>
          <w:color w:val="000000"/>
          <w:szCs w:val="18"/>
          <w:lang w:val="de-DE"/>
        </w:rPr>
        <w:t xml:space="preserve">. </w:t>
      </w:r>
      <w:r w:rsidRPr="009123CB">
        <w:rPr>
          <w:rFonts w:eastAsia="Calibri" w:cs="Tahoma"/>
          <w:color w:val="000000"/>
          <w:szCs w:val="18"/>
          <w:lang w:val="de-DE"/>
        </w:rPr>
        <w:t>(Wenn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color w:val="000000"/>
          <w:szCs w:val="18"/>
          <w:lang w:val="de-DE"/>
        </w:rPr>
        <w:t xml:space="preserve">. </w:t>
      </w:r>
      <w:r w:rsidRPr="009123CB">
        <w:rPr>
          <w:rFonts w:eastAsia="Calibri" w:cs="Tahoma"/>
          <w:color w:val="000000"/>
          <w:szCs w:val="18"/>
          <w:lang w:val="de-DE"/>
        </w:rPr>
        <w:t xml:space="preserve">) </w:t>
      </w:r>
    </w:p>
    <w:p w:rsidR="00C7319A" w:rsidRPr="009123CB" w:rsidRDefault="00C7319A" w:rsidP="00C7319A">
      <w:pPr>
        <w:numPr>
          <w:ilvl w:val="1"/>
          <w:numId w:val="127"/>
        </w:numPr>
        <w:tabs>
          <w:tab w:val="left" w:pos="1800"/>
        </w:tabs>
        <w:spacing w:after="60"/>
        <w:rPr>
          <w:lang w:val="de-DE"/>
        </w:rPr>
      </w:pPr>
      <w:r w:rsidRPr="009123CB">
        <w:rPr>
          <w:rFonts w:eastAsia="Calibri" w:cs="Tahoma"/>
          <w:color w:val="000000"/>
          <w:szCs w:val="18"/>
          <w:lang w:val="de-DE"/>
        </w:rPr>
        <w:t>Kunden sind berechtigt, Lizenzen einem anderen Server neu zuzuweisen</w:t>
      </w:r>
      <w:r w:rsidR="006257A7">
        <w:rPr>
          <w:rFonts w:eastAsia="Calibri" w:cs="Tahoma"/>
          <w:color w:val="000000"/>
          <w:szCs w:val="18"/>
          <w:lang w:val="de-DE"/>
        </w:rPr>
        <w:t xml:space="preserve">. </w:t>
      </w:r>
      <w:r w:rsidRPr="009123CB">
        <w:rPr>
          <w:rFonts w:eastAsia="Calibri" w:cs="Tahoma"/>
          <w:color w:val="000000"/>
          <w:szCs w:val="18"/>
          <w:lang w:val="de-DE"/>
        </w:rPr>
        <w:t>Wenn der Kunde jedoch eine Lizenz einem anderen Server neu zuweist, muss der Kunde die Nutzungsrechte für die von ihm verwendete Version der Software befolgen</w:t>
      </w:r>
      <w:r w:rsidR="006257A7">
        <w:rPr>
          <w:rFonts w:eastAsia="Calibri" w:cs="Tahoma"/>
          <w:color w:val="000000"/>
          <w:szCs w:val="18"/>
          <w:lang w:val="de-DE"/>
        </w:rPr>
        <w:t xml:space="preserve">. </w:t>
      </w:r>
      <w:r w:rsidRPr="009123CB">
        <w:rPr>
          <w:rFonts w:eastAsia="Calibri" w:cs="Tahoma"/>
          <w:color w:val="000000"/>
          <w:szCs w:val="18"/>
          <w:lang w:val="de-DE"/>
        </w:rPr>
        <w:t>Beim Zuweisen von Core-Lizenzen zu Servern in solchen Umständen ist der Kunde berechtigt, die Core-Äquivalenz seiner vorhandenen Lizenzen mit zusätzlichen Core-Lizenzen für BizTalk Server zu kombinieren</w:t>
      </w:r>
      <w:r w:rsidR="006257A7">
        <w:rPr>
          <w:rFonts w:eastAsia="Calibri" w:cs="Tahoma"/>
          <w:color w:val="000000"/>
          <w:szCs w:val="18"/>
          <w:lang w:val="de-DE"/>
        </w:rPr>
        <w:t xml:space="preserve">. </w:t>
      </w:r>
    </w:p>
    <w:p w:rsidR="00C7319A" w:rsidRPr="009123CB" w:rsidRDefault="00C7319A" w:rsidP="00C7319A">
      <w:pPr>
        <w:numPr>
          <w:ilvl w:val="1"/>
          <w:numId w:val="127"/>
        </w:numPr>
        <w:tabs>
          <w:tab w:val="left" w:pos="1800"/>
          <w:tab w:val="left" w:pos="2970"/>
        </w:tabs>
        <w:spacing w:after="60"/>
        <w:rPr>
          <w:lang w:val="de-DE"/>
        </w:rPr>
      </w:pPr>
      <w:r w:rsidRPr="009123CB">
        <w:rPr>
          <w:rFonts w:eastAsia="Calibri" w:cs="Tahoma"/>
          <w:color w:val="000000"/>
          <w:szCs w:val="18"/>
          <w:lang w:val="de-DE"/>
        </w:rPr>
        <w:t>Die angenommene Core-Lizenzäquivalenz der Kunden impliziert nicht, dass sie berechtigt sind, eine einzelne Prozessorlizenz Cores auf zwei oder mehr Prozessoren zuzuweisen</w:t>
      </w:r>
      <w:r w:rsidR="006257A7">
        <w:rPr>
          <w:rFonts w:eastAsia="Calibri" w:cs="Tahoma"/>
          <w:color w:val="000000"/>
          <w:szCs w:val="18"/>
          <w:lang w:val="de-DE"/>
        </w:rPr>
        <w:t xml:space="preserve">. </w:t>
      </w:r>
    </w:p>
    <w:p w:rsidR="00C7319A" w:rsidRPr="009123CB" w:rsidRDefault="00C7319A" w:rsidP="00C7319A">
      <w:pPr>
        <w:tabs>
          <w:tab w:val="left" w:pos="720"/>
        </w:tabs>
        <w:ind w:left="720"/>
        <w:rPr>
          <w:lang w:val="de-DE"/>
        </w:rPr>
      </w:pPr>
    </w:p>
    <w:p w:rsidR="00C7319A" w:rsidRPr="009123CB" w:rsidRDefault="00C7319A" w:rsidP="00C7319A">
      <w:pPr>
        <w:ind w:left="720"/>
        <w:rPr>
          <w:lang w:val="de-DE"/>
        </w:rPr>
      </w:pPr>
    </w:p>
    <w:p w:rsidR="00C7319A" w:rsidRPr="009123CB" w:rsidRDefault="00C7319A" w:rsidP="00C7319A">
      <w:pPr>
        <w:pStyle w:val="Heading3"/>
        <w:rPr>
          <w:lang w:val="de-DE"/>
        </w:rPr>
      </w:pPr>
      <w:bookmarkStart w:id="1167" w:name="_37_BizTalk_Server®"/>
      <w:bookmarkStart w:id="1168" w:name="_38_BizTalk_Server®"/>
      <w:bookmarkStart w:id="1169" w:name="_Toc363999035"/>
      <w:bookmarkStart w:id="1170" w:name="_Toc343596569"/>
      <w:bookmarkEnd w:id="1167"/>
      <w:bookmarkEnd w:id="1168"/>
      <w:r w:rsidRPr="009123CB">
        <w:rPr>
          <w:rFonts w:ascii="Tahoma" w:hAnsi="Tahoma" w:cs="Tahoma"/>
          <w:caps/>
          <w:color w:val="F66400"/>
          <w:sz w:val="22"/>
          <w:vertAlign w:val="superscript"/>
          <w:lang w:val="de-DE"/>
        </w:rPr>
        <w:t>38</w:t>
      </w:r>
      <w:r w:rsidRPr="009123CB">
        <w:rPr>
          <w:rFonts w:ascii="Tahoma" w:hAnsi="Tahoma" w:cs="Tahoma"/>
          <w:color w:val="F66400"/>
          <w:sz w:val="22"/>
          <w:lang w:val="de-DE"/>
        </w:rPr>
        <w:t xml:space="preserve"> BizTalk Server</w:t>
      </w:r>
      <w:r w:rsidR="0069040B" w:rsidRPr="0069040B">
        <w:rPr>
          <w:rFonts w:ascii="Tahoma" w:hAnsi="Tahoma" w:cs="Tahoma"/>
          <w:color w:val="F66400"/>
          <w:sz w:val="22"/>
          <w:vertAlign w:val="superscript"/>
          <w:lang w:val="de-DE"/>
        </w:rPr>
        <w:t>®</w:t>
      </w:r>
      <w:r w:rsidRPr="009123CB">
        <w:rPr>
          <w:rFonts w:ascii="Tahoma" w:hAnsi="Tahoma" w:cs="Tahoma"/>
          <w:color w:val="F66400"/>
          <w:sz w:val="22"/>
          <w:lang w:val="de-DE"/>
        </w:rPr>
        <w:t xml:space="preserve"> 2013 Standard</w:t>
      </w:r>
      <w:bookmarkEnd w:id="1169"/>
      <w:r w:rsidRPr="009123CB">
        <w:rPr>
          <w:rFonts w:ascii="Tahoma" w:eastAsia="Calibri" w:hAnsi="Tahoma" w:cs="Tahoma"/>
          <w:color w:val="F66400"/>
          <w:sz w:val="22"/>
          <w:szCs w:val="18"/>
          <w:lang w:val="de-DE"/>
        </w:rPr>
        <w:t xml:space="preserve"> </w:t>
      </w:r>
      <w:bookmarkEnd w:id="1170"/>
    </w:p>
    <w:p w:rsidR="00C7319A" w:rsidRPr="009123CB" w:rsidRDefault="00C7319A" w:rsidP="00C7319A">
      <w:pPr>
        <w:rPr>
          <w:lang w:val="de-DE"/>
        </w:rPr>
      </w:pPr>
    </w:p>
    <w:p w:rsidR="00C7319A" w:rsidRPr="009123CB" w:rsidRDefault="00C7319A" w:rsidP="00C7319A">
      <w:pPr>
        <w:spacing w:after="60"/>
        <w:ind w:left="720"/>
        <w:rPr>
          <w:lang w:val="de-DE"/>
        </w:rPr>
      </w:pPr>
      <w:r w:rsidRPr="009123CB">
        <w:rPr>
          <w:rFonts w:eastAsia="Calibri" w:cs="Tahoma"/>
          <w:b/>
          <w:color w:val="000000"/>
          <w:szCs w:val="18"/>
          <w:lang w:val="de-DE"/>
        </w:rPr>
        <w:t>Lizenzgewährungen im Zusammenhang mit der Änderung des Lizenzmodells</w:t>
      </w:r>
    </w:p>
    <w:p w:rsidR="00C7319A" w:rsidRPr="009123CB" w:rsidRDefault="00C7319A" w:rsidP="005E3F87">
      <w:pPr>
        <w:ind w:left="720"/>
        <w:rPr>
          <w:lang w:val="de-DE"/>
        </w:rPr>
      </w:pPr>
      <w:r w:rsidRPr="009123CB">
        <w:rPr>
          <w:rFonts w:eastAsia="Calibri" w:cs="Tahoma"/>
          <w:color w:val="000000"/>
          <w:szCs w:val="18"/>
          <w:lang w:val="de-DE"/>
        </w:rPr>
        <w:t>BizTalk Server 2010 ist die letzte Version von BizTalk Server, die unter dem Pro-Prozessor-Lizenzmodell lizenziert wird</w:t>
      </w:r>
      <w:r w:rsidR="006257A7">
        <w:rPr>
          <w:rFonts w:eastAsia="Calibri" w:cs="Tahoma"/>
          <w:color w:val="000000"/>
          <w:szCs w:val="18"/>
          <w:lang w:val="de-DE"/>
        </w:rPr>
        <w:t xml:space="preserve">. </w:t>
      </w:r>
      <w:r w:rsidRPr="009123CB">
        <w:rPr>
          <w:rFonts w:eastAsia="Calibri" w:cs="Tahoma"/>
          <w:color w:val="000000"/>
          <w:szCs w:val="18"/>
          <w:lang w:val="de-DE"/>
        </w:rPr>
        <w:t>Als Ausnahme erhalten Volumenlizenzkunden, die zum Zeitpunkt der Veröffentlichung dieser</w:t>
      </w:r>
      <w:r w:rsidR="005E3F87">
        <w:rPr>
          <w:rFonts w:eastAsia="Calibri" w:cs="Tahoma"/>
          <w:color w:val="000000"/>
          <w:szCs w:val="18"/>
          <w:lang w:val="de-DE"/>
        </w:rPr>
        <w:t> </w:t>
      </w:r>
      <w:r w:rsidRPr="009123CB">
        <w:rPr>
          <w:rFonts w:eastAsia="Calibri" w:cs="Tahoma"/>
          <w:color w:val="000000"/>
          <w:szCs w:val="18"/>
          <w:lang w:val="de-DE"/>
        </w:rPr>
        <w:t>Produktliste über aktive Software Assurance für BizTalk Server 2010 Standard-Prozessorlizenzen („qualifizierende Lizenzen“) verfügen, die folgenden Optionen</w:t>
      </w:r>
      <w:r w:rsidR="005E3F87">
        <w:rPr>
          <w:rFonts w:eastAsia="Calibri" w:cs="Tahoma"/>
          <w:color w:val="000000"/>
          <w:szCs w:val="18"/>
          <w:lang w:val="de-DE"/>
        </w:rPr>
        <w:t>.</w:t>
      </w:r>
    </w:p>
    <w:p w:rsidR="00C7319A" w:rsidRPr="009123CB" w:rsidRDefault="00C7319A" w:rsidP="005670D2">
      <w:pPr>
        <w:spacing w:after="40"/>
        <w:ind w:left="720"/>
        <w:rPr>
          <w:lang w:val="de-DE"/>
        </w:rPr>
      </w:pPr>
      <w:r w:rsidRPr="009123CB">
        <w:rPr>
          <w:rFonts w:eastAsia="Calibri" w:cs="Tahoma"/>
          <w:b/>
          <w:color w:val="000000"/>
          <w:szCs w:val="18"/>
          <w:lang w:val="de-DE"/>
        </w:rPr>
        <w:t>Aktuelle Laufzeit</w:t>
      </w:r>
    </w:p>
    <w:p w:rsidR="00C7319A" w:rsidRPr="009123CB" w:rsidRDefault="00C7319A" w:rsidP="001F401B">
      <w:pPr>
        <w:ind w:left="720"/>
        <w:rPr>
          <w:lang w:val="de-DE"/>
        </w:rPr>
      </w:pPr>
      <w:r w:rsidRPr="009123CB">
        <w:rPr>
          <w:rFonts w:eastAsia="Calibri" w:cs="Tahoma"/>
          <w:color w:val="000000"/>
          <w:szCs w:val="18"/>
          <w:lang w:val="de-DE"/>
        </w:rPr>
        <w:t>Während der aktuellen Laufzeit ihrer Software Assurance sind Kunden (einschließlich Kunden mit</w:t>
      </w:r>
      <w:r w:rsidR="001F401B">
        <w:rPr>
          <w:rFonts w:eastAsia="Calibri" w:cs="Tahoma"/>
          <w:color w:val="000000"/>
          <w:szCs w:val="18"/>
          <w:lang w:val="de-DE"/>
        </w:rPr>
        <w:t> </w:t>
      </w:r>
      <w:r w:rsidRPr="009123CB">
        <w:rPr>
          <w:rFonts w:eastAsia="Calibri" w:cs="Tahoma"/>
          <w:color w:val="000000"/>
          <w:szCs w:val="18"/>
          <w:lang w:val="de-DE"/>
        </w:rPr>
        <w:t>Abonnementverträgen) unter qualifizierenden Lizenzen berechtigt, vorbehaltlich der Produktbenutzungsrechte für BizTalk Server 2010 Standard-Prozessorlizenzen (wie in den Produktbenutzungsrechten von Januar 2013 dargestellt) auf die neueste Version von BizTalk Server Standard Software anstelle von BizTalk Server 2010 Standard upzugraden und diese zu verwenden</w:t>
      </w:r>
      <w:r w:rsidR="006257A7">
        <w:rPr>
          <w:rFonts w:eastAsia="Calibri" w:cs="Tahoma"/>
          <w:color w:val="000000"/>
          <w:szCs w:val="18"/>
          <w:lang w:val="de-DE"/>
        </w:rPr>
        <w:t xml:space="preserve">. </w:t>
      </w:r>
    </w:p>
    <w:p w:rsidR="00C7319A" w:rsidRPr="005670D2" w:rsidRDefault="00C7319A" w:rsidP="00C7319A">
      <w:pPr>
        <w:ind w:left="720"/>
        <w:rPr>
          <w:sz w:val="16"/>
          <w:szCs w:val="16"/>
          <w:lang w:val="de-DE"/>
        </w:rPr>
      </w:pPr>
    </w:p>
    <w:p w:rsidR="00C7319A" w:rsidRPr="009123CB" w:rsidRDefault="00C7319A" w:rsidP="005670D2">
      <w:pPr>
        <w:spacing w:after="40"/>
        <w:ind w:left="720"/>
        <w:rPr>
          <w:lang w:val="de-DE"/>
        </w:rPr>
      </w:pPr>
      <w:r w:rsidRPr="009123CB">
        <w:rPr>
          <w:rFonts w:eastAsia="Calibri" w:cs="Tahoma"/>
          <w:b/>
          <w:color w:val="000000"/>
          <w:szCs w:val="18"/>
          <w:lang w:val="de-DE"/>
        </w:rPr>
        <w:t>Erster Verlängerungszeitraum</w:t>
      </w:r>
    </w:p>
    <w:p w:rsidR="00C7319A" w:rsidRPr="009123CB" w:rsidRDefault="00C7319A" w:rsidP="00C7319A">
      <w:pPr>
        <w:tabs>
          <w:tab w:val="left" w:pos="1800"/>
        </w:tabs>
        <w:spacing w:after="60"/>
        <w:ind w:left="720"/>
        <w:rPr>
          <w:lang w:val="de-DE"/>
        </w:rPr>
      </w:pPr>
      <w:r w:rsidRPr="009123CB">
        <w:rPr>
          <w:rFonts w:eastAsia="Calibri" w:cs="Tahoma"/>
          <w:color w:val="000000"/>
          <w:szCs w:val="18"/>
          <w:lang w:val="de-DE"/>
        </w:rPr>
        <w:t>Bei der ersten Software Assurance-Verlängerung am oder nach dem 1</w:t>
      </w:r>
      <w:r w:rsidR="006257A7">
        <w:rPr>
          <w:rFonts w:eastAsia="Calibri" w:cs="Tahoma"/>
          <w:color w:val="000000"/>
          <w:szCs w:val="18"/>
          <w:lang w:val="de-DE"/>
        </w:rPr>
        <w:t xml:space="preserve">. </w:t>
      </w:r>
      <w:r w:rsidRPr="009123CB">
        <w:rPr>
          <w:rFonts w:eastAsia="Calibri" w:cs="Tahoma"/>
          <w:color w:val="000000"/>
          <w:szCs w:val="18"/>
          <w:lang w:val="de-DE"/>
        </w:rPr>
        <w:t xml:space="preserve">April 2013 ist ein Kunde berechtigt, für jeden Server, den der Kunde unter den Produktbenutzungsrechten für BizTalk Server 2010-Prozessorlizenzen ordnungsgemäß lizenziert hat, Software Assurance für BizTalk Server Standard-Core-Lizenzen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C7319A" w:rsidRPr="0062435A" w:rsidRDefault="00C7319A" w:rsidP="00C7319A">
      <w:pPr>
        <w:numPr>
          <w:ilvl w:val="3"/>
          <w:numId w:val="93"/>
        </w:numPr>
        <w:tabs>
          <w:tab w:val="left" w:pos="2160"/>
        </w:tabs>
        <w:spacing w:after="60"/>
        <w:ind w:left="2160"/>
      </w:pPr>
      <w:r>
        <w:rPr>
          <w:rFonts w:eastAsia="Calibri" w:cs="Tahoma"/>
          <w:color w:val="000000"/>
          <w:szCs w:val="18"/>
        </w:rPr>
        <w:t>vier ODER</w:t>
      </w:r>
    </w:p>
    <w:p w:rsidR="00C7319A" w:rsidRPr="009123CB" w:rsidRDefault="00C7319A" w:rsidP="00C7319A">
      <w:pPr>
        <w:numPr>
          <w:ilvl w:val="3"/>
          <w:numId w:val="93"/>
        </w:numPr>
        <w:tabs>
          <w:tab w:val="left" w:pos="2160"/>
        </w:tabs>
        <w:spacing w:after="60"/>
        <w:ind w:left="2160"/>
        <w:rPr>
          <w:lang w:val="de-DE"/>
        </w:rPr>
      </w:pPr>
      <w:r w:rsidRPr="009123CB">
        <w:rPr>
          <w:rFonts w:eastAsia="Calibri" w:cs="Tahoma"/>
          <w:color w:val="000000"/>
          <w:szCs w:val="18"/>
          <w:lang w:val="de-DE"/>
        </w:rPr>
        <w:t>der tatsächlichen Anzahl von Cores pro physischem Prozessor multipliziert mit dem entsprechenden Core-Faktor</w:t>
      </w:r>
      <w:r w:rsidR="006257A7">
        <w:rPr>
          <w:rFonts w:eastAsia="Calibri" w:cs="Tahoma"/>
          <w:color w:val="000000"/>
          <w:szCs w:val="18"/>
          <w:lang w:val="de-DE"/>
        </w:rPr>
        <w:t xml:space="preserve">. </w:t>
      </w:r>
      <w:r w:rsidRPr="009123CB">
        <w:rPr>
          <w:rFonts w:eastAsia="Calibri" w:cs="Tahoma"/>
          <w:color w:val="000000"/>
          <w:szCs w:val="18"/>
          <w:lang w:val="de-DE"/>
        </w:rPr>
        <w:t>(Wenn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color w:val="000000"/>
          <w:szCs w:val="18"/>
          <w:lang w:val="de-DE"/>
        </w:rPr>
        <w:t xml:space="preserve">. </w:t>
      </w:r>
      <w:r w:rsidRPr="009123CB">
        <w:rPr>
          <w:rFonts w:eastAsia="Calibri" w:cs="Tahoma"/>
          <w:color w:val="000000"/>
          <w:szCs w:val="18"/>
          <w:lang w:val="de-DE"/>
        </w:rPr>
        <w:t xml:space="preserve">) </w:t>
      </w:r>
    </w:p>
    <w:p w:rsidR="00C7319A" w:rsidRPr="005670D2" w:rsidRDefault="00C7319A" w:rsidP="00C7319A">
      <w:pPr>
        <w:tabs>
          <w:tab w:val="left" w:pos="1800"/>
        </w:tabs>
        <w:ind w:left="1080"/>
        <w:rPr>
          <w:sz w:val="16"/>
          <w:szCs w:val="16"/>
          <w:lang w:val="de-DE"/>
        </w:rPr>
      </w:pPr>
    </w:p>
    <w:p w:rsidR="00C7319A" w:rsidRPr="009123CB" w:rsidRDefault="00C7319A" w:rsidP="005670D2">
      <w:pPr>
        <w:spacing w:after="40"/>
        <w:ind w:left="720"/>
        <w:rPr>
          <w:lang w:val="de-DE"/>
        </w:rPr>
      </w:pPr>
      <w:r w:rsidRPr="009123CB">
        <w:rPr>
          <w:rFonts w:eastAsia="Calibri" w:cs="Tahoma"/>
          <w:color w:val="000000"/>
          <w:szCs w:val="18"/>
          <w:lang w:val="de-DE"/>
        </w:rPr>
        <w:t>Die Prozessorlizenzen des Kunden sind bei Erwerb von Software Assurance für Core-Lizenzen unter diesem Angebot nicht mehr gültig</w:t>
      </w:r>
      <w:r w:rsidR="006257A7">
        <w:rPr>
          <w:rFonts w:eastAsia="Calibri" w:cs="Tahoma"/>
          <w:color w:val="000000"/>
          <w:szCs w:val="18"/>
          <w:lang w:val="de-DE"/>
        </w:rPr>
        <w:t xml:space="preserve">. </w:t>
      </w:r>
      <w:r w:rsidRPr="009123CB">
        <w:rPr>
          <w:rFonts w:eastAsia="Calibri" w:cs="Tahoma"/>
          <w:szCs w:val="18"/>
          <w:lang w:val="de-DE"/>
        </w:rPr>
        <w:t>Die Option zum Erwerb von Core-Lizenzen für Software Assurance für BizTalk Server ist nicht auf die Software Assurance-Verlängerung unter Abonnementprogrammen anwendbar</w:t>
      </w:r>
      <w:r w:rsidR="006257A7">
        <w:rPr>
          <w:rFonts w:eastAsia="Calibri" w:cs="Tahoma"/>
          <w:szCs w:val="18"/>
          <w:lang w:val="de-DE"/>
        </w:rPr>
        <w:t xml:space="preserve">. </w:t>
      </w:r>
    </w:p>
    <w:p w:rsidR="00C7319A" w:rsidRPr="005670D2" w:rsidRDefault="00C7319A" w:rsidP="00C7319A">
      <w:pPr>
        <w:ind w:left="1440"/>
        <w:rPr>
          <w:sz w:val="16"/>
          <w:szCs w:val="16"/>
          <w:lang w:val="de-DE"/>
        </w:rPr>
      </w:pPr>
    </w:p>
    <w:p w:rsidR="00C7319A" w:rsidRPr="009123CB" w:rsidRDefault="00C7319A" w:rsidP="005670D2">
      <w:pPr>
        <w:tabs>
          <w:tab w:val="left" w:pos="1440"/>
        </w:tabs>
        <w:spacing w:after="40"/>
        <w:ind w:left="720"/>
        <w:rPr>
          <w:lang w:val="de-DE"/>
        </w:rPr>
      </w:pPr>
      <w:r w:rsidRPr="009123CB">
        <w:rPr>
          <w:rFonts w:eastAsia="Calibri" w:cs="Tahoma"/>
          <w:b/>
          <w:color w:val="000000"/>
          <w:szCs w:val="18"/>
          <w:lang w:val="de-DE"/>
        </w:rPr>
        <w:t>Für Kunden mit aktiver Software Assurance, die nicht verlängern möchten</w:t>
      </w:r>
    </w:p>
    <w:p w:rsidR="00C7319A" w:rsidRPr="009123CB" w:rsidRDefault="00C7319A" w:rsidP="00C7319A">
      <w:pPr>
        <w:tabs>
          <w:tab w:val="left" w:pos="1440"/>
        </w:tabs>
        <w:ind w:left="720"/>
        <w:rPr>
          <w:lang w:val="de-DE"/>
        </w:rPr>
      </w:pPr>
      <w:r w:rsidRPr="009123CB">
        <w:rPr>
          <w:rFonts w:eastAsia="Calibri" w:cs="Tahoma"/>
          <w:color w:val="000000"/>
          <w:szCs w:val="18"/>
          <w:lang w:val="de-DE"/>
        </w:rPr>
        <w:t xml:space="preserve">Konzern-Abonnement- </w:t>
      </w:r>
      <w:r w:rsidRPr="009123CB">
        <w:rPr>
          <w:rFonts w:cs="Tahoma"/>
          <w:bCs/>
          <w:color w:val="000000"/>
          <w:szCs w:val="18"/>
          <w:lang w:val="de-DE"/>
        </w:rPr>
        <w:t>und Open Value Subscription-</w:t>
      </w:r>
      <w:r w:rsidRPr="009123CB">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Ihrer auslaufenden Software Assurance entscheiden, sind berechtigt, BizTalk Server 2010 oder die neueste verfügbare Version von BizTalk Server wie folgt unter diesen Lizenzen auszuführen:</w:t>
      </w:r>
    </w:p>
    <w:p w:rsidR="00C7319A" w:rsidRPr="005670D2" w:rsidRDefault="00C7319A" w:rsidP="00C7319A">
      <w:pPr>
        <w:tabs>
          <w:tab w:val="left" w:pos="1440"/>
        </w:tabs>
        <w:ind w:left="720"/>
        <w:rPr>
          <w:sz w:val="16"/>
          <w:szCs w:val="16"/>
          <w:lang w:val="de-DE"/>
        </w:rPr>
      </w:pPr>
    </w:p>
    <w:p w:rsidR="00C7319A" w:rsidRPr="009123CB" w:rsidRDefault="00C7319A" w:rsidP="005670D2">
      <w:pPr>
        <w:numPr>
          <w:ilvl w:val="0"/>
          <w:numId w:val="53"/>
        </w:numPr>
        <w:spacing w:after="30"/>
        <w:ind w:left="1440"/>
        <w:rPr>
          <w:lang w:val="de-DE"/>
        </w:rPr>
      </w:pPr>
      <w:r w:rsidRPr="009123CB">
        <w:rPr>
          <w:rFonts w:eastAsia="Calibri" w:cs="Tahoma"/>
          <w:b/>
          <w:color w:val="000000"/>
          <w:szCs w:val="18"/>
          <w:lang w:val="de-DE"/>
        </w:rPr>
        <w:t>BizTalk Server 2010 Standard:</w:t>
      </w:r>
      <w:r w:rsidRPr="009123CB">
        <w:rPr>
          <w:rFonts w:eastAsia="Calibri" w:cs="Tahoma"/>
          <w:color w:val="000000"/>
          <w:szCs w:val="18"/>
          <w:lang w:val="de-DE"/>
        </w:rPr>
        <w:t xml:space="preserve"> Die kontinuierliche Verwendung dieser Version der Software unterliegt den Produktbenutzungsrechten für BizTalk Server 2010 Standard-Prozessorlizenzen, jedoch verfügen die Kunden nicht mehr über die Lizenzmobilität durch Software Assurance</w:t>
      </w:r>
      <w:r w:rsidR="006257A7">
        <w:rPr>
          <w:rFonts w:eastAsia="Calibri" w:cs="Tahoma"/>
          <w:color w:val="000000"/>
          <w:szCs w:val="18"/>
          <w:lang w:val="de-DE"/>
        </w:rPr>
        <w:t xml:space="preserve">. </w:t>
      </w:r>
    </w:p>
    <w:p w:rsidR="00C7319A" w:rsidRPr="009123CB" w:rsidRDefault="00C7319A" w:rsidP="005670D2">
      <w:pPr>
        <w:numPr>
          <w:ilvl w:val="0"/>
          <w:numId w:val="53"/>
        </w:numPr>
        <w:tabs>
          <w:tab w:val="left" w:pos="1800"/>
        </w:tabs>
        <w:spacing w:after="30"/>
        <w:ind w:left="1440"/>
        <w:rPr>
          <w:lang w:val="de-DE"/>
        </w:rPr>
      </w:pPr>
      <w:r w:rsidRPr="009123CB">
        <w:rPr>
          <w:rFonts w:eastAsia="Calibri" w:cs="Tahoma"/>
          <w:b/>
          <w:color w:val="000000"/>
          <w:szCs w:val="18"/>
          <w:lang w:val="de-DE"/>
        </w:rPr>
        <w:t xml:space="preserve">Neueste Version von BizTalk Server Standard: </w:t>
      </w:r>
      <w:r w:rsidRPr="009123CB">
        <w:rPr>
          <w:rFonts w:eastAsia="Calibri" w:cs="Tahoma"/>
          <w:color w:val="000000"/>
          <w:szCs w:val="18"/>
          <w:lang w:val="de-DE"/>
        </w:rPr>
        <w:t xml:space="preserve">Die Verwendung dieser Version der Software unterliegt den Produktbenutzungsrechten für BizTalk Server 2010 Standard-Prozessorlizenzen, jedoch mit folgenden Einschränkungen: </w:t>
      </w:r>
    </w:p>
    <w:p w:rsidR="00C7319A" w:rsidRPr="009123CB" w:rsidRDefault="00C7319A" w:rsidP="005670D2">
      <w:pPr>
        <w:numPr>
          <w:ilvl w:val="1"/>
          <w:numId w:val="53"/>
        </w:numPr>
        <w:tabs>
          <w:tab w:val="left" w:pos="2160"/>
        </w:tabs>
        <w:spacing w:after="30"/>
        <w:ind w:left="2160"/>
        <w:rPr>
          <w:lang w:val="de-DE"/>
        </w:rPr>
      </w:pPr>
      <w:r w:rsidRPr="009123CB">
        <w:rPr>
          <w:rFonts w:eastAsia="Calibri" w:cs="Tahoma"/>
          <w:color w:val="000000"/>
          <w:szCs w:val="18"/>
          <w:lang w:val="de-DE"/>
        </w:rPr>
        <w:t xml:space="preserve">Kunden verfügen nicht mehr über die Lizenzmobilität innerhalb von Serverfarmen oder Lizenzmobilität durch Software Assurance, und </w:t>
      </w:r>
    </w:p>
    <w:p w:rsidR="00C7319A" w:rsidRPr="0062435A" w:rsidRDefault="00C7319A" w:rsidP="005670D2">
      <w:pPr>
        <w:numPr>
          <w:ilvl w:val="1"/>
          <w:numId w:val="53"/>
        </w:numPr>
        <w:tabs>
          <w:tab w:val="left" w:pos="2160"/>
          <w:tab w:val="left" w:pos="2970"/>
        </w:tabs>
        <w:spacing w:after="30"/>
        <w:ind w:left="2160"/>
      </w:pPr>
      <w:r w:rsidRPr="009123CB">
        <w:rPr>
          <w:rFonts w:eastAsia="Calibri" w:cs="Tahoma"/>
          <w:color w:val="000000"/>
          <w:szCs w:val="18"/>
          <w:lang w:val="de-DE"/>
        </w:rPr>
        <w:t>Neuzuweisungen von Lizenzen unterliegen den Beschränkungen unten in Bezug auf ihre „Core-Lizenzäquivalenz“</w:t>
      </w:r>
      <w:r w:rsidR="006257A7">
        <w:rPr>
          <w:rFonts w:eastAsia="Calibri" w:cs="Tahoma"/>
          <w:color w:val="000000"/>
          <w:szCs w:val="18"/>
          <w:lang w:val="de-DE"/>
        </w:rPr>
        <w:t xml:space="preserve">. </w:t>
      </w:r>
      <w:r>
        <w:rPr>
          <w:rFonts w:eastAsia="Calibri" w:cs="Tahoma"/>
          <w:color w:val="000000"/>
          <w:szCs w:val="18"/>
        </w:rPr>
        <w:t>Die Core-Lizenzäquivalenz wird wie folgt bestimmt</w:t>
      </w:r>
      <w:r w:rsidR="006257A7">
        <w:rPr>
          <w:rFonts w:eastAsia="Calibri" w:cs="Tahoma"/>
          <w:color w:val="000000"/>
          <w:szCs w:val="18"/>
        </w:rPr>
        <w:t xml:space="preserve">. </w:t>
      </w:r>
    </w:p>
    <w:p w:rsidR="00C7319A" w:rsidRPr="009123CB" w:rsidRDefault="00C7319A" w:rsidP="005670D2">
      <w:pPr>
        <w:numPr>
          <w:ilvl w:val="2"/>
          <w:numId w:val="53"/>
        </w:numPr>
        <w:tabs>
          <w:tab w:val="left" w:pos="2520"/>
        </w:tabs>
        <w:spacing w:after="30"/>
        <w:ind w:left="2520"/>
        <w:rPr>
          <w:lang w:val="de-DE"/>
        </w:rPr>
      </w:pPr>
      <w:r w:rsidRPr="009123CB">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C7319A" w:rsidRPr="0062435A" w:rsidRDefault="00C7319A" w:rsidP="005670D2">
      <w:pPr>
        <w:numPr>
          <w:ilvl w:val="4"/>
          <w:numId w:val="126"/>
        </w:numPr>
        <w:tabs>
          <w:tab w:val="left" w:pos="2880"/>
        </w:tabs>
        <w:spacing w:after="30"/>
        <w:ind w:left="2880"/>
      </w:pPr>
      <w:r>
        <w:rPr>
          <w:rFonts w:eastAsia="Calibri" w:cs="Tahoma"/>
          <w:color w:val="000000"/>
          <w:szCs w:val="18"/>
        </w:rPr>
        <w:t xml:space="preserve">vier Cores pro Prozessorlizenz ODER </w:t>
      </w:r>
    </w:p>
    <w:p w:rsidR="00C7319A" w:rsidRPr="009123CB" w:rsidRDefault="00C7319A" w:rsidP="005670D2">
      <w:pPr>
        <w:numPr>
          <w:ilvl w:val="4"/>
          <w:numId w:val="126"/>
        </w:numPr>
        <w:tabs>
          <w:tab w:val="left" w:pos="2880"/>
        </w:tabs>
        <w:spacing w:after="30"/>
        <w:ind w:left="2880"/>
        <w:rPr>
          <w:lang w:val="de-DE"/>
        </w:rPr>
      </w:pPr>
      <w:r w:rsidRPr="009123CB">
        <w:rPr>
          <w:rFonts w:eastAsia="Calibri" w:cs="Tahoma"/>
          <w:color w:val="000000"/>
          <w:szCs w:val="18"/>
          <w:lang w:val="de-DE"/>
        </w:rPr>
        <w:t>einer Anzahl von Cores pro Prozessorlizenz basierend auf der tatsächlichen Anzahl von Cores pro physischem Prozessor multipliziert mit dem entsprechenden Core-Faktor</w:t>
      </w:r>
      <w:r w:rsidR="006257A7">
        <w:rPr>
          <w:rFonts w:eastAsia="Calibri" w:cs="Tahoma"/>
          <w:color w:val="000000"/>
          <w:szCs w:val="18"/>
          <w:lang w:val="de-DE"/>
        </w:rPr>
        <w:t xml:space="preserve">. </w:t>
      </w:r>
      <w:r w:rsidRPr="009123CB">
        <w:rPr>
          <w:rFonts w:eastAsia="Calibri" w:cs="Tahoma"/>
          <w:color w:val="000000"/>
          <w:szCs w:val="18"/>
          <w:lang w:val="de-DE"/>
        </w:rPr>
        <w:t>(Wenn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color w:val="000000"/>
          <w:szCs w:val="18"/>
          <w:lang w:val="de-DE"/>
        </w:rPr>
        <w:t xml:space="preserve">. </w:t>
      </w:r>
      <w:r w:rsidRPr="009123CB">
        <w:rPr>
          <w:rFonts w:eastAsia="Calibri" w:cs="Tahoma"/>
          <w:color w:val="000000"/>
          <w:szCs w:val="18"/>
          <w:lang w:val="de-DE"/>
        </w:rPr>
        <w:t xml:space="preserve">) </w:t>
      </w:r>
    </w:p>
    <w:p w:rsidR="00C7319A" w:rsidRPr="009123CB" w:rsidRDefault="00C7319A" w:rsidP="00C7319A">
      <w:pPr>
        <w:numPr>
          <w:ilvl w:val="1"/>
          <w:numId w:val="128"/>
        </w:numPr>
        <w:tabs>
          <w:tab w:val="left" w:pos="1800"/>
        </w:tabs>
        <w:spacing w:after="60"/>
        <w:rPr>
          <w:lang w:val="de-DE"/>
        </w:rPr>
      </w:pPr>
      <w:r w:rsidRPr="009123CB">
        <w:rPr>
          <w:rFonts w:eastAsia="Calibri" w:cs="Tahoma"/>
          <w:color w:val="000000"/>
          <w:szCs w:val="18"/>
          <w:lang w:val="de-DE"/>
        </w:rPr>
        <w:t xml:space="preserve">Kunden </w:t>
      </w:r>
      <w:r w:rsidRPr="009123CB">
        <w:rPr>
          <w:rFonts w:eastAsia="Calibri" w:cs="Tahoma"/>
          <w:szCs w:val="18"/>
          <w:lang w:val="de-DE"/>
        </w:rPr>
        <w:t>sind berechtigt, Lizenzen einem anderen Server neu zuzuweisen</w:t>
      </w:r>
      <w:r w:rsidR="006257A7">
        <w:rPr>
          <w:rFonts w:eastAsia="Calibri" w:cs="Tahoma"/>
          <w:szCs w:val="18"/>
          <w:lang w:val="de-DE"/>
        </w:rPr>
        <w:t xml:space="preserve">. </w:t>
      </w:r>
      <w:r w:rsidRPr="009123CB">
        <w:rPr>
          <w:rFonts w:eastAsia="Calibri" w:cs="Tahoma"/>
          <w:szCs w:val="18"/>
          <w:lang w:val="de-DE"/>
        </w:rPr>
        <w:t>Wenn der Kunde jedoch eine Lizenz einem anderen Server neu zuweist, muss der Kunde die Nutzungsrechte für die von ihm verwendete Version der Software befolgen</w:t>
      </w:r>
      <w:r w:rsidR="006257A7">
        <w:rPr>
          <w:rFonts w:eastAsia="Calibri" w:cs="Tahoma"/>
          <w:szCs w:val="18"/>
          <w:lang w:val="de-DE"/>
        </w:rPr>
        <w:t xml:space="preserve">. </w:t>
      </w:r>
      <w:r w:rsidRPr="009123CB">
        <w:rPr>
          <w:rFonts w:eastAsia="Calibri" w:cs="Tahoma"/>
          <w:szCs w:val="18"/>
          <w:lang w:val="de-DE"/>
        </w:rPr>
        <w:t>Beim Zuweisen von Core-Lizenzen zu Servern in solchen Umständen ist der Kunde berechtigt, die Core-Äquivalenz seiner vorhandenen Lizenzen mit zusätzlichen Core-Lizenzen für BizTalk Server zu kombinieren</w:t>
      </w:r>
      <w:r w:rsidR="006257A7">
        <w:rPr>
          <w:rFonts w:eastAsia="Calibri" w:cs="Tahoma"/>
          <w:szCs w:val="18"/>
          <w:lang w:val="de-DE"/>
        </w:rPr>
        <w:t xml:space="preserve">. </w:t>
      </w:r>
    </w:p>
    <w:p w:rsidR="00C7319A" w:rsidRPr="009123CB" w:rsidRDefault="00C7319A" w:rsidP="005670D2">
      <w:pPr>
        <w:numPr>
          <w:ilvl w:val="1"/>
          <w:numId w:val="128"/>
        </w:numPr>
        <w:tabs>
          <w:tab w:val="left" w:pos="1800"/>
          <w:tab w:val="left" w:pos="2970"/>
        </w:tabs>
        <w:spacing w:after="60"/>
        <w:rPr>
          <w:lang w:val="de-DE"/>
        </w:rPr>
      </w:pPr>
      <w:r w:rsidRPr="009123CB">
        <w:rPr>
          <w:rFonts w:eastAsia="Calibri" w:cs="Tahoma"/>
          <w:color w:val="000000"/>
          <w:szCs w:val="18"/>
          <w:lang w:val="de-DE"/>
        </w:rPr>
        <w:t>Die angenommene Core-Lizenzäquivalenz der Kunden impliziert nicht, dass sie berechtigt sind, eine</w:t>
      </w:r>
      <w:r w:rsidR="005670D2">
        <w:rPr>
          <w:rFonts w:eastAsia="Calibri" w:cs="Tahoma"/>
          <w:color w:val="000000"/>
          <w:szCs w:val="18"/>
          <w:lang w:val="de-DE"/>
        </w:rPr>
        <w:t> </w:t>
      </w:r>
      <w:r w:rsidRPr="009123CB">
        <w:rPr>
          <w:rFonts w:eastAsia="Calibri" w:cs="Tahoma"/>
          <w:color w:val="000000"/>
          <w:szCs w:val="18"/>
          <w:lang w:val="de-DE"/>
        </w:rPr>
        <w:t>einzelne Prozessorlizenz Cores auf zwei oder mehr Prozessoren zuzuweisen</w:t>
      </w:r>
      <w:r w:rsidR="006257A7">
        <w:rPr>
          <w:rFonts w:eastAsia="Calibri" w:cs="Tahoma"/>
          <w:color w:val="000000"/>
          <w:szCs w:val="18"/>
          <w:lang w:val="de-DE"/>
        </w:rPr>
        <w:t xml:space="preserve">. </w:t>
      </w:r>
    </w:p>
    <w:p w:rsidR="00C7319A" w:rsidRPr="009123CB" w:rsidRDefault="00C7319A" w:rsidP="00C7319A">
      <w:pPr>
        <w:ind w:left="540"/>
        <w:rPr>
          <w:lang w:val="de-DE"/>
        </w:rPr>
      </w:pPr>
    </w:p>
    <w:p w:rsidR="00E73313" w:rsidRPr="00571807" w:rsidRDefault="00E73313" w:rsidP="00E73313">
      <w:pPr>
        <w:ind w:left="540"/>
        <w:rPr>
          <w:lang w:val="de-DE"/>
        </w:rPr>
      </w:pPr>
    </w:p>
    <w:p w:rsidR="00E73313" w:rsidRPr="00571807" w:rsidRDefault="00E73313" w:rsidP="00E73313">
      <w:pPr>
        <w:pStyle w:val="Heading3"/>
        <w:ind w:left="270" w:hanging="270"/>
        <w:rPr>
          <w:lang w:val="de-DE"/>
        </w:rPr>
      </w:pPr>
      <w:bookmarkStart w:id="1171" w:name="_38_Business_Intelligence"/>
      <w:bookmarkStart w:id="1172" w:name="_39_Business_Intelligence"/>
      <w:bookmarkStart w:id="1173" w:name="_Toc336338293"/>
      <w:bookmarkStart w:id="1174" w:name="_Toc363999036"/>
      <w:bookmarkStart w:id="1175" w:name="Srv_35BusinessIntellApp2012"/>
      <w:bookmarkStart w:id="1176" w:name="Srv_35CoreCALBridgeWinIntune"/>
      <w:bookmarkEnd w:id="1171"/>
      <w:bookmarkEnd w:id="1172"/>
      <w:r w:rsidRPr="00571807">
        <w:rPr>
          <w:rFonts w:ascii="Tahoma" w:hAnsi="Tahoma"/>
          <w:caps/>
          <w:color w:val="F66400"/>
          <w:sz w:val="22"/>
          <w:vertAlign w:val="superscript"/>
          <w:lang w:val="de-DE"/>
        </w:rPr>
        <w:t>39</w:t>
      </w:r>
      <w:r w:rsidRPr="003002D3">
        <w:rPr>
          <w:rFonts w:ascii="Tahoma" w:hAnsi="Tahoma"/>
          <w:caps/>
          <w:color w:val="F66400"/>
          <w:sz w:val="22"/>
          <w:lang w:val="de-DE"/>
        </w:rPr>
        <w:t xml:space="preserve"> </w:t>
      </w:r>
      <w:r w:rsidRPr="00571807">
        <w:rPr>
          <w:rFonts w:ascii="Tahoma" w:hAnsi="Tahoma"/>
          <w:color w:val="F66400"/>
          <w:sz w:val="22"/>
          <w:lang w:val="de-DE"/>
        </w:rPr>
        <w:t>Business Intelligence Appliance 2012</w:t>
      </w:r>
      <w:bookmarkEnd w:id="1173"/>
      <w:bookmarkEnd w:id="1174"/>
      <w:r w:rsidRPr="00571807">
        <w:rPr>
          <w:rFonts w:ascii="Tahoma" w:hAnsi="Tahoma"/>
          <w:caps/>
          <w:color w:val="F66400"/>
          <w:sz w:val="22"/>
          <w:vertAlign w:val="superscript"/>
          <w:lang w:val="de-DE"/>
        </w:rPr>
        <w:t xml:space="preserve"> </w:t>
      </w:r>
    </w:p>
    <w:bookmarkEnd w:id="1175"/>
    <w:p w:rsidR="00E73313" w:rsidRPr="00571807" w:rsidRDefault="00E73313" w:rsidP="00E73313">
      <w:pPr>
        <w:rPr>
          <w:lang w:val="de-DE"/>
        </w:rPr>
      </w:pPr>
    </w:p>
    <w:p w:rsidR="00E73313" w:rsidRPr="00571807" w:rsidRDefault="00E73313" w:rsidP="00E73313">
      <w:pPr>
        <w:ind w:left="720"/>
        <w:rPr>
          <w:lang w:val="de-DE"/>
        </w:rPr>
      </w:pPr>
      <w:r w:rsidRPr="00571807">
        <w:rPr>
          <w:rFonts w:cs="Tahoma"/>
          <w:szCs w:val="18"/>
          <w:lang w:val="de-DE"/>
        </w:rPr>
        <w:t>Die Business Intelligence Appliance 2012-Software, die SQL Server 2008 R2 und SharePoint Server 2010 enthält, ist nur in von Microsoft genehmigten Hardware- und Softwarekonfigurationen verfügbar</w:t>
      </w:r>
      <w:r w:rsidR="006257A7">
        <w:rPr>
          <w:rFonts w:cs="Tahoma"/>
          <w:szCs w:val="18"/>
          <w:lang w:val="de-DE"/>
        </w:rPr>
        <w:t xml:space="preserve">. </w:t>
      </w:r>
      <w:r w:rsidRPr="00571807">
        <w:rPr>
          <w:rFonts w:cs="Tahoma"/>
          <w:szCs w:val="18"/>
          <w:lang w:val="de-DE"/>
        </w:rPr>
        <w:t>Die Nutzung der Software in anderen Konfigurationen wird nicht unterstützt und kann die Leistung beeinträchtigen</w:t>
      </w:r>
      <w:r w:rsidR="006257A7">
        <w:rPr>
          <w:rFonts w:cs="Tahoma"/>
          <w:szCs w:val="18"/>
          <w:lang w:val="de-DE"/>
        </w:rPr>
        <w:t xml:space="preserve">. </w:t>
      </w:r>
      <w:r w:rsidRPr="00571807">
        <w:rPr>
          <w:rFonts w:cs="Tahoma"/>
          <w:szCs w:val="18"/>
          <w:lang w:val="de-DE"/>
        </w:rPr>
        <w:t>Weitere Informationen finden Sie unter</w:t>
      </w:r>
      <w:r w:rsidRPr="00571807">
        <w:rPr>
          <w:rFonts w:cs="Tahoma"/>
          <w:color w:val="1F497D"/>
          <w:szCs w:val="18"/>
          <w:lang w:val="de-DE"/>
        </w:rPr>
        <w:t xml:space="preserve"> </w:t>
      </w:r>
      <w:r w:rsidR="003002D3">
        <w:rPr>
          <w:rFonts w:cs="Tahoma"/>
          <w:color w:val="1F497D"/>
          <w:szCs w:val="18"/>
          <w:lang w:val="de-DE"/>
        </w:rPr>
        <w:br/>
      </w:r>
      <w:hyperlink r:id="rId47" w:history="1">
        <w:r w:rsidR="00E869D6" w:rsidRPr="00420E1C">
          <w:rPr>
            <w:rStyle w:val="Hyperlink"/>
            <w:rFonts w:cs="Tahoma"/>
            <w:szCs w:val="18"/>
            <w:lang w:val="de-DE"/>
          </w:rPr>
          <w:t>http://www.microsoft.com/sqlserver/en/us/get-sql-server/how-to-buy.aspx</w:t>
        </w:r>
      </w:hyperlink>
      <w:r w:rsidR="006257A7">
        <w:rPr>
          <w:rFonts w:cs="Tahoma"/>
          <w:szCs w:val="18"/>
          <w:lang w:val="de-DE"/>
        </w:rPr>
        <w:t xml:space="preserve">. </w:t>
      </w:r>
    </w:p>
    <w:p w:rsidR="00E73313" w:rsidRPr="00571807" w:rsidRDefault="00E73313" w:rsidP="00E73313">
      <w:pPr>
        <w:rPr>
          <w:lang w:val="de-DE"/>
        </w:rPr>
      </w:pPr>
    </w:p>
    <w:p w:rsidR="00E73313" w:rsidRPr="00571807" w:rsidRDefault="00E73313" w:rsidP="00E73313">
      <w:pPr>
        <w:rPr>
          <w:lang w:val="de-DE"/>
        </w:rPr>
      </w:pPr>
    </w:p>
    <w:p w:rsidR="00E73313" w:rsidRPr="00571807" w:rsidRDefault="00E73313" w:rsidP="00E73313">
      <w:pPr>
        <w:pStyle w:val="Heading3"/>
        <w:ind w:left="270" w:hanging="270"/>
        <w:rPr>
          <w:lang w:val="de-DE"/>
        </w:rPr>
      </w:pPr>
      <w:bookmarkStart w:id="1177" w:name="_39_Core_CAL"/>
      <w:bookmarkStart w:id="1178" w:name="_Toc336338294"/>
      <w:bookmarkStart w:id="1179" w:name="_Toc363999037"/>
      <w:bookmarkEnd w:id="1177"/>
      <w:r w:rsidRPr="00571807">
        <w:rPr>
          <w:rFonts w:ascii="Tahoma" w:hAnsi="Tahoma"/>
          <w:caps/>
          <w:color w:val="F66400"/>
          <w:sz w:val="22"/>
          <w:vertAlign w:val="superscript"/>
          <w:lang w:val="de-DE"/>
        </w:rPr>
        <w:t>40</w:t>
      </w:r>
      <w:r w:rsidRPr="00571807">
        <w:rPr>
          <w:rFonts w:ascii="Tahoma" w:hAnsi="Tahoma"/>
          <w:color w:val="F66400"/>
          <w:sz w:val="22"/>
          <w:lang w:val="de-DE"/>
        </w:rPr>
        <w:t xml:space="preserve"> Core </w:t>
      </w:r>
      <w:r w:rsidRPr="00571807">
        <w:rPr>
          <w:rFonts w:ascii="Tahoma" w:hAnsi="Tahoma"/>
          <w:color w:val="FF6600"/>
          <w:sz w:val="22"/>
          <w:lang w:val="de-DE"/>
        </w:rPr>
        <w:t>CAL Suite Bridge für Office 365, Core CAL Suite Bridge für Office 365 und Windows Intune sowie Core CAL Suite Bridge für Windows Intune</w:t>
      </w:r>
      <w:bookmarkEnd w:id="1178"/>
      <w:bookmarkEnd w:id="1179"/>
    </w:p>
    <w:bookmarkEnd w:id="1176"/>
    <w:p w:rsidR="00E73313" w:rsidRPr="00571807" w:rsidRDefault="00E73313" w:rsidP="00E73313">
      <w:pPr>
        <w:ind w:left="540"/>
        <w:rPr>
          <w:lang w:val="de-DE"/>
        </w:rPr>
      </w:pPr>
    </w:p>
    <w:p w:rsidR="00E73313" w:rsidRPr="00571807" w:rsidRDefault="00E73313" w:rsidP="00E73313">
      <w:pPr>
        <w:spacing w:after="60"/>
        <w:ind w:left="720"/>
        <w:rPr>
          <w:lang w:val="de-DE"/>
        </w:rPr>
      </w:pPr>
      <w:r w:rsidRPr="00571807">
        <w:rPr>
          <w:b/>
          <w:szCs w:val="18"/>
          <w:lang w:val="de-DE"/>
        </w:rPr>
        <w:t>Definition</w:t>
      </w:r>
    </w:p>
    <w:p w:rsidR="00E73313" w:rsidRPr="00571807" w:rsidRDefault="00E73313" w:rsidP="00E73313">
      <w:pPr>
        <w:ind w:left="720"/>
        <w:rPr>
          <w:lang w:val="de-DE"/>
        </w:rPr>
      </w:pPr>
      <w:r w:rsidRPr="00571807">
        <w:rPr>
          <w:b/>
          <w:szCs w:val="18"/>
          <w:lang w:val="de-DE"/>
        </w:rPr>
        <w:t>„</w:t>
      </w:r>
      <w:r w:rsidRPr="00571807">
        <w:rPr>
          <w:szCs w:val="18"/>
          <w:lang w:val="de-DE"/>
        </w:rPr>
        <w:t xml:space="preserve">Übergang“ ist die Umwandlung einer Lizenz </w:t>
      </w:r>
      <w:r w:rsidRPr="00571807">
        <w:rPr>
          <w:rFonts w:cs="Tahoma"/>
          <w:szCs w:val="18"/>
          <w:lang w:val="de-DE"/>
        </w:rPr>
        <w:t>mit aktueller Software Assurance in eine oder von einer Abonnementlizenz</w:t>
      </w:r>
      <w:r w:rsidR="006257A7">
        <w:rPr>
          <w:rFonts w:cs="Tahoma"/>
          <w:szCs w:val="18"/>
          <w:lang w:val="de-DE"/>
        </w:rPr>
        <w:t xml:space="preserve">. </w:t>
      </w:r>
    </w:p>
    <w:p w:rsidR="00E73313" w:rsidRPr="00571807" w:rsidRDefault="00E73313" w:rsidP="00E73313">
      <w:pPr>
        <w:ind w:left="720"/>
        <w:rPr>
          <w:lang w:val="de-DE"/>
        </w:rPr>
      </w:pPr>
    </w:p>
    <w:p w:rsidR="00E73313" w:rsidRPr="00571807" w:rsidRDefault="00E73313" w:rsidP="00E73313">
      <w:pPr>
        <w:spacing w:after="60"/>
        <w:ind w:left="720"/>
        <w:rPr>
          <w:lang w:val="de-DE"/>
        </w:rPr>
      </w:pPr>
      <w:r w:rsidRPr="00571807">
        <w:rPr>
          <w:b/>
          <w:szCs w:val="18"/>
          <w:lang w:val="de-DE"/>
        </w:rPr>
        <w:t>Anwendbare Nutzungsrechte</w:t>
      </w:r>
      <w:r w:rsidR="006257A7">
        <w:rPr>
          <w:b/>
          <w:szCs w:val="18"/>
          <w:lang w:val="de-DE"/>
        </w:rPr>
        <w:t xml:space="preserve">. </w:t>
      </w:r>
    </w:p>
    <w:p w:rsidR="00E73313" w:rsidRPr="00571807" w:rsidRDefault="00E73313" w:rsidP="00E73313">
      <w:pPr>
        <w:spacing w:line="276" w:lineRule="auto"/>
        <w:ind w:left="720"/>
        <w:rPr>
          <w:lang w:val="de-DE"/>
        </w:rPr>
      </w:pPr>
      <w:r w:rsidRPr="00571807">
        <w:rPr>
          <w:rFonts w:eastAsia="Calibri" w:cs="Tahoma"/>
          <w:szCs w:val="18"/>
          <w:lang w:val="de-DE"/>
        </w:rPr>
        <w:t>Eine CAL Suite Bridge hat keine Versionsnummer, und die Produktbenutzungsrechte hängen vom Status der Software Assurance dafür ab</w:t>
      </w:r>
      <w:r w:rsidR="006257A7">
        <w:rPr>
          <w:rFonts w:eastAsia="Calibri" w:cs="Tahoma"/>
          <w:szCs w:val="18"/>
          <w:lang w:val="de-DE"/>
        </w:rPr>
        <w:t xml:space="preserve">. </w:t>
      </w:r>
      <w:r w:rsidRPr="00571807">
        <w:rPr>
          <w:rFonts w:eastAsia="Calibri" w:cs="Tahoma"/>
          <w:szCs w:val="18"/>
          <w:lang w:val="de-DE"/>
        </w:rPr>
        <w:t>Falls Software Assurance unterbrochen wird, hängen die Zugriffsrechte im Rahmen zeitlich unbeschränkter Lizenzen von den Produktbenutzungsrechten ab, die vor der Unterbrechung galten</w:t>
      </w:r>
      <w:r w:rsidR="006257A7">
        <w:rPr>
          <w:rFonts w:eastAsia="Calibri" w:cs="Tahoma"/>
          <w:szCs w:val="18"/>
          <w:lang w:val="de-DE"/>
        </w:rPr>
        <w:t xml:space="preserve">. </w:t>
      </w:r>
      <w:r w:rsidRPr="00571807">
        <w:rPr>
          <w:rFonts w:eastAsia="Calibri" w:cs="Tahoma"/>
          <w:szCs w:val="18"/>
          <w:lang w:val="de-DE"/>
        </w:rPr>
        <w:t>Eine Lizenz für eine CAL Suite Bridge ist eine einzelne Lizenz, die einem einzelnen Nutzer oder Gerät zugewiesen werden muss</w:t>
      </w:r>
      <w:r w:rsidR="006257A7">
        <w:rPr>
          <w:rFonts w:eastAsia="Calibri" w:cs="Tahoma"/>
          <w:szCs w:val="18"/>
          <w:lang w:val="de-DE"/>
        </w:rPr>
        <w:t xml:space="preserve">. </w:t>
      </w:r>
    </w:p>
    <w:p w:rsidR="00E73313" w:rsidRDefault="00E73313" w:rsidP="00E73313">
      <w:pPr>
        <w:spacing w:line="276" w:lineRule="auto"/>
        <w:ind w:left="720"/>
        <w:rPr>
          <w:lang w:val="de-DE"/>
        </w:rPr>
      </w:pPr>
    </w:p>
    <w:p w:rsidR="00E73313" w:rsidRPr="00571807" w:rsidRDefault="00E73313" w:rsidP="00E73313">
      <w:pPr>
        <w:spacing w:after="60"/>
        <w:ind w:left="720"/>
        <w:rPr>
          <w:lang w:val="de-DE"/>
        </w:rPr>
      </w:pPr>
      <w:r w:rsidRPr="00571807">
        <w:rPr>
          <w:b/>
          <w:szCs w:val="18"/>
          <w:lang w:val="de-DE"/>
        </w:rPr>
        <w:t>Anforderungen</w:t>
      </w:r>
    </w:p>
    <w:p w:rsidR="00E73313" w:rsidRPr="00571807" w:rsidRDefault="00E73313" w:rsidP="00E73313">
      <w:pPr>
        <w:spacing w:line="276" w:lineRule="auto"/>
        <w:ind w:left="720"/>
        <w:rPr>
          <w:lang w:val="de-DE"/>
        </w:rPr>
      </w:pPr>
      <w:r w:rsidRPr="00571807">
        <w:rPr>
          <w:rFonts w:eastAsia="Calibri" w:cs="Tahoma"/>
          <w:szCs w:val="18"/>
          <w:lang w:val="de-DE"/>
        </w:rPr>
        <w:t>Eine CAL Suite Bridge ist möglicherweise bei einem Übergang von einer CAL Suite zu einer vergleichbaren Kombination aus Produkt und Onlinediensten erforderlich</w:t>
      </w:r>
      <w:r w:rsidR="006257A7">
        <w:rPr>
          <w:rFonts w:eastAsia="Calibri" w:cs="Tahoma"/>
          <w:szCs w:val="18"/>
          <w:lang w:val="de-DE"/>
        </w:rPr>
        <w:t xml:space="preserve">. </w:t>
      </w:r>
      <w:r w:rsidRPr="00571807">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6257A7">
        <w:rPr>
          <w:rFonts w:eastAsia="Calibri" w:cs="Tahoma"/>
          <w:szCs w:val="18"/>
          <w:lang w:val="de-DE"/>
        </w:rPr>
        <w:t xml:space="preserve">. </w:t>
      </w:r>
      <w:r w:rsidRPr="00571807">
        <w:rPr>
          <w:rFonts w:eastAsia="Calibri" w:cs="Tahoma"/>
          <w:szCs w:val="18"/>
          <w:lang w:val="de-DE"/>
        </w:rPr>
        <w:t>Stattdessen kann am Jahrestag des Beitritts, für den der Übergang wirksam ist, Software Assurance für die CAL Suite Bridge erworben werden</w:t>
      </w:r>
      <w:r w:rsidR="006257A7">
        <w:rPr>
          <w:rFonts w:eastAsia="Calibri" w:cs="Tahoma"/>
          <w:szCs w:val="18"/>
          <w:lang w:val="de-DE"/>
        </w:rPr>
        <w:t xml:space="preserve">. </w:t>
      </w:r>
      <w:r w:rsidRPr="00571807">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006257A7">
        <w:rPr>
          <w:rFonts w:eastAsia="Calibri" w:cs="Tahoma"/>
          <w:szCs w:val="18"/>
          <w:lang w:val="de-DE"/>
        </w:rPr>
        <w:t xml:space="preserve">. </w:t>
      </w:r>
    </w:p>
    <w:p w:rsidR="00E73313" w:rsidRPr="003002D3" w:rsidRDefault="00E73313" w:rsidP="003002D3">
      <w:pPr>
        <w:spacing w:line="192" w:lineRule="auto"/>
        <w:ind w:left="720"/>
        <w:rPr>
          <w:sz w:val="16"/>
          <w:szCs w:val="16"/>
          <w:lang w:val="de-DE"/>
        </w:rPr>
      </w:pPr>
    </w:p>
    <w:p w:rsidR="00E73313" w:rsidRPr="00571807" w:rsidRDefault="00E73313" w:rsidP="00E73313">
      <w:pPr>
        <w:spacing w:line="276" w:lineRule="auto"/>
        <w:ind w:left="720"/>
        <w:rPr>
          <w:lang w:val="de-DE"/>
        </w:rPr>
      </w:pPr>
      <w:r w:rsidRPr="00571807">
        <w:rPr>
          <w:rFonts w:eastAsia="Calibri" w:cs="Tahoma"/>
          <w:szCs w:val="18"/>
          <w:lang w:val="de-DE"/>
        </w:rPr>
        <w:t>Eine CAL Suite Bridge ist ein Konzernprodukt und darf nur in Verbindung mit ihrem qualifizierenden Onlinedienst lizenziert werden, um die unternehmensweite Anforderung dieser CAL Suite Bridge oder der übergeordneten CAL Suite zu erfüllen</w:t>
      </w:r>
      <w:r w:rsidR="006257A7">
        <w:rPr>
          <w:rFonts w:eastAsia="Calibri" w:cs="Tahoma"/>
          <w:szCs w:val="18"/>
          <w:lang w:val="de-DE"/>
        </w:rPr>
        <w:t xml:space="preserve">. </w:t>
      </w:r>
    </w:p>
    <w:p w:rsidR="00E73313" w:rsidRDefault="00E73313" w:rsidP="003002D3">
      <w:pPr>
        <w:spacing w:line="192" w:lineRule="auto"/>
        <w:ind w:left="720"/>
        <w:rPr>
          <w:sz w:val="16"/>
          <w:szCs w:val="16"/>
          <w:lang w:val="de-DE"/>
        </w:rPr>
      </w:pPr>
    </w:p>
    <w:p w:rsidR="005E3F87" w:rsidRDefault="005E3F87" w:rsidP="003002D3">
      <w:pPr>
        <w:spacing w:line="192" w:lineRule="auto"/>
        <w:ind w:left="720"/>
        <w:rPr>
          <w:sz w:val="16"/>
          <w:szCs w:val="16"/>
          <w:lang w:val="de-DE"/>
        </w:rPr>
      </w:pPr>
    </w:p>
    <w:p w:rsidR="005E3F87" w:rsidRDefault="005E3F87" w:rsidP="003002D3">
      <w:pPr>
        <w:spacing w:line="192" w:lineRule="auto"/>
        <w:ind w:left="720"/>
        <w:rPr>
          <w:sz w:val="16"/>
          <w:szCs w:val="16"/>
          <w:lang w:val="de-DE"/>
        </w:rPr>
      </w:pPr>
    </w:p>
    <w:p w:rsidR="005E3F87" w:rsidRDefault="005E3F87" w:rsidP="003002D3">
      <w:pPr>
        <w:spacing w:line="192" w:lineRule="auto"/>
        <w:ind w:left="720"/>
        <w:rPr>
          <w:sz w:val="16"/>
          <w:szCs w:val="16"/>
          <w:lang w:val="de-DE"/>
        </w:rPr>
      </w:pPr>
    </w:p>
    <w:p w:rsidR="005E3F87" w:rsidRDefault="005E3F87" w:rsidP="003002D3">
      <w:pPr>
        <w:spacing w:line="192" w:lineRule="auto"/>
        <w:ind w:left="720"/>
        <w:rPr>
          <w:sz w:val="16"/>
          <w:szCs w:val="16"/>
          <w:lang w:val="de-DE"/>
        </w:rPr>
      </w:pPr>
    </w:p>
    <w:p w:rsidR="005670D2" w:rsidRDefault="005670D2" w:rsidP="003002D3">
      <w:pPr>
        <w:spacing w:line="192" w:lineRule="auto"/>
        <w:ind w:left="720"/>
        <w:rPr>
          <w:sz w:val="16"/>
          <w:szCs w:val="16"/>
          <w:lang w:val="de-DE"/>
        </w:rPr>
      </w:pPr>
    </w:p>
    <w:p w:rsidR="005670D2" w:rsidRDefault="005670D2" w:rsidP="003002D3">
      <w:pPr>
        <w:spacing w:line="192" w:lineRule="auto"/>
        <w:ind w:left="720"/>
        <w:rPr>
          <w:sz w:val="16"/>
          <w:szCs w:val="16"/>
          <w:lang w:val="de-DE"/>
        </w:rPr>
      </w:pPr>
    </w:p>
    <w:p w:rsidR="005670D2" w:rsidRDefault="005670D2" w:rsidP="003002D3">
      <w:pPr>
        <w:spacing w:line="192" w:lineRule="auto"/>
        <w:ind w:left="720"/>
        <w:rPr>
          <w:sz w:val="16"/>
          <w:szCs w:val="16"/>
          <w:lang w:val="de-DE"/>
        </w:rPr>
      </w:pPr>
    </w:p>
    <w:p w:rsidR="005670D2" w:rsidRDefault="005670D2" w:rsidP="003002D3">
      <w:pPr>
        <w:spacing w:line="192" w:lineRule="auto"/>
        <w:ind w:left="720"/>
        <w:rPr>
          <w:sz w:val="16"/>
          <w:szCs w:val="16"/>
          <w:lang w:val="de-DE"/>
        </w:rPr>
      </w:pPr>
    </w:p>
    <w:p w:rsidR="005E3F87" w:rsidRPr="003002D3" w:rsidRDefault="005E3F87" w:rsidP="003002D3">
      <w:pPr>
        <w:spacing w:line="192" w:lineRule="auto"/>
        <w:ind w:left="720"/>
        <w:rPr>
          <w:sz w:val="16"/>
          <w:szCs w:val="16"/>
          <w:lang w:val="de-DE"/>
        </w:rPr>
      </w:pPr>
    </w:p>
    <w:tbl>
      <w:tblPr>
        <w:tblW w:w="4366" w:type="pct"/>
        <w:tblInd w:w="730" w:type="dxa"/>
        <w:tblCellMar>
          <w:left w:w="0" w:type="dxa"/>
          <w:right w:w="0" w:type="dxa"/>
        </w:tblCellMar>
        <w:tblLook w:val="04A0" w:firstRow="1" w:lastRow="0" w:firstColumn="1" w:lastColumn="0" w:noHBand="0" w:noVBand="1"/>
      </w:tblPr>
      <w:tblGrid>
        <w:gridCol w:w="2791"/>
        <w:gridCol w:w="2520"/>
        <w:gridCol w:w="2880"/>
      </w:tblGrid>
      <w:tr w:rsidR="00E73313" w:rsidRPr="000773D2" w:rsidTr="005E3F87">
        <w:trPr>
          <w:cantSplit/>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E73313" w:rsidRPr="000773D2" w:rsidRDefault="00E73313" w:rsidP="005E3F87">
            <w:pPr>
              <w:spacing w:before="40" w:after="160" w:line="252" w:lineRule="auto"/>
              <w:jc w:val="center"/>
              <w:rPr>
                <w:rFonts w:eastAsia="Calibri" w:cs="Tahoma"/>
                <w:b/>
                <w:bCs/>
                <w:color w:val="000000"/>
                <w:szCs w:val="18"/>
                <w:lang w:eastAsia="ja-JP"/>
              </w:rPr>
            </w:pPr>
            <w:r>
              <w:rPr>
                <w:rFonts w:eastAsia="Calibri" w:cs="Tahoma"/>
                <w:b/>
                <w:bCs/>
                <w:szCs w:val="18"/>
              </w:rPr>
              <w:t>CAL Suite Bridge</w:t>
            </w:r>
          </w:p>
        </w:tc>
        <w:tc>
          <w:tcPr>
            <w:tcW w:w="1538" w:type="pct"/>
            <w:tcBorders>
              <w:top w:val="single" w:sz="8" w:space="0" w:color="auto"/>
              <w:left w:val="nil"/>
              <w:bottom w:val="single" w:sz="8" w:space="0" w:color="auto"/>
              <w:right w:val="single" w:sz="8" w:space="0" w:color="auto"/>
            </w:tcBorders>
            <w:shd w:val="clear" w:color="auto" w:fill="FABF8F"/>
            <w:vAlign w:val="center"/>
            <w:hideMark/>
          </w:tcPr>
          <w:p w:rsidR="00E73313" w:rsidRPr="000773D2" w:rsidRDefault="00E73313" w:rsidP="005E3F87">
            <w:pPr>
              <w:spacing w:before="40" w:after="160" w:line="252" w:lineRule="auto"/>
              <w:jc w:val="center"/>
              <w:rPr>
                <w:rFonts w:eastAsia="Calibri" w:cs="Tahoma"/>
                <w:b/>
                <w:bCs/>
                <w:color w:val="000000"/>
                <w:szCs w:val="18"/>
                <w:lang w:eastAsia="ja-JP"/>
              </w:rPr>
            </w:pPr>
            <w:r>
              <w:rPr>
                <w:rFonts w:eastAsia="Calibri" w:cs="Tahoma"/>
                <w:b/>
                <w:bCs/>
                <w:szCs w:val="18"/>
              </w:rPr>
              <w:t>Übergeordnete CAL Suite</w:t>
            </w:r>
          </w:p>
        </w:tc>
        <w:tc>
          <w:tcPr>
            <w:tcW w:w="1759" w:type="pct"/>
            <w:tcBorders>
              <w:top w:val="single" w:sz="8" w:space="0" w:color="auto"/>
              <w:left w:val="nil"/>
              <w:bottom w:val="single" w:sz="8" w:space="0" w:color="auto"/>
              <w:right w:val="single" w:sz="8" w:space="0" w:color="auto"/>
            </w:tcBorders>
            <w:shd w:val="clear" w:color="auto" w:fill="FABF8F"/>
            <w:hideMark/>
          </w:tcPr>
          <w:p w:rsidR="00E73313" w:rsidRPr="000773D2" w:rsidRDefault="00E73313" w:rsidP="005E3F87">
            <w:pPr>
              <w:spacing w:before="40" w:after="160" w:line="252" w:lineRule="auto"/>
              <w:ind w:left="180" w:right="180"/>
              <w:jc w:val="center"/>
              <w:rPr>
                <w:rFonts w:eastAsia="Calibri" w:cs="Tahoma"/>
                <w:b/>
                <w:bCs/>
                <w:color w:val="000000"/>
                <w:szCs w:val="18"/>
                <w:lang w:eastAsia="ja-JP"/>
              </w:rPr>
            </w:pPr>
            <w:r>
              <w:rPr>
                <w:rFonts w:eastAsia="Calibri" w:cs="Tahoma"/>
                <w:b/>
                <w:bCs/>
                <w:szCs w:val="18"/>
              </w:rPr>
              <w:t>Qualifizierende Onlinedienste</w:t>
            </w:r>
          </w:p>
        </w:tc>
      </w:tr>
      <w:tr w:rsidR="00E73313" w:rsidRPr="000773D2" w:rsidTr="005E3F87">
        <w:trPr>
          <w:cantSplit/>
          <w:trHeight w:val="576"/>
        </w:trPr>
        <w:tc>
          <w:tcPr>
            <w:tcW w:w="1704" w:type="pct"/>
            <w:tcBorders>
              <w:top w:val="nil"/>
              <w:left w:val="single" w:sz="8" w:space="0" w:color="auto"/>
              <w:bottom w:val="single" w:sz="8" w:space="0" w:color="auto"/>
              <w:right w:val="single" w:sz="8" w:space="0" w:color="auto"/>
            </w:tcBorders>
          </w:tcPr>
          <w:p w:rsidR="00E73313" w:rsidRPr="000773D2" w:rsidRDefault="00E73313" w:rsidP="00E328C3">
            <w:pPr>
              <w:numPr>
                <w:ilvl w:val="0"/>
                <w:numId w:val="40"/>
              </w:numPr>
              <w:spacing w:before="120" w:after="200" w:line="276" w:lineRule="auto"/>
              <w:ind w:left="679" w:right="181" w:hanging="450"/>
              <w:rPr>
                <w:rFonts w:eastAsia="Calibri" w:cs="Tahoma"/>
                <w:color w:val="000000"/>
                <w:szCs w:val="18"/>
              </w:rPr>
            </w:pPr>
            <w:r>
              <w:rPr>
                <w:rFonts w:eastAsia="Calibri" w:cs="Tahoma"/>
                <w:color w:val="000000"/>
                <w:szCs w:val="18"/>
              </w:rPr>
              <w:t>Core CAL Suite Bridge für Office 365</w:t>
            </w:r>
          </w:p>
        </w:tc>
        <w:tc>
          <w:tcPr>
            <w:tcW w:w="1538" w:type="pct"/>
            <w:tcBorders>
              <w:top w:val="nil"/>
              <w:left w:val="nil"/>
              <w:bottom w:val="single" w:sz="8" w:space="0" w:color="auto"/>
              <w:right w:val="single" w:sz="8" w:space="0" w:color="auto"/>
            </w:tcBorders>
          </w:tcPr>
          <w:p w:rsidR="00E73313" w:rsidRPr="000773D2" w:rsidRDefault="00E73313" w:rsidP="00E328C3">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Core-CAL-Suite</w:t>
            </w:r>
          </w:p>
        </w:tc>
        <w:tc>
          <w:tcPr>
            <w:tcW w:w="1759" w:type="pct"/>
            <w:tcBorders>
              <w:top w:val="nil"/>
              <w:left w:val="nil"/>
              <w:bottom w:val="single" w:sz="8" w:space="0" w:color="auto"/>
              <w:right w:val="single" w:sz="8" w:space="0" w:color="auto"/>
            </w:tcBorders>
          </w:tcPr>
          <w:p w:rsidR="00E73313" w:rsidRPr="0062435A" w:rsidRDefault="00E73313" w:rsidP="005E3F87">
            <w:pPr>
              <w:numPr>
                <w:ilvl w:val="0"/>
                <w:numId w:val="42"/>
              </w:numPr>
              <w:spacing w:before="100" w:after="180" w:line="264" w:lineRule="auto"/>
              <w:ind w:left="676" w:right="187" w:hanging="446"/>
            </w:pPr>
            <w:r>
              <w:rPr>
                <w:rFonts w:eastAsia="Calibri" w:cs="Tahoma"/>
                <w:color w:val="000000"/>
                <w:szCs w:val="18"/>
              </w:rPr>
              <w:t>Office 365 Enterprise E1</w:t>
            </w:r>
            <w:r w:rsidR="003002D3">
              <w:rPr>
                <w:rFonts w:eastAsia="Calibri" w:cs="Tahoma"/>
                <w:color w:val="000000"/>
                <w:szCs w:val="18"/>
              </w:rPr>
              <w:t> </w:t>
            </w:r>
            <w:r>
              <w:rPr>
                <w:rFonts w:eastAsia="Calibri" w:cs="Tahoma"/>
                <w:color w:val="000000"/>
                <w:szCs w:val="18"/>
              </w:rPr>
              <w:t>oder</w:t>
            </w:r>
          </w:p>
          <w:p w:rsidR="00E73313" w:rsidRPr="0062435A" w:rsidRDefault="00E73313" w:rsidP="005E3F87">
            <w:pPr>
              <w:numPr>
                <w:ilvl w:val="0"/>
                <w:numId w:val="42"/>
              </w:numPr>
              <w:spacing w:before="100" w:after="180" w:line="264" w:lineRule="auto"/>
              <w:ind w:left="676" w:right="187" w:hanging="446"/>
            </w:pPr>
            <w:r>
              <w:rPr>
                <w:rFonts w:eastAsia="Calibri" w:cs="Tahoma"/>
                <w:color w:val="000000"/>
                <w:szCs w:val="18"/>
              </w:rPr>
              <w:t>Office 365 Enterprise E3</w:t>
            </w:r>
            <w:r w:rsidR="003002D3">
              <w:rPr>
                <w:rFonts w:eastAsia="Calibri" w:cs="Tahoma"/>
                <w:color w:val="000000"/>
                <w:szCs w:val="18"/>
              </w:rPr>
              <w:t> </w:t>
            </w:r>
            <w:r>
              <w:rPr>
                <w:rFonts w:eastAsia="Calibri" w:cs="Tahoma"/>
                <w:color w:val="000000"/>
                <w:szCs w:val="18"/>
              </w:rPr>
              <w:t>oder</w:t>
            </w:r>
          </w:p>
          <w:p w:rsidR="00E73313" w:rsidRPr="000773D2" w:rsidRDefault="00E73313" w:rsidP="005E3F87">
            <w:pPr>
              <w:numPr>
                <w:ilvl w:val="0"/>
                <w:numId w:val="42"/>
              </w:numPr>
              <w:spacing w:before="100" w:after="180" w:line="264" w:lineRule="auto"/>
              <w:ind w:left="676" w:right="187" w:hanging="446"/>
              <w:rPr>
                <w:rFonts w:eastAsia="Calibri" w:cs="Tahoma"/>
                <w:color w:val="000000"/>
                <w:szCs w:val="18"/>
              </w:rPr>
            </w:pPr>
            <w:r>
              <w:rPr>
                <w:rFonts w:eastAsia="Calibri" w:cs="Tahoma"/>
                <w:color w:val="000000"/>
                <w:szCs w:val="18"/>
              </w:rPr>
              <w:t>Office 365 Enterprise E4</w:t>
            </w:r>
          </w:p>
        </w:tc>
      </w:tr>
      <w:tr w:rsidR="00E73313" w:rsidRPr="000773D2" w:rsidTr="005E3F87">
        <w:trPr>
          <w:cantSplit/>
          <w:trHeight w:val="576"/>
        </w:trPr>
        <w:tc>
          <w:tcPr>
            <w:tcW w:w="1704" w:type="pct"/>
            <w:tcBorders>
              <w:top w:val="nil"/>
              <w:left w:val="single" w:sz="8" w:space="0" w:color="auto"/>
              <w:bottom w:val="single" w:sz="8" w:space="0" w:color="auto"/>
              <w:right w:val="single" w:sz="8" w:space="0" w:color="auto"/>
            </w:tcBorders>
          </w:tcPr>
          <w:p w:rsidR="00E73313" w:rsidRPr="000773D2" w:rsidRDefault="00E73313" w:rsidP="00E328C3">
            <w:pPr>
              <w:numPr>
                <w:ilvl w:val="0"/>
                <w:numId w:val="40"/>
              </w:numPr>
              <w:spacing w:before="120" w:after="200" w:line="276" w:lineRule="auto"/>
              <w:ind w:left="679" w:right="181" w:hanging="450"/>
              <w:rPr>
                <w:rFonts w:eastAsia="Calibri" w:cs="Tahoma"/>
                <w:color w:val="000000"/>
                <w:szCs w:val="18"/>
              </w:rPr>
            </w:pPr>
            <w:r>
              <w:rPr>
                <w:rFonts w:eastAsia="Calibri" w:cs="Tahoma"/>
                <w:color w:val="000000"/>
                <w:szCs w:val="18"/>
              </w:rPr>
              <w:t>Core CAL Suite Bridge für Office 365 und Windows Intune</w:t>
            </w:r>
          </w:p>
        </w:tc>
        <w:tc>
          <w:tcPr>
            <w:tcW w:w="1538" w:type="pct"/>
            <w:tcBorders>
              <w:top w:val="nil"/>
              <w:left w:val="nil"/>
              <w:bottom w:val="single" w:sz="8" w:space="0" w:color="auto"/>
              <w:right w:val="single" w:sz="8" w:space="0" w:color="auto"/>
            </w:tcBorders>
          </w:tcPr>
          <w:p w:rsidR="00E73313" w:rsidRPr="000773D2" w:rsidRDefault="00E73313" w:rsidP="00E328C3">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Core-CAL-Suite</w:t>
            </w:r>
          </w:p>
        </w:tc>
        <w:tc>
          <w:tcPr>
            <w:tcW w:w="1759" w:type="pct"/>
            <w:tcBorders>
              <w:top w:val="nil"/>
              <w:left w:val="nil"/>
              <w:bottom w:val="single" w:sz="8" w:space="0" w:color="auto"/>
              <w:right w:val="single" w:sz="8" w:space="0" w:color="auto"/>
            </w:tcBorders>
          </w:tcPr>
          <w:p w:rsidR="00E73313" w:rsidRPr="00571807" w:rsidRDefault="00E73313" w:rsidP="005E3F87">
            <w:pPr>
              <w:numPr>
                <w:ilvl w:val="0"/>
                <w:numId w:val="42"/>
              </w:numPr>
              <w:spacing w:before="100" w:after="180" w:line="264" w:lineRule="auto"/>
              <w:ind w:left="676" w:right="187" w:hanging="446"/>
              <w:rPr>
                <w:lang w:val="de-DE"/>
              </w:rPr>
            </w:pPr>
            <w:r w:rsidRPr="00571807">
              <w:rPr>
                <w:rFonts w:eastAsia="Calibri" w:cs="Tahoma"/>
                <w:color w:val="000000"/>
                <w:szCs w:val="18"/>
                <w:lang w:val="de-DE"/>
              </w:rPr>
              <w:t>Office 365 Enterprise E1</w:t>
            </w:r>
            <w:r w:rsidR="003002D3">
              <w:rPr>
                <w:rFonts w:eastAsia="Calibri" w:cs="Tahoma"/>
                <w:color w:val="000000"/>
                <w:szCs w:val="18"/>
                <w:lang w:val="de-DE"/>
              </w:rPr>
              <w:t> </w:t>
            </w:r>
            <w:r w:rsidRPr="00571807">
              <w:rPr>
                <w:rFonts w:eastAsia="Calibri" w:cs="Tahoma"/>
                <w:color w:val="000000"/>
                <w:szCs w:val="18"/>
                <w:lang w:val="de-DE"/>
              </w:rPr>
              <w:t>und Windows Intune</w:t>
            </w:r>
            <w:r w:rsidR="003002D3">
              <w:rPr>
                <w:rFonts w:eastAsia="Calibri" w:cs="Tahoma"/>
                <w:color w:val="000000"/>
                <w:szCs w:val="18"/>
                <w:lang w:val="de-DE"/>
              </w:rPr>
              <w:t> </w:t>
            </w:r>
            <w:r w:rsidRPr="00571807">
              <w:rPr>
                <w:rFonts w:eastAsia="Calibri" w:cs="Tahoma"/>
                <w:color w:val="000000"/>
                <w:szCs w:val="18"/>
                <w:lang w:val="de-DE"/>
              </w:rPr>
              <w:t>oder</w:t>
            </w:r>
          </w:p>
          <w:p w:rsidR="00E73313" w:rsidRPr="00571807" w:rsidRDefault="00E73313" w:rsidP="005E3F87">
            <w:pPr>
              <w:numPr>
                <w:ilvl w:val="0"/>
                <w:numId w:val="42"/>
              </w:numPr>
              <w:spacing w:before="100" w:after="180" w:line="264" w:lineRule="auto"/>
              <w:ind w:left="676" w:right="187" w:hanging="446"/>
              <w:rPr>
                <w:lang w:val="de-DE"/>
              </w:rPr>
            </w:pPr>
            <w:r w:rsidRPr="00571807">
              <w:rPr>
                <w:rFonts w:eastAsia="Calibri" w:cs="Tahoma"/>
                <w:color w:val="000000"/>
                <w:szCs w:val="18"/>
                <w:lang w:val="de-DE"/>
              </w:rPr>
              <w:t>Office 365 Enterprise E3</w:t>
            </w:r>
            <w:r w:rsidR="003002D3">
              <w:rPr>
                <w:rFonts w:eastAsia="Calibri" w:cs="Tahoma"/>
                <w:color w:val="000000"/>
                <w:szCs w:val="18"/>
                <w:lang w:val="de-DE"/>
              </w:rPr>
              <w:t> </w:t>
            </w:r>
            <w:r w:rsidRPr="00571807">
              <w:rPr>
                <w:rFonts w:eastAsia="Calibri" w:cs="Tahoma"/>
                <w:color w:val="000000"/>
                <w:szCs w:val="18"/>
                <w:lang w:val="de-DE"/>
              </w:rPr>
              <w:t>und Windows Intune oder</w:t>
            </w:r>
          </w:p>
          <w:p w:rsidR="00E73313" w:rsidRPr="000773D2" w:rsidRDefault="00E73313" w:rsidP="005E3F87">
            <w:pPr>
              <w:numPr>
                <w:ilvl w:val="0"/>
                <w:numId w:val="42"/>
              </w:numPr>
              <w:spacing w:before="100" w:after="180" w:line="264" w:lineRule="auto"/>
              <w:ind w:left="676" w:right="187" w:hanging="446"/>
              <w:rPr>
                <w:rFonts w:eastAsia="Calibri" w:cs="Tahoma"/>
                <w:color w:val="000000"/>
                <w:szCs w:val="18"/>
              </w:rPr>
            </w:pPr>
            <w:r>
              <w:rPr>
                <w:rFonts w:eastAsia="Calibri" w:cs="Tahoma"/>
                <w:color w:val="000000"/>
                <w:szCs w:val="18"/>
              </w:rPr>
              <w:t>Office 365 Enterprise E4 und Windows Intune</w:t>
            </w:r>
          </w:p>
        </w:tc>
      </w:tr>
      <w:tr w:rsidR="00E73313" w:rsidRPr="000773D2" w:rsidTr="005E3F87">
        <w:trPr>
          <w:cantSplit/>
          <w:trHeight w:val="576"/>
        </w:trPr>
        <w:tc>
          <w:tcPr>
            <w:tcW w:w="1704" w:type="pct"/>
            <w:tcBorders>
              <w:top w:val="single" w:sz="8" w:space="0" w:color="auto"/>
              <w:left w:val="single" w:sz="8" w:space="0" w:color="auto"/>
              <w:bottom w:val="single" w:sz="8" w:space="0" w:color="auto"/>
              <w:right w:val="single" w:sz="8" w:space="0" w:color="auto"/>
            </w:tcBorders>
          </w:tcPr>
          <w:p w:rsidR="00E73313" w:rsidRPr="000773D2" w:rsidRDefault="00E73313" w:rsidP="00E328C3">
            <w:pPr>
              <w:numPr>
                <w:ilvl w:val="0"/>
                <w:numId w:val="40"/>
              </w:numPr>
              <w:spacing w:before="120" w:after="200" w:line="276" w:lineRule="auto"/>
              <w:ind w:left="679" w:right="181" w:hanging="450"/>
              <w:rPr>
                <w:rFonts w:eastAsia="Calibri" w:cs="Tahoma"/>
                <w:color w:val="000000"/>
                <w:szCs w:val="18"/>
              </w:rPr>
            </w:pPr>
            <w:r>
              <w:rPr>
                <w:rFonts w:cs="Tahoma"/>
                <w:color w:val="000000"/>
                <w:szCs w:val="18"/>
              </w:rPr>
              <w:t>Core CAL Suite Bridge für Windows Intune</w:t>
            </w:r>
          </w:p>
        </w:tc>
        <w:tc>
          <w:tcPr>
            <w:tcW w:w="1538" w:type="pct"/>
            <w:tcBorders>
              <w:top w:val="single" w:sz="8" w:space="0" w:color="auto"/>
              <w:left w:val="nil"/>
              <w:bottom w:val="single" w:sz="8" w:space="0" w:color="auto"/>
              <w:right w:val="single" w:sz="8" w:space="0" w:color="auto"/>
            </w:tcBorders>
          </w:tcPr>
          <w:p w:rsidR="00E73313" w:rsidRPr="000773D2" w:rsidRDefault="00E73313" w:rsidP="00E328C3">
            <w:pPr>
              <w:numPr>
                <w:ilvl w:val="0"/>
                <w:numId w:val="41"/>
              </w:numPr>
              <w:spacing w:before="120" w:after="200" w:line="276" w:lineRule="auto"/>
              <w:ind w:left="682" w:hanging="450"/>
              <w:rPr>
                <w:rFonts w:eastAsia="Calibri" w:cs="Tahoma"/>
                <w:color w:val="000000"/>
                <w:szCs w:val="18"/>
              </w:rPr>
            </w:pPr>
            <w:r>
              <w:rPr>
                <w:rFonts w:cs="Tahoma"/>
                <w:color w:val="000000"/>
                <w:szCs w:val="18"/>
              </w:rPr>
              <w:t>Core-CAL-Suite</w:t>
            </w:r>
          </w:p>
        </w:tc>
        <w:tc>
          <w:tcPr>
            <w:tcW w:w="1759" w:type="pct"/>
            <w:tcBorders>
              <w:top w:val="single" w:sz="8" w:space="0" w:color="auto"/>
              <w:left w:val="nil"/>
              <w:bottom w:val="single" w:sz="8" w:space="0" w:color="auto"/>
              <w:right w:val="single" w:sz="8" w:space="0" w:color="auto"/>
            </w:tcBorders>
          </w:tcPr>
          <w:p w:rsidR="00E73313" w:rsidRPr="000773D2" w:rsidRDefault="00E73313" w:rsidP="005E3F87">
            <w:pPr>
              <w:numPr>
                <w:ilvl w:val="0"/>
                <w:numId w:val="42"/>
              </w:numPr>
              <w:spacing w:before="100" w:after="180" w:line="264" w:lineRule="auto"/>
              <w:ind w:left="676" w:right="187" w:hanging="446"/>
              <w:rPr>
                <w:rFonts w:eastAsia="Calibri" w:cs="Tahoma"/>
                <w:color w:val="000000"/>
                <w:szCs w:val="18"/>
              </w:rPr>
            </w:pPr>
            <w:r>
              <w:rPr>
                <w:rFonts w:cs="Tahoma"/>
                <w:color w:val="000000"/>
                <w:szCs w:val="18"/>
              </w:rPr>
              <w:t>Windows</w:t>
            </w:r>
            <w:r>
              <w:rPr>
                <w:rFonts w:cs="Tahoma"/>
                <w:color w:val="000000"/>
                <w:szCs w:val="18"/>
                <w:vertAlign w:val="superscript"/>
              </w:rPr>
              <w:t xml:space="preserve"> </w:t>
            </w:r>
            <w:r>
              <w:rPr>
                <w:rFonts w:cs="Tahoma"/>
                <w:color w:val="000000"/>
                <w:szCs w:val="18"/>
              </w:rPr>
              <w:t>Intune</w:t>
            </w:r>
          </w:p>
        </w:tc>
      </w:tr>
    </w:tbl>
    <w:p w:rsidR="00E73313" w:rsidRPr="003002D3" w:rsidRDefault="00E73313" w:rsidP="003002D3">
      <w:pPr>
        <w:pStyle w:val="Heading3"/>
        <w:spacing w:line="192" w:lineRule="auto"/>
        <w:rPr>
          <w:sz w:val="16"/>
          <w:szCs w:val="16"/>
        </w:rPr>
      </w:pPr>
      <w:bookmarkStart w:id="1180" w:name="_Toc336338295"/>
      <w:bookmarkStart w:id="1181" w:name="Srv_34CoreCALSuite"/>
      <w:bookmarkStart w:id="1182" w:name="Srv_31CoreCALSuite"/>
    </w:p>
    <w:p w:rsidR="00E73313" w:rsidRPr="003002D3" w:rsidRDefault="00E73313" w:rsidP="003002D3">
      <w:pPr>
        <w:pStyle w:val="Heading3"/>
        <w:spacing w:line="192" w:lineRule="auto"/>
        <w:rPr>
          <w:sz w:val="16"/>
          <w:szCs w:val="16"/>
        </w:rPr>
      </w:pPr>
    </w:p>
    <w:p w:rsidR="00E73313" w:rsidRPr="0062435A" w:rsidRDefault="00E73313" w:rsidP="00E73313">
      <w:pPr>
        <w:pStyle w:val="Heading3"/>
      </w:pPr>
      <w:bookmarkStart w:id="1183" w:name="_40_Core_CAL"/>
      <w:bookmarkStart w:id="1184" w:name="_41_Core_CAL"/>
      <w:bookmarkStart w:id="1185" w:name="_Toc363999038"/>
      <w:bookmarkEnd w:id="1183"/>
      <w:bookmarkEnd w:id="1184"/>
      <w:r>
        <w:rPr>
          <w:rFonts w:ascii="Tahoma" w:hAnsi="Tahoma"/>
          <w:caps/>
          <w:color w:val="F66400"/>
          <w:sz w:val="22"/>
          <w:vertAlign w:val="superscript"/>
        </w:rPr>
        <w:t>41</w:t>
      </w:r>
      <w:r>
        <w:rPr>
          <w:rFonts w:ascii="Tahoma" w:hAnsi="Tahoma"/>
          <w:color w:val="F66400"/>
          <w:sz w:val="22"/>
        </w:rPr>
        <w:t xml:space="preserve"> Core CAL Suite</w:t>
      </w:r>
      <w:bookmarkEnd w:id="1180"/>
      <w:bookmarkEnd w:id="1185"/>
    </w:p>
    <w:bookmarkEnd w:id="1181"/>
    <w:bookmarkEnd w:id="1182"/>
    <w:p w:rsidR="00E73313" w:rsidRPr="003002D3" w:rsidRDefault="00E73313" w:rsidP="003002D3">
      <w:pPr>
        <w:spacing w:line="192" w:lineRule="auto"/>
        <w:ind w:firstLine="540"/>
        <w:rPr>
          <w:sz w:val="16"/>
          <w:szCs w:val="16"/>
        </w:rPr>
      </w:pPr>
    </w:p>
    <w:p w:rsidR="00E73313" w:rsidRDefault="00E73313" w:rsidP="003002D3">
      <w:pPr>
        <w:ind w:left="720"/>
        <w:rPr>
          <w:rFonts w:cs="Tahoma"/>
          <w:color w:val="000000"/>
          <w:szCs w:val="18"/>
          <w:lang w:val="de-DE"/>
        </w:rPr>
      </w:pPr>
      <w:r w:rsidRPr="00571807">
        <w:rPr>
          <w:rFonts w:cs="Tahoma"/>
          <w:szCs w:val="20"/>
          <w:lang w:val="de-DE"/>
        </w:rPr>
        <w:t>Core CAL Suite hat keine Versionsnummer, und die Produktbenutzungsrechte hängen vom Status der Software Assurance für Core CAL Suite ab</w:t>
      </w:r>
      <w:r w:rsidR="006257A7">
        <w:rPr>
          <w:rFonts w:cs="Tahoma"/>
          <w:szCs w:val="20"/>
          <w:lang w:val="de-DE"/>
        </w:rPr>
        <w:t xml:space="preserve">. </w:t>
      </w:r>
      <w:r w:rsidRPr="00571807">
        <w:rPr>
          <w:rFonts w:cs="Tahoma"/>
          <w:szCs w:val="20"/>
          <w:lang w:val="de-DE"/>
        </w:rPr>
        <w:t>Falls Software Assurance unterbrochen wurde, hängen die Zugriffsrechte im Rahmen zeitlich unbeschränkter Lizenzen von den Produktbenutzungsrechten ab, die vor</w:t>
      </w:r>
      <w:r w:rsidR="003002D3">
        <w:rPr>
          <w:rFonts w:cs="Tahoma"/>
          <w:szCs w:val="20"/>
          <w:lang w:val="de-DE"/>
        </w:rPr>
        <w:t> </w:t>
      </w:r>
      <w:r w:rsidRPr="00571807">
        <w:rPr>
          <w:rFonts w:cs="Tahoma"/>
          <w:szCs w:val="20"/>
          <w:lang w:val="de-DE"/>
        </w:rPr>
        <w:t>der Unterbrechung galten</w:t>
      </w:r>
      <w:r w:rsidR="006257A7">
        <w:rPr>
          <w:rFonts w:cs="Tahoma"/>
          <w:szCs w:val="20"/>
          <w:lang w:val="de-DE"/>
        </w:rPr>
        <w:t xml:space="preserve">. </w:t>
      </w:r>
      <w:r w:rsidRPr="00571807">
        <w:rPr>
          <w:rFonts w:cs="Tahoma"/>
          <w:szCs w:val="20"/>
          <w:lang w:val="de-DE"/>
        </w:rPr>
        <w:t>Ab dem 1</w:t>
      </w:r>
      <w:r w:rsidR="006257A7">
        <w:rPr>
          <w:rFonts w:cs="Tahoma"/>
          <w:szCs w:val="20"/>
          <w:lang w:val="de-DE"/>
        </w:rPr>
        <w:t xml:space="preserve">. </w:t>
      </w:r>
      <w:r w:rsidRPr="00571807">
        <w:rPr>
          <w:rFonts w:cs="Tahoma"/>
          <w:szCs w:val="20"/>
          <w:lang w:val="de-DE"/>
        </w:rPr>
        <w:t xml:space="preserve">Oktober 2012 gewährt eine Lizenz für Core </w:t>
      </w:r>
      <w:r w:rsidRPr="00571807">
        <w:rPr>
          <w:rFonts w:cs="Tahoma"/>
          <w:color w:val="000000"/>
          <w:szCs w:val="20"/>
          <w:lang w:val="de-DE"/>
        </w:rPr>
        <w:t xml:space="preserve">CAL Suite mit aktiver Software Assurance Rechte an Folgendem: CAL für Windows Server 2012, Standard-CAL für Exchange Server 2013, </w:t>
      </w:r>
      <w:r w:rsidRPr="00571807">
        <w:rPr>
          <w:color w:val="000000"/>
          <w:lang w:val="de-DE"/>
        </w:rPr>
        <w:t xml:space="preserve">Standard-CAL für Lync Server 2013, Standard-CAL für </w:t>
      </w:r>
      <w:r w:rsidRPr="00571807">
        <w:rPr>
          <w:rFonts w:cs="Tahoma"/>
          <w:color w:val="000000"/>
          <w:szCs w:val="20"/>
          <w:lang w:val="de-DE"/>
        </w:rPr>
        <w:t>SharePoint</w:t>
      </w:r>
      <w:r w:rsidRPr="00571807">
        <w:rPr>
          <w:rFonts w:cs="Tahoma"/>
          <w:szCs w:val="20"/>
          <w:lang w:val="de-DE"/>
        </w:rPr>
        <w:t xml:space="preserve"> Server 2013, Client-Management-Lizenz für System Center 2012 Configuration Manager und System Center 2012 Endpoint Protection</w:t>
      </w:r>
      <w:r w:rsidR="006257A7">
        <w:rPr>
          <w:rFonts w:cs="Tahoma"/>
          <w:color w:val="000000"/>
          <w:szCs w:val="20"/>
          <w:lang w:val="de-DE"/>
        </w:rPr>
        <w:t xml:space="preserve">. </w:t>
      </w:r>
      <w:r w:rsidRPr="00571807">
        <w:rPr>
          <w:rFonts w:cs="Tahoma"/>
          <w:color w:val="000000"/>
          <w:szCs w:val="18"/>
          <w:lang w:val="de-DE"/>
        </w:rPr>
        <w:t>Eine Lizenz für Core CAL Suite ist eine einzelne Lizenz, die einem einzelnen Nutzer oder Gerät zugewiesen werden muss</w:t>
      </w:r>
      <w:r w:rsidR="006257A7">
        <w:rPr>
          <w:rFonts w:cs="Tahoma"/>
          <w:color w:val="000000"/>
          <w:szCs w:val="18"/>
          <w:lang w:val="de-DE"/>
        </w:rPr>
        <w:t xml:space="preserve">. </w:t>
      </w:r>
      <w:r w:rsidRPr="00571807">
        <w:rPr>
          <w:rFonts w:cs="Tahoma"/>
          <w:color w:val="000000"/>
          <w:szCs w:val="18"/>
          <w:lang w:val="de-DE"/>
        </w:rPr>
        <w:t>Wie im Volumenlizenzvertrag dargelegt, dürfen Kunden die Rechte unter Core CAL Suite nicht trennen, um zwei oder mehr Nutzern oder Geräten, den gleichzeitigen Zugriff auf ihre verschiedenen Komponenten zu ermöglichen</w:t>
      </w:r>
      <w:r w:rsidR="006257A7">
        <w:rPr>
          <w:rFonts w:cs="Tahoma"/>
          <w:color w:val="000000"/>
          <w:szCs w:val="18"/>
          <w:lang w:val="de-DE"/>
        </w:rPr>
        <w:t xml:space="preserve">. </w:t>
      </w:r>
    </w:p>
    <w:p w:rsidR="00E73313" w:rsidRPr="00571807" w:rsidRDefault="00E73313" w:rsidP="00E73313">
      <w:pPr>
        <w:spacing w:after="60"/>
        <w:ind w:left="720"/>
        <w:rPr>
          <w:lang w:val="de-DE"/>
        </w:rPr>
      </w:pPr>
      <w:r w:rsidRPr="00571807">
        <w:rPr>
          <w:rFonts w:cs="Tahoma"/>
          <w:b/>
          <w:bCs/>
          <w:color w:val="000000"/>
          <w:szCs w:val="20"/>
          <w:lang w:val="de-DE"/>
        </w:rPr>
        <w:t>CALs für Studenten (Open- und Select-Lizenz für Forschung &amp; Lehre)</w:t>
      </w:r>
    </w:p>
    <w:p w:rsidR="00E73313" w:rsidRPr="00571807" w:rsidRDefault="00E73313" w:rsidP="003002D3">
      <w:pPr>
        <w:ind w:left="720"/>
        <w:rPr>
          <w:lang w:val="de-DE"/>
        </w:rPr>
      </w:pPr>
      <w:r w:rsidRPr="00571807">
        <w:rPr>
          <w:rFonts w:cs="Tahoma"/>
          <w:szCs w:val="20"/>
          <w:lang w:val="de-DE"/>
        </w:rPr>
        <w:t>CALs für Studenten dienen nur der Lizenzierung von PCs, die Studenten oder Einrichtungen gehören und die</w:t>
      </w:r>
      <w:r w:rsidR="003002D3">
        <w:rPr>
          <w:rFonts w:cs="Tahoma"/>
          <w:szCs w:val="20"/>
          <w:lang w:val="de-DE"/>
        </w:rPr>
        <w:t> </w:t>
      </w:r>
      <w:r w:rsidRPr="00571807">
        <w:rPr>
          <w:rFonts w:cs="Tahoma"/>
          <w:szCs w:val="20"/>
          <w:lang w:val="de-DE"/>
        </w:rPr>
        <w:t>ausschließlich für die individuelle studentische Nutzung und NICHT für die Nutzung in einem Labor oder Hörsaal bestimmt sind</w:t>
      </w:r>
      <w:r w:rsidR="006257A7">
        <w:rPr>
          <w:rFonts w:cs="Tahoma"/>
          <w:szCs w:val="20"/>
          <w:lang w:val="de-DE"/>
        </w:rPr>
        <w:t xml:space="preserve">. </w:t>
      </w:r>
    </w:p>
    <w:p w:rsidR="00E73313" w:rsidRPr="00571807" w:rsidRDefault="00E73313" w:rsidP="00E73313">
      <w:pPr>
        <w:rPr>
          <w:lang w:val="de-DE"/>
        </w:rPr>
      </w:pPr>
    </w:p>
    <w:p w:rsidR="00E73313" w:rsidRPr="00571807" w:rsidRDefault="00E73313" w:rsidP="00E73313">
      <w:pPr>
        <w:rPr>
          <w:lang w:val="de-DE"/>
        </w:rPr>
      </w:pPr>
    </w:p>
    <w:p w:rsidR="00E73313" w:rsidRPr="00571807" w:rsidRDefault="00E73313" w:rsidP="00E73313">
      <w:pPr>
        <w:pStyle w:val="Heading3"/>
        <w:rPr>
          <w:lang w:val="de-DE"/>
        </w:rPr>
      </w:pPr>
      <w:bookmarkStart w:id="1186" w:name="_41_Core_Infrastructure"/>
      <w:bookmarkStart w:id="1187" w:name="_Toc336338296"/>
      <w:bookmarkStart w:id="1188" w:name="_Toc363999039"/>
      <w:bookmarkStart w:id="1189" w:name="Srv_35CoreInfraServerSuiteStd"/>
      <w:bookmarkStart w:id="1190" w:name="Srv_32CoreInfraServerSuiteStd"/>
      <w:bookmarkStart w:id="1191" w:name="Srv_35DynCRMWorkProEnt"/>
      <w:bookmarkEnd w:id="1186"/>
      <w:r w:rsidRPr="00571807">
        <w:rPr>
          <w:rFonts w:ascii="Tahoma" w:hAnsi="Tahoma"/>
          <w:caps/>
          <w:color w:val="F66400"/>
          <w:sz w:val="22"/>
          <w:vertAlign w:val="superscript"/>
          <w:lang w:val="de-DE"/>
        </w:rPr>
        <w:t>42</w:t>
      </w:r>
      <w:r w:rsidRPr="00571807">
        <w:rPr>
          <w:rFonts w:ascii="Tahoma" w:hAnsi="Tahoma"/>
          <w:color w:val="F66400"/>
          <w:sz w:val="22"/>
          <w:lang w:val="de-DE"/>
        </w:rPr>
        <w:t xml:space="preserve"> Core Infrastructure Server Suite Standard</w:t>
      </w:r>
      <w:bookmarkEnd w:id="1187"/>
      <w:bookmarkEnd w:id="1188"/>
    </w:p>
    <w:bookmarkEnd w:id="1189"/>
    <w:bookmarkEnd w:id="1190"/>
    <w:p w:rsidR="00E73313" w:rsidRPr="00571807" w:rsidRDefault="00E73313" w:rsidP="00E73313">
      <w:pPr>
        <w:rPr>
          <w:lang w:val="de-DE"/>
        </w:rPr>
      </w:pPr>
    </w:p>
    <w:p w:rsidR="00E73313" w:rsidRPr="00571807" w:rsidRDefault="00E73313" w:rsidP="00E73313">
      <w:pPr>
        <w:spacing w:after="60"/>
        <w:ind w:left="720"/>
        <w:rPr>
          <w:lang w:val="de-DE"/>
        </w:rPr>
      </w:pPr>
      <w:r w:rsidRPr="00571807">
        <w:rPr>
          <w:rFonts w:eastAsia="Calibri" w:cs="Tahoma"/>
          <w:b/>
          <w:szCs w:val="18"/>
          <w:lang w:val="de-DE"/>
        </w:rPr>
        <w:t>Migration zu Neuem Lizenzmodell</w:t>
      </w:r>
    </w:p>
    <w:p w:rsidR="00E73313" w:rsidRPr="00571807" w:rsidRDefault="00E73313" w:rsidP="003002D3">
      <w:pPr>
        <w:ind w:left="720"/>
        <w:rPr>
          <w:lang w:val="de-DE"/>
        </w:rPr>
      </w:pPr>
      <w:r w:rsidRPr="00571807">
        <w:rPr>
          <w:rFonts w:eastAsia="Calibri" w:cs="Tahoma"/>
          <w:szCs w:val="18"/>
          <w:lang w:val="de-DE"/>
        </w:rPr>
        <w:t>Zum 1</w:t>
      </w:r>
      <w:r w:rsidR="006257A7">
        <w:rPr>
          <w:rFonts w:eastAsia="Calibri" w:cs="Tahoma"/>
          <w:szCs w:val="18"/>
          <w:lang w:val="de-DE"/>
        </w:rPr>
        <w:t xml:space="preserve">. </w:t>
      </w:r>
      <w:r w:rsidRPr="00571807">
        <w:rPr>
          <w:rFonts w:eastAsia="Calibri" w:cs="Tahoma"/>
          <w:szCs w:val="18"/>
          <w:lang w:val="de-DE"/>
        </w:rPr>
        <w:t>April 2012 wurde das Lizenzmodell für CIS geändert</w:t>
      </w:r>
      <w:r w:rsidR="006257A7">
        <w:rPr>
          <w:rFonts w:eastAsia="Calibri" w:cs="Tahoma"/>
          <w:szCs w:val="18"/>
          <w:lang w:val="de-DE"/>
        </w:rPr>
        <w:t xml:space="preserve">. </w:t>
      </w:r>
      <w:r w:rsidRPr="00571807">
        <w:rPr>
          <w:rFonts w:eastAsia="Calibri" w:cs="Tahoma"/>
          <w:szCs w:val="18"/>
          <w:lang w:val="de-DE"/>
        </w:rPr>
        <w:t>Unter neuen Beitritten, die nach dem 1</w:t>
      </w:r>
      <w:r w:rsidR="006257A7">
        <w:rPr>
          <w:rFonts w:eastAsia="Calibri" w:cs="Tahoma"/>
          <w:szCs w:val="18"/>
          <w:lang w:val="de-DE"/>
        </w:rPr>
        <w:t xml:space="preserve">. </w:t>
      </w:r>
      <w:r w:rsidRPr="00571807">
        <w:rPr>
          <w:rFonts w:eastAsia="Calibri" w:cs="Tahoma"/>
          <w:szCs w:val="18"/>
          <w:lang w:val="de-DE"/>
        </w:rPr>
        <w:t>April 2012 wirksam wurden, erworbene Lizenzen können bis zu zwei physische Prozessoren lizenzieren</w:t>
      </w:r>
      <w:r w:rsidR="006257A7">
        <w:rPr>
          <w:rFonts w:eastAsia="Calibri" w:cs="Tahoma"/>
          <w:szCs w:val="18"/>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eastAsia="Calibri" w:cs="Tahoma"/>
          <w:szCs w:val="18"/>
          <w:lang w:val="de-DE"/>
        </w:rPr>
        <w:t>Kunden, die zum 1</w:t>
      </w:r>
      <w:r w:rsidR="006257A7">
        <w:rPr>
          <w:rFonts w:eastAsia="Calibri" w:cs="Tahoma"/>
          <w:szCs w:val="18"/>
          <w:lang w:val="de-DE"/>
        </w:rPr>
        <w:t xml:space="preserve">. </w:t>
      </w:r>
      <w:r w:rsidRPr="00571807">
        <w:rPr>
          <w:rFonts w:eastAsia="Calibri" w:cs="Tahoma"/>
          <w:szCs w:val="18"/>
          <w:lang w:val="de-DE"/>
        </w:rPr>
        <w:t>April 2012 über bestehende Beitritte (die am oder vor dem 1</w:t>
      </w:r>
      <w:r w:rsidR="006257A7">
        <w:rPr>
          <w:rFonts w:eastAsia="Calibri" w:cs="Tahoma"/>
          <w:szCs w:val="18"/>
          <w:lang w:val="de-DE"/>
        </w:rPr>
        <w:t xml:space="preserve">. </w:t>
      </w:r>
      <w:r w:rsidRPr="00571807">
        <w:rPr>
          <w:rFonts w:eastAsia="Calibri" w:cs="Tahoma"/>
          <w:szCs w:val="18"/>
          <w:lang w:val="de-DE"/>
        </w:rPr>
        <w:t>April 2012 wirksam wurden) verfügen, können weiterhin True Up-Bestellungen für Lizenzen unter dem alten Modell abgeben, unter dem jede Lizenz nur einen Prozessor lizenzieren kann</w:t>
      </w:r>
      <w:r w:rsidR="006257A7">
        <w:rPr>
          <w:rFonts w:eastAsia="Calibri" w:cs="Tahoma"/>
          <w:szCs w:val="18"/>
          <w:lang w:val="de-DE"/>
        </w:rPr>
        <w:t xml:space="preserve">. </w:t>
      </w:r>
      <w:r w:rsidRPr="00571807">
        <w:rPr>
          <w:rFonts w:eastAsia="Calibri" w:cs="Tahoma"/>
          <w:szCs w:val="18"/>
          <w:lang w:val="de-DE"/>
        </w:rPr>
        <w:t>Die folgenden Migrationsrechte gelten für Lizenzen für diese Kunden:</w:t>
      </w:r>
    </w:p>
    <w:p w:rsidR="00E73313" w:rsidRPr="00571807" w:rsidRDefault="00E73313" w:rsidP="00E73313">
      <w:pPr>
        <w:pStyle w:val="ListParagraph"/>
        <w:contextualSpacing w:val="0"/>
        <w:rPr>
          <w:lang w:val="de-DE"/>
        </w:rPr>
      </w:pPr>
      <w:r w:rsidRPr="00571807">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1:1</w:t>
      </w:r>
      <w:r w:rsidR="006257A7">
        <w:rPr>
          <w:rFonts w:ascii="Tahoma" w:eastAsia="Calibri" w:hAnsi="Tahoma" w:cs="Tahoma"/>
          <w:sz w:val="18"/>
          <w:szCs w:val="18"/>
          <w:lang w:val="de-DE"/>
        </w:rPr>
        <w:t xml:space="preserve">. </w:t>
      </w:r>
      <w:r w:rsidRPr="00571807">
        <w:rPr>
          <w:rFonts w:ascii="Tahoma" w:eastAsia="Calibri" w:hAnsi="Tahoma" w:cs="Tahoma"/>
          <w:sz w:val="18"/>
          <w:szCs w:val="18"/>
          <w:lang w:val="de-DE"/>
        </w:rPr>
        <w:t>Bei Verlängerung können Kunden Software Assurance zu Lizenzen unter dem neuen Modell verlängern</w:t>
      </w:r>
      <w:r w:rsidR="006257A7">
        <w:rPr>
          <w:rFonts w:ascii="Tahoma" w:eastAsia="Calibri" w:hAnsi="Tahoma" w:cs="Tahoma"/>
          <w:sz w:val="18"/>
          <w:szCs w:val="18"/>
          <w:lang w:val="de-DE"/>
        </w:rPr>
        <w:t xml:space="preserve">. </w:t>
      </w:r>
    </w:p>
    <w:p w:rsidR="00E73313" w:rsidRPr="00571807" w:rsidRDefault="00E73313" w:rsidP="00E73313">
      <w:pPr>
        <w:rPr>
          <w:lang w:val="de-DE"/>
        </w:rPr>
      </w:pPr>
    </w:p>
    <w:p w:rsidR="00E73313" w:rsidRPr="00571807" w:rsidRDefault="00E73313" w:rsidP="00E73313">
      <w:pPr>
        <w:spacing w:after="60"/>
        <w:ind w:left="720"/>
        <w:rPr>
          <w:lang w:val="de-DE"/>
        </w:rPr>
      </w:pPr>
      <w:r w:rsidRPr="00571807">
        <w:rPr>
          <w:rFonts w:eastAsia="Calibri" w:cs="Tahoma"/>
          <w:b/>
          <w:szCs w:val="18"/>
          <w:lang w:val="de-DE"/>
        </w:rPr>
        <w:t>Herausgabe einer Neuen Version von Windows Server</w:t>
      </w:r>
    </w:p>
    <w:p w:rsidR="00E73313" w:rsidRPr="00571807" w:rsidRDefault="00E73313" w:rsidP="003002D3">
      <w:pPr>
        <w:ind w:left="720"/>
        <w:rPr>
          <w:lang w:val="de-DE"/>
        </w:rPr>
      </w:pPr>
      <w:r w:rsidRPr="00571807">
        <w:rPr>
          <w:rFonts w:eastAsia="Calibri" w:cs="Tahoma"/>
          <w:szCs w:val="18"/>
          <w:lang w:val="de-DE"/>
        </w:rPr>
        <w:t>Kunden mit Lizenzen für Core Infrastructure Server Suite Standard, die zum 1</w:t>
      </w:r>
      <w:r w:rsidR="006257A7">
        <w:rPr>
          <w:rFonts w:eastAsia="Calibri" w:cs="Tahoma"/>
          <w:szCs w:val="18"/>
          <w:lang w:val="de-DE"/>
        </w:rPr>
        <w:t xml:space="preserve">. </w:t>
      </w:r>
      <w:r w:rsidRPr="00571807">
        <w:rPr>
          <w:rFonts w:eastAsia="Calibri" w:cs="Tahoma"/>
          <w:szCs w:val="18"/>
          <w:lang w:val="de-DE"/>
        </w:rPr>
        <w:t>September 2012 über aktive</w:t>
      </w:r>
      <w:r w:rsidR="003002D3">
        <w:rPr>
          <w:rFonts w:eastAsia="Calibri" w:cs="Tahoma"/>
          <w:szCs w:val="18"/>
          <w:lang w:val="de-DE"/>
        </w:rPr>
        <w:t> </w:t>
      </w:r>
      <w:r w:rsidRPr="00571807">
        <w:rPr>
          <w:rFonts w:eastAsia="Calibri" w:cs="Tahoma"/>
          <w:szCs w:val="18"/>
          <w:lang w:val="de-DE"/>
        </w:rPr>
        <w:t>Software Assurance verfügen, sind berechtigt, die folgenden Produkte vorbehaltlich der Produktbenutzungsrechte für Core Infrastructure Server Suite Standard zu nutzen:</w:t>
      </w:r>
    </w:p>
    <w:p w:rsidR="00E73313" w:rsidRPr="00571807" w:rsidRDefault="00E73313" w:rsidP="00E73313">
      <w:pPr>
        <w:ind w:left="720"/>
        <w:rPr>
          <w:lang w:val="de-DE"/>
        </w:rPr>
      </w:pPr>
    </w:p>
    <w:p w:rsidR="00E73313" w:rsidRPr="0062435A" w:rsidRDefault="00E73313" w:rsidP="00E73313">
      <w:pPr>
        <w:numPr>
          <w:ilvl w:val="0"/>
          <w:numId w:val="23"/>
        </w:numPr>
        <w:tabs>
          <w:tab w:val="left" w:pos="1440"/>
          <w:tab w:val="left" w:pos="3510"/>
        </w:tabs>
        <w:spacing w:after="60"/>
      </w:pPr>
      <w:r>
        <w:rPr>
          <w:rFonts w:eastAsia="Calibri" w:cs="Tahoma"/>
          <w:szCs w:val="18"/>
        </w:rPr>
        <w:t>Windows Server 2012 Standard</w:t>
      </w:r>
    </w:p>
    <w:p w:rsidR="00E73313" w:rsidRPr="0062435A" w:rsidRDefault="00E73313" w:rsidP="00E73313">
      <w:pPr>
        <w:numPr>
          <w:ilvl w:val="0"/>
          <w:numId w:val="23"/>
        </w:numPr>
        <w:tabs>
          <w:tab w:val="left" w:pos="1440"/>
          <w:tab w:val="left" w:pos="3510"/>
        </w:tabs>
        <w:spacing w:after="60"/>
      </w:pPr>
      <w:r>
        <w:rPr>
          <w:rFonts w:eastAsia="Calibri" w:cs="Tahoma"/>
          <w:szCs w:val="18"/>
        </w:rPr>
        <w:t>System Center 2012 Standard</w:t>
      </w:r>
    </w:p>
    <w:p w:rsidR="00E73313" w:rsidRPr="0062435A" w:rsidRDefault="00E73313" w:rsidP="00E73313">
      <w:pPr>
        <w:tabs>
          <w:tab w:val="left" w:pos="1440"/>
          <w:tab w:val="left" w:pos="3510"/>
        </w:tabs>
      </w:pPr>
    </w:p>
    <w:p w:rsidR="00E73313" w:rsidRPr="00571807" w:rsidRDefault="00E73313" w:rsidP="00E73313">
      <w:pPr>
        <w:ind w:left="720"/>
        <w:rPr>
          <w:lang w:val="de-DE"/>
        </w:rPr>
      </w:pPr>
      <w:r w:rsidRPr="00571807">
        <w:rPr>
          <w:rFonts w:eastAsia="Calibri" w:cs="Tahoma"/>
          <w:szCs w:val="18"/>
          <w:lang w:val="de-DE"/>
        </w:rPr>
        <w:t>Für jeden Server, der ordnungsgemäß für Core Infrastructure Server Suite Standard lizenziert ist, sind Kunden berechtigt, eine Instanz von Windows Server 2008 R2 Enterprise anstelle von Windows Server Standard auszuführen</w:t>
      </w:r>
      <w:r w:rsidR="006257A7">
        <w:rPr>
          <w:rFonts w:eastAsia="Calibri" w:cs="Tahoma"/>
          <w:szCs w:val="18"/>
          <w:lang w:val="de-DE"/>
        </w:rPr>
        <w:t xml:space="preserve">. </w:t>
      </w:r>
    </w:p>
    <w:p w:rsidR="00E73313" w:rsidRPr="00571807" w:rsidRDefault="00E73313" w:rsidP="00E73313">
      <w:pPr>
        <w:ind w:left="720"/>
        <w:rPr>
          <w:lang w:val="de-DE"/>
        </w:rPr>
      </w:pPr>
    </w:p>
    <w:p w:rsidR="00E73313" w:rsidRPr="00571807" w:rsidRDefault="00E73313" w:rsidP="00E73313">
      <w:pPr>
        <w:spacing w:after="60"/>
        <w:ind w:left="720"/>
        <w:rPr>
          <w:lang w:val="de-DE"/>
        </w:rPr>
      </w:pPr>
      <w:r w:rsidRPr="00571807">
        <w:rPr>
          <w:rFonts w:eastAsia="Calibri" w:cs="Tahoma"/>
          <w:b/>
          <w:szCs w:val="18"/>
          <w:lang w:val="de-DE"/>
        </w:rPr>
        <w:t>Software Assurance-Verlängerungsangebot für Windows Server Standard- und System Center Standard-Kunden sowie Windows Server Enterprise- und System Center Standard-Kunden</w:t>
      </w:r>
    </w:p>
    <w:p w:rsidR="00E73313" w:rsidRPr="00571807" w:rsidRDefault="00E73313" w:rsidP="00E73313">
      <w:pPr>
        <w:ind w:left="720"/>
        <w:rPr>
          <w:lang w:val="de-DE"/>
        </w:rPr>
      </w:pPr>
      <w:r w:rsidRPr="00571807">
        <w:rPr>
          <w:rFonts w:eastAsia="Calibri" w:cs="Tahoma"/>
          <w:szCs w:val="18"/>
          <w:lang w:val="de-DE"/>
        </w:rPr>
        <w:t>Kunden, die über Lizenzen mit aktiver Software Assurance für alle Produkte in der nachfolgenden Tabelle A verfügen, sind berechtigt, nach Ablauf dieser Software Assurance Software Assurance für Core Infrastructure Server Suite Standard zu erwerben, ohne die zugrunde liegende Lizenz für Core Infrastructure Server Suite Standard zu erwerben</w:t>
      </w:r>
      <w:r w:rsidR="006257A7">
        <w:rPr>
          <w:rFonts w:eastAsia="Calibri" w:cs="Tahoma"/>
          <w:szCs w:val="18"/>
          <w:lang w:val="de-DE"/>
        </w:rPr>
        <w:t xml:space="preserve">. </w:t>
      </w:r>
    </w:p>
    <w:p w:rsidR="00E73313" w:rsidRPr="00571807" w:rsidRDefault="00E73313" w:rsidP="00E73313">
      <w:pPr>
        <w:ind w:left="720"/>
        <w:rPr>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E73313" w:rsidRPr="00194002" w:rsidTr="00E328C3">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73313" w:rsidRPr="00194002" w:rsidRDefault="00E73313" w:rsidP="00E328C3">
            <w:pPr>
              <w:spacing w:before="120" w:after="120" w:line="276" w:lineRule="auto"/>
              <w:ind w:left="-404"/>
              <w:jc w:val="center"/>
              <w:rPr>
                <w:rFonts w:eastAsia="Calibri" w:cs="Tahoma"/>
                <w:b/>
                <w:szCs w:val="18"/>
              </w:rPr>
            </w:pPr>
            <w:r>
              <w:rPr>
                <w:rFonts w:eastAsia="Calibri" w:cs="Tahoma"/>
                <w:b/>
                <w:szCs w:val="18"/>
              </w:rPr>
              <w:t>Tabelle A</w:t>
            </w:r>
          </w:p>
        </w:tc>
      </w:tr>
      <w:tr w:rsidR="00E73313" w:rsidRPr="00194002" w:rsidTr="00E328C3">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E73313" w:rsidRPr="00194002" w:rsidRDefault="00E73313" w:rsidP="00E328C3">
            <w:pPr>
              <w:spacing w:before="120" w:after="120" w:line="276" w:lineRule="auto"/>
              <w:ind w:left="-404"/>
              <w:jc w:val="center"/>
              <w:rPr>
                <w:rFonts w:eastAsia="Calibri" w:cs="Tahoma"/>
                <w:szCs w:val="18"/>
              </w:rPr>
            </w:pPr>
            <w:r>
              <w:rPr>
                <w:rFonts w:eastAsia="Calibri" w:cs="Tahoma"/>
                <w:szCs w:val="18"/>
              </w:rPr>
              <w:t>Windows Server Standard</w:t>
            </w:r>
          </w:p>
        </w:tc>
      </w:tr>
      <w:tr w:rsidR="00E73313" w:rsidRPr="00194002" w:rsidTr="00E328C3">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E73313" w:rsidRPr="00194002" w:rsidRDefault="00E73313" w:rsidP="00E328C3">
            <w:pPr>
              <w:spacing w:before="120" w:after="120" w:line="276" w:lineRule="auto"/>
              <w:ind w:left="-404"/>
              <w:jc w:val="center"/>
              <w:rPr>
                <w:rFonts w:eastAsia="Calibri" w:cs="Tahoma"/>
                <w:szCs w:val="18"/>
              </w:rPr>
            </w:pPr>
            <w:r>
              <w:rPr>
                <w:rFonts w:eastAsia="Calibri" w:cs="Tahoma"/>
                <w:szCs w:val="18"/>
              </w:rPr>
              <w:t>System Center Standard</w:t>
            </w:r>
          </w:p>
        </w:tc>
      </w:tr>
    </w:tbl>
    <w:p w:rsidR="00E73313" w:rsidRPr="0062435A" w:rsidRDefault="00E73313" w:rsidP="00E73313">
      <w:pPr>
        <w:ind w:left="547"/>
      </w:pPr>
    </w:p>
    <w:p w:rsidR="00E73313" w:rsidRPr="00571807" w:rsidRDefault="00E73313" w:rsidP="003002D3">
      <w:pPr>
        <w:ind w:left="720"/>
        <w:rPr>
          <w:lang w:val="de-DE"/>
        </w:rPr>
      </w:pPr>
      <w:r w:rsidRPr="00571807">
        <w:rPr>
          <w:rFonts w:eastAsia="Calibri" w:cs="Tahoma"/>
          <w:szCs w:val="18"/>
          <w:lang w:val="de-DE"/>
        </w:rPr>
        <w:t>Kunden sind berechtigt, für jeden Satz qualifizierender Lizenzen in oben aufgeführter Tabelle A Software</w:t>
      </w:r>
      <w:r w:rsidR="003002D3">
        <w:rPr>
          <w:rFonts w:eastAsia="Calibri" w:cs="Tahoma"/>
          <w:szCs w:val="18"/>
          <w:lang w:val="de-DE"/>
        </w:rPr>
        <w:t> </w:t>
      </w:r>
      <w:r w:rsidRPr="00571807">
        <w:rPr>
          <w:rFonts w:eastAsia="Calibri" w:cs="Tahoma"/>
          <w:szCs w:val="18"/>
          <w:lang w:val="de-DE"/>
        </w:rPr>
        <w:t>Assurance für eine Lizenz von Core Infrastructure Server Suite Standard zu erwerben</w:t>
      </w:r>
      <w:r w:rsidR="006257A7">
        <w:rPr>
          <w:rFonts w:eastAsia="Calibri" w:cs="Tahoma"/>
          <w:szCs w:val="18"/>
          <w:lang w:val="de-DE"/>
        </w:rPr>
        <w:t xml:space="preserve">. </w:t>
      </w:r>
    </w:p>
    <w:p w:rsidR="00E73313" w:rsidRPr="00571807" w:rsidRDefault="00E73313" w:rsidP="00E73313">
      <w:pPr>
        <w:ind w:left="720"/>
        <w:rPr>
          <w:lang w:val="de-DE"/>
        </w:rPr>
      </w:pPr>
    </w:p>
    <w:p w:rsidR="00E73313" w:rsidRPr="00571807" w:rsidRDefault="00E73313" w:rsidP="003002D3">
      <w:pPr>
        <w:ind w:left="720"/>
        <w:rPr>
          <w:lang w:val="de-DE"/>
        </w:rPr>
      </w:pPr>
      <w:r w:rsidRPr="00571807">
        <w:rPr>
          <w:rFonts w:eastAsia="Calibri" w:cs="Tahoma"/>
          <w:szCs w:val="18"/>
          <w:lang w:val="de-DE"/>
        </w:rPr>
        <w:t>Kunden, die Core Infrastructure Server Suite Standard unter diesem Angebot lizenzieren und verwenden,</w:t>
      </w:r>
      <w:r w:rsidR="003002D3">
        <w:rPr>
          <w:rFonts w:eastAsia="Calibri" w:cs="Tahoma"/>
          <w:szCs w:val="18"/>
          <w:lang w:val="de-DE"/>
        </w:rPr>
        <w:t> </w:t>
      </w:r>
      <w:r w:rsidRPr="00571807">
        <w:rPr>
          <w:rFonts w:eastAsia="Calibri" w:cs="Tahoma"/>
          <w:szCs w:val="18"/>
          <w:lang w:val="de-DE"/>
        </w:rPr>
        <w:t>können Software unter ihren qualifizierenden Lizenzen nicht mehr nutzen</w:t>
      </w:r>
      <w:r w:rsidR="006257A7">
        <w:rPr>
          <w:rFonts w:eastAsia="Calibri" w:cs="Tahoma"/>
          <w:szCs w:val="18"/>
          <w:lang w:val="de-DE"/>
        </w:rPr>
        <w:t xml:space="preserve">. </w:t>
      </w:r>
      <w:r w:rsidRPr="00571807">
        <w:rPr>
          <w:rFonts w:eastAsia="Calibri" w:cs="Tahoma"/>
          <w:szCs w:val="18"/>
          <w:lang w:val="de-DE"/>
        </w:rPr>
        <w:t>Lizenzen und Software Assurance, die unter einem Abonnementvertrag erworben wurden, sind für dieses Angebot nicht</w:t>
      </w:r>
      <w:r w:rsidR="003002D3">
        <w:rPr>
          <w:rFonts w:eastAsia="Calibri" w:cs="Tahoma"/>
          <w:szCs w:val="18"/>
          <w:lang w:val="de-DE"/>
        </w:rPr>
        <w:t> </w:t>
      </w:r>
      <w:r w:rsidRPr="00571807">
        <w:rPr>
          <w:rFonts w:eastAsia="Calibri" w:cs="Tahoma"/>
          <w:szCs w:val="18"/>
          <w:lang w:val="de-DE"/>
        </w:rPr>
        <w:t>qualifiziert</w:t>
      </w:r>
      <w:r w:rsidR="006257A7">
        <w:rPr>
          <w:rFonts w:eastAsia="Calibri" w:cs="Tahoma"/>
          <w:szCs w:val="18"/>
          <w:lang w:val="de-DE"/>
        </w:rPr>
        <w:t xml:space="preserve">. </w:t>
      </w:r>
    </w:p>
    <w:p w:rsidR="00E73313" w:rsidRDefault="00E73313" w:rsidP="00E73313">
      <w:pPr>
        <w:ind w:left="720"/>
        <w:rPr>
          <w:lang w:val="de-DE"/>
        </w:rPr>
      </w:pPr>
    </w:p>
    <w:p w:rsidR="003002D3" w:rsidRDefault="003002D3" w:rsidP="00E73313">
      <w:pPr>
        <w:ind w:left="720"/>
        <w:rPr>
          <w:lang w:val="de-DE"/>
        </w:rPr>
      </w:pPr>
    </w:p>
    <w:p w:rsidR="003002D3" w:rsidRDefault="003002D3" w:rsidP="00E73313">
      <w:pPr>
        <w:ind w:left="720"/>
        <w:rPr>
          <w:lang w:val="de-DE"/>
        </w:rPr>
      </w:pPr>
    </w:p>
    <w:p w:rsidR="00E73313" w:rsidRPr="00571807" w:rsidRDefault="00E73313" w:rsidP="00E73313">
      <w:pPr>
        <w:spacing w:after="60"/>
        <w:ind w:left="720"/>
        <w:rPr>
          <w:lang w:val="de-DE"/>
        </w:rPr>
      </w:pPr>
      <w:r w:rsidRPr="00571807">
        <w:rPr>
          <w:rFonts w:eastAsia="Calibri" w:cs="Tahoma"/>
          <w:b/>
          <w:szCs w:val="18"/>
          <w:lang w:val="de-DE"/>
        </w:rPr>
        <w:t>Step Up von Windows Server Standard oder System Center Standard zu Core Infrastructure Server Suite Standard</w:t>
      </w:r>
    </w:p>
    <w:p w:rsidR="00E73313" w:rsidRPr="00571807" w:rsidRDefault="00E73313" w:rsidP="00E73313">
      <w:pPr>
        <w:ind w:left="720"/>
        <w:rPr>
          <w:lang w:val="de-DE"/>
        </w:rPr>
      </w:pPr>
      <w:r w:rsidRPr="00571807">
        <w:rPr>
          <w:rFonts w:eastAsia="Calibri" w:cs="Tahoma"/>
          <w:szCs w:val="18"/>
          <w:lang w:val="de-DE"/>
        </w:rPr>
        <w:t>Kunden sind berechtigt, ein Step Up von Windows Server Standard oder System Center Standard zu Core Infrastructure Server Suite Standard durchzuführen, indem sie die entsprechende Step Up-Lizenz für Core Infrastructure Server Suite Standard erwerben</w:t>
      </w:r>
      <w:r w:rsidR="006257A7">
        <w:rPr>
          <w:rFonts w:eastAsia="Calibri" w:cs="Tahoma"/>
          <w:szCs w:val="18"/>
          <w:lang w:val="de-DE"/>
        </w:rPr>
        <w:t xml:space="preserve">. </w:t>
      </w:r>
      <w:r w:rsidRPr="00571807">
        <w:rPr>
          <w:rFonts w:eastAsia="Calibri" w:cs="Tahoma"/>
          <w:szCs w:val="18"/>
          <w:lang w:val="de-DE"/>
        </w:rPr>
        <w:t>Um diese Step Up-Lizenz erwerben zu können, müssen die Kunden über eine aktive Software Assurance für ihre Windows Server Standard- oder System Center Standard-Lizenz verfügen</w:t>
      </w:r>
      <w:r w:rsidR="006257A7">
        <w:rPr>
          <w:rFonts w:eastAsia="Calibri" w:cs="Tahoma"/>
          <w:szCs w:val="18"/>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eastAsia="Calibri" w:cs="Tahoma"/>
          <w:szCs w:val="18"/>
          <w:lang w:val="de-DE"/>
        </w:rPr>
        <w:t>Für jede qualifizierende Windows Server Standard-Lizenz, die der Kunde besitzt, ist der Kunde berechtigt, eine Step Up-Lizenz für Core Infrastructure Server Suite Standard zu erwerben</w:t>
      </w:r>
      <w:r w:rsidR="006257A7">
        <w:rPr>
          <w:rFonts w:eastAsia="Calibri" w:cs="Tahoma"/>
          <w:szCs w:val="18"/>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eastAsia="Calibri" w:cs="Tahoma"/>
          <w:szCs w:val="18"/>
          <w:lang w:val="de-DE"/>
        </w:rPr>
        <w:t>Für jede qualifizierende System Center Standard-Lizenz, die der Kunde besitzt, ist der Kunde berechtigt, eine Step Up-Lizenz für Core Infrastructure Server Suite Standard zu erwerben</w:t>
      </w:r>
      <w:r w:rsidR="006257A7">
        <w:rPr>
          <w:rFonts w:eastAsia="Calibri" w:cs="Tahoma"/>
          <w:szCs w:val="18"/>
          <w:lang w:val="de-DE"/>
        </w:rPr>
        <w:t xml:space="preserve">. </w:t>
      </w:r>
    </w:p>
    <w:p w:rsidR="00E73313" w:rsidRDefault="00E73313" w:rsidP="00E73313">
      <w:pPr>
        <w:ind w:left="720"/>
        <w:rPr>
          <w:lang w:val="de-DE"/>
        </w:rPr>
      </w:pPr>
    </w:p>
    <w:p w:rsidR="00F5277A" w:rsidRPr="00571807" w:rsidRDefault="00F5277A" w:rsidP="00E73313">
      <w:pPr>
        <w:ind w:left="720"/>
        <w:rPr>
          <w:lang w:val="de-DE"/>
        </w:rPr>
      </w:pPr>
    </w:p>
    <w:p w:rsidR="00E73313" w:rsidRPr="00571807" w:rsidRDefault="00E73313" w:rsidP="003002D3">
      <w:pPr>
        <w:ind w:left="720"/>
        <w:rPr>
          <w:lang w:val="de-DE"/>
        </w:rPr>
      </w:pPr>
      <w:r w:rsidRPr="00571807">
        <w:rPr>
          <w:rFonts w:eastAsia="Calibri" w:cs="Tahoma"/>
          <w:szCs w:val="18"/>
          <w:lang w:val="de-DE"/>
        </w:rPr>
        <w:t>Das Recht der Kunden zur Nutzung der Software unter der Lizenz für Core Infrastructure Server Suite Standard setzt voraus, dass die Kunden alle übrigen Zahlungsverpflichtungen in Bezug auf die Lizenz für das</w:t>
      </w:r>
      <w:r w:rsidR="003002D3">
        <w:rPr>
          <w:rFonts w:eastAsia="Calibri" w:cs="Tahoma"/>
          <w:szCs w:val="18"/>
          <w:lang w:val="de-DE"/>
        </w:rPr>
        <w:t> </w:t>
      </w:r>
      <w:r w:rsidRPr="00571807">
        <w:rPr>
          <w:rFonts w:eastAsia="Calibri" w:cs="Tahoma"/>
          <w:szCs w:val="18"/>
          <w:lang w:val="de-DE"/>
        </w:rPr>
        <w:t>qualifizierende Produkt erfüllen</w:t>
      </w:r>
      <w:r w:rsidR="006257A7">
        <w:rPr>
          <w:rFonts w:eastAsia="Calibri" w:cs="Tahoma"/>
          <w:szCs w:val="18"/>
          <w:lang w:val="de-DE"/>
        </w:rPr>
        <w:t xml:space="preserve">. </w:t>
      </w:r>
      <w:r w:rsidRPr="00571807">
        <w:rPr>
          <w:rFonts w:eastAsia="Calibri" w:cs="Tahoma"/>
          <w:szCs w:val="18"/>
          <w:lang w:val="de-DE"/>
        </w:rPr>
        <w:t>Die Lizenz für Core Infrastructure Server Suite Standard hat Vorrang vor der und ersetzt die zugrunde liegende Lizenz für das qualifizierende Produkt</w:t>
      </w:r>
      <w:r w:rsidR="006257A7">
        <w:rPr>
          <w:rFonts w:eastAsia="Calibri" w:cs="Tahoma"/>
          <w:szCs w:val="18"/>
          <w:lang w:val="de-DE"/>
        </w:rPr>
        <w:t xml:space="preserve">. </w:t>
      </w:r>
    </w:p>
    <w:p w:rsidR="00E73313" w:rsidRPr="00571807" w:rsidRDefault="00E73313" w:rsidP="00E73313">
      <w:pPr>
        <w:rPr>
          <w:lang w:val="de-D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E73313" w:rsidRPr="00194002" w:rsidTr="00E328C3">
        <w:trPr>
          <w:tblHeader/>
        </w:trPr>
        <w:tc>
          <w:tcPr>
            <w:tcW w:w="4140" w:type="dxa"/>
            <w:shd w:val="clear" w:color="auto" w:fill="FABF8F"/>
            <w:tcMar>
              <w:top w:w="0" w:type="dxa"/>
              <w:left w:w="108" w:type="dxa"/>
              <w:bottom w:w="0" w:type="dxa"/>
              <w:right w:w="108" w:type="dxa"/>
            </w:tcMar>
            <w:hideMark/>
          </w:tcPr>
          <w:p w:rsidR="00E73313" w:rsidRPr="00194002" w:rsidRDefault="00E73313" w:rsidP="00E328C3">
            <w:pPr>
              <w:spacing w:before="120" w:after="120" w:line="276" w:lineRule="auto"/>
              <w:jc w:val="center"/>
              <w:rPr>
                <w:rFonts w:eastAsia="Calibri" w:cs="Tahoma"/>
                <w:b/>
                <w:szCs w:val="18"/>
              </w:rPr>
            </w:pPr>
            <w:r>
              <w:rPr>
                <w:rFonts w:eastAsia="Calibri" w:cs="Tahoma"/>
                <w:b/>
                <w:szCs w:val="18"/>
              </w:rPr>
              <w:t>Qualifizierendes Produkt</w:t>
            </w:r>
          </w:p>
        </w:tc>
        <w:tc>
          <w:tcPr>
            <w:tcW w:w="4050" w:type="dxa"/>
            <w:shd w:val="clear" w:color="auto" w:fill="FABF8F"/>
            <w:tcMar>
              <w:top w:w="0" w:type="dxa"/>
              <w:left w:w="108" w:type="dxa"/>
              <w:bottom w:w="0" w:type="dxa"/>
              <w:right w:w="108" w:type="dxa"/>
            </w:tcMar>
            <w:hideMark/>
          </w:tcPr>
          <w:p w:rsidR="00E73313" w:rsidRPr="00194002" w:rsidRDefault="00E73313" w:rsidP="00E328C3">
            <w:pPr>
              <w:spacing w:before="120" w:after="120" w:line="276" w:lineRule="auto"/>
              <w:jc w:val="center"/>
              <w:rPr>
                <w:rFonts w:eastAsia="Calibri" w:cs="Tahoma"/>
                <w:b/>
                <w:szCs w:val="18"/>
              </w:rPr>
            </w:pPr>
            <w:r>
              <w:rPr>
                <w:rFonts w:eastAsia="Calibri" w:cs="Tahoma"/>
                <w:b/>
                <w:szCs w:val="18"/>
              </w:rPr>
              <w:t>Step Up zu</w:t>
            </w:r>
          </w:p>
        </w:tc>
      </w:tr>
      <w:tr w:rsidR="00E73313" w:rsidRPr="001B6F67" w:rsidTr="00E328C3">
        <w:tc>
          <w:tcPr>
            <w:tcW w:w="4140" w:type="dxa"/>
            <w:tcMar>
              <w:top w:w="0" w:type="dxa"/>
              <w:left w:w="108" w:type="dxa"/>
              <w:bottom w:w="0" w:type="dxa"/>
              <w:right w:w="108" w:type="dxa"/>
            </w:tcMar>
            <w:hideMark/>
          </w:tcPr>
          <w:p w:rsidR="00E73313" w:rsidRPr="00194002" w:rsidRDefault="00E73313" w:rsidP="00E328C3">
            <w:pPr>
              <w:spacing w:before="120" w:after="120" w:line="276" w:lineRule="auto"/>
              <w:rPr>
                <w:rFonts w:eastAsia="Calibri" w:cs="Tahoma"/>
                <w:szCs w:val="18"/>
              </w:rPr>
            </w:pPr>
            <w:r>
              <w:rPr>
                <w:rFonts w:eastAsia="Calibri" w:cs="Tahoma"/>
                <w:szCs w:val="18"/>
              </w:rPr>
              <w:t>Windows Server Standard</w:t>
            </w:r>
          </w:p>
        </w:tc>
        <w:tc>
          <w:tcPr>
            <w:tcW w:w="4050" w:type="dxa"/>
            <w:tcMar>
              <w:top w:w="0" w:type="dxa"/>
              <w:left w:w="108" w:type="dxa"/>
              <w:bottom w:w="0" w:type="dxa"/>
              <w:right w:w="108" w:type="dxa"/>
            </w:tcMar>
            <w:hideMark/>
          </w:tcPr>
          <w:p w:rsidR="00E73313" w:rsidRPr="00194002" w:rsidRDefault="00E73313" w:rsidP="00E328C3">
            <w:pPr>
              <w:spacing w:before="120" w:after="120" w:line="276" w:lineRule="auto"/>
              <w:rPr>
                <w:rFonts w:eastAsia="Calibri" w:cs="Tahoma"/>
                <w:szCs w:val="18"/>
                <w:lang w:val="fr-FR"/>
              </w:rPr>
            </w:pPr>
            <w:r w:rsidRPr="00571807">
              <w:rPr>
                <w:rFonts w:eastAsia="Calibri" w:cs="Tahoma"/>
                <w:szCs w:val="18"/>
                <w:lang w:val="fr-FR"/>
              </w:rPr>
              <w:t>Core Infrastructure Server Suite Standard</w:t>
            </w:r>
          </w:p>
        </w:tc>
      </w:tr>
      <w:tr w:rsidR="00E73313" w:rsidRPr="001B6F67" w:rsidTr="00E328C3">
        <w:tc>
          <w:tcPr>
            <w:tcW w:w="4140" w:type="dxa"/>
            <w:tcMar>
              <w:top w:w="0" w:type="dxa"/>
              <w:left w:w="108" w:type="dxa"/>
              <w:bottom w:w="0" w:type="dxa"/>
              <w:right w:w="108" w:type="dxa"/>
            </w:tcMar>
          </w:tcPr>
          <w:p w:rsidR="00E73313" w:rsidRPr="00194002" w:rsidRDefault="00E73313" w:rsidP="00E328C3">
            <w:pPr>
              <w:spacing w:before="120" w:after="120" w:line="276" w:lineRule="auto"/>
              <w:rPr>
                <w:rFonts w:eastAsia="Calibri" w:cs="Tahoma"/>
                <w:szCs w:val="18"/>
              </w:rPr>
            </w:pPr>
            <w:r>
              <w:rPr>
                <w:rFonts w:eastAsia="Calibri" w:cs="Tahoma"/>
                <w:szCs w:val="18"/>
              </w:rPr>
              <w:t>System Center Standard</w:t>
            </w:r>
          </w:p>
        </w:tc>
        <w:tc>
          <w:tcPr>
            <w:tcW w:w="4050" w:type="dxa"/>
            <w:tcMar>
              <w:top w:w="0" w:type="dxa"/>
              <w:left w:w="108" w:type="dxa"/>
              <w:bottom w:w="0" w:type="dxa"/>
              <w:right w:w="108" w:type="dxa"/>
            </w:tcMar>
          </w:tcPr>
          <w:p w:rsidR="00E73313" w:rsidRPr="00194002" w:rsidRDefault="00E73313" w:rsidP="00E328C3">
            <w:pPr>
              <w:spacing w:before="120" w:after="120" w:line="276" w:lineRule="auto"/>
              <w:rPr>
                <w:rFonts w:eastAsia="Calibri" w:cs="Tahoma"/>
                <w:szCs w:val="18"/>
                <w:lang w:val="fr-FR"/>
              </w:rPr>
            </w:pPr>
            <w:r w:rsidRPr="00571807">
              <w:rPr>
                <w:rFonts w:eastAsia="Calibri" w:cs="Tahoma"/>
                <w:szCs w:val="18"/>
                <w:lang w:val="fr-FR"/>
              </w:rPr>
              <w:t>Core Infrastructure Server Suite Standard</w:t>
            </w:r>
          </w:p>
        </w:tc>
      </w:tr>
    </w:tbl>
    <w:p w:rsidR="00E73313" w:rsidRPr="00571807" w:rsidRDefault="00E73313" w:rsidP="00E73313">
      <w:pPr>
        <w:rPr>
          <w:lang w:val="fr-FR"/>
        </w:rPr>
      </w:pPr>
    </w:p>
    <w:p w:rsidR="00E73313" w:rsidRPr="00571807" w:rsidRDefault="00E73313" w:rsidP="00E73313">
      <w:pPr>
        <w:rPr>
          <w:lang w:val="fr-FR"/>
        </w:rPr>
      </w:pPr>
    </w:p>
    <w:p w:rsidR="00E73313" w:rsidRPr="00571807" w:rsidRDefault="00E73313" w:rsidP="00E73313">
      <w:pPr>
        <w:pStyle w:val="Heading3"/>
        <w:rPr>
          <w:lang w:val="de-DE"/>
        </w:rPr>
      </w:pPr>
      <w:bookmarkStart w:id="1192" w:name="_38_Core_Infrastructure"/>
      <w:bookmarkStart w:id="1193" w:name="_42_Core_Infrastructure"/>
      <w:bookmarkStart w:id="1194" w:name="_Toc336338297"/>
      <w:bookmarkStart w:id="1195" w:name="_Toc363999040"/>
      <w:bookmarkStart w:id="1196" w:name="Srv_36CoreInfraServerSuiteEnt"/>
      <w:bookmarkStart w:id="1197" w:name="Srv_33CoreInfrastructureSvrSuiteEnt"/>
      <w:bookmarkEnd w:id="1192"/>
      <w:bookmarkEnd w:id="1193"/>
      <w:r w:rsidRPr="00571807">
        <w:rPr>
          <w:rFonts w:ascii="Tahoma" w:hAnsi="Tahoma"/>
          <w:caps/>
          <w:color w:val="F66400"/>
          <w:sz w:val="22"/>
          <w:vertAlign w:val="superscript"/>
          <w:lang w:val="de-DE"/>
        </w:rPr>
        <w:t>43</w:t>
      </w:r>
      <w:r w:rsidRPr="00571807">
        <w:rPr>
          <w:rFonts w:ascii="Tahoma" w:hAnsi="Tahoma"/>
          <w:color w:val="F66400"/>
          <w:sz w:val="22"/>
          <w:lang w:val="de-DE"/>
        </w:rPr>
        <w:t xml:space="preserve"> Core Infrastructure Server Suite Enterprise</w:t>
      </w:r>
      <w:bookmarkEnd w:id="1194"/>
      <w:bookmarkEnd w:id="1195"/>
    </w:p>
    <w:p w:rsidR="00E73313" w:rsidRPr="00571807" w:rsidRDefault="00E73313" w:rsidP="00E73313">
      <w:pPr>
        <w:rPr>
          <w:lang w:val="de-DE"/>
        </w:rPr>
      </w:pPr>
    </w:p>
    <w:bookmarkEnd w:id="1196"/>
    <w:bookmarkEnd w:id="1197"/>
    <w:p w:rsidR="00E73313" w:rsidRPr="00571807" w:rsidRDefault="00E73313" w:rsidP="003002D3">
      <w:pPr>
        <w:ind w:left="720"/>
        <w:rPr>
          <w:lang w:val="de-DE"/>
        </w:rPr>
      </w:pPr>
      <w:r w:rsidRPr="00571807">
        <w:rPr>
          <w:rFonts w:eastAsia="Calibri" w:cs="Tahoma"/>
          <w:szCs w:val="18"/>
          <w:lang w:val="de-DE"/>
        </w:rPr>
        <w:t>Mit Wirkung vom 1</w:t>
      </w:r>
      <w:r w:rsidR="006257A7">
        <w:rPr>
          <w:rFonts w:eastAsia="Calibri" w:cs="Tahoma"/>
          <w:szCs w:val="18"/>
          <w:lang w:val="de-DE"/>
        </w:rPr>
        <w:t xml:space="preserve">. </w:t>
      </w:r>
      <w:r w:rsidRPr="00571807">
        <w:rPr>
          <w:rFonts w:eastAsia="Calibri" w:cs="Tahoma"/>
          <w:szCs w:val="18"/>
          <w:lang w:val="de-DE"/>
        </w:rPr>
        <w:t>April 2012 stellt Microsoft Core Infrastructure Server Suite Enterprise ein</w:t>
      </w:r>
      <w:r w:rsidR="006257A7">
        <w:rPr>
          <w:rFonts w:eastAsia="Calibri" w:cs="Tahoma"/>
          <w:szCs w:val="18"/>
          <w:lang w:val="de-DE"/>
        </w:rPr>
        <w:t xml:space="preserve">. </w:t>
      </w:r>
      <w:r w:rsidRPr="00571807">
        <w:rPr>
          <w:rFonts w:eastAsia="Calibri" w:cs="Tahoma"/>
          <w:szCs w:val="18"/>
          <w:lang w:val="de-DE"/>
        </w:rPr>
        <w:t>Core Infrastructure Server Suite Enterprise-Kunden, die am 1</w:t>
      </w:r>
      <w:r w:rsidR="006257A7">
        <w:rPr>
          <w:rFonts w:eastAsia="Calibri" w:cs="Tahoma"/>
          <w:szCs w:val="18"/>
          <w:lang w:val="de-DE"/>
        </w:rPr>
        <w:t xml:space="preserve">. </w:t>
      </w:r>
      <w:r w:rsidRPr="00571807">
        <w:rPr>
          <w:rFonts w:eastAsia="Calibri" w:cs="Tahoma"/>
          <w:szCs w:val="18"/>
          <w:lang w:val="de-DE"/>
        </w:rPr>
        <w:t>April 2012 über aktive Software Assurance verfügen, sind für jede Lizenz für Core Infrastructure Server Suite Enterprise mit Software Assurance, die sie</w:t>
      </w:r>
      <w:r w:rsidR="003002D3">
        <w:rPr>
          <w:rFonts w:eastAsia="Calibri" w:cs="Tahoma"/>
          <w:szCs w:val="18"/>
          <w:lang w:val="de-DE"/>
        </w:rPr>
        <w:t> </w:t>
      </w:r>
      <w:r w:rsidRPr="00571807">
        <w:rPr>
          <w:rFonts w:eastAsia="Calibri" w:cs="Tahoma"/>
          <w:szCs w:val="18"/>
          <w:lang w:val="de-DE"/>
        </w:rPr>
        <w:t>an dem Datum besitzen, zu einer Lizenz für Core Infrastructure Server Standard berechtigt</w:t>
      </w:r>
      <w:r w:rsidR="006257A7">
        <w:rPr>
          <w:rFonts w:eastAsia="Calibri" w:cs="Tahoma"/>
          <w:szCs w:val="18"/>
          <w:lang w:val="de-DE"/>
        </w:rPr>
        <w:t xml:space="preserve">. </w:t>
      </w:r>
      <w:r w:rsidRPr="00571807">
        <w:rPr>
          <w:rFonts w:eastAsia="Calibri" w:cs="Tahoma"/>
          <w:szCs w:val="18"/>
          <w:lang w:val="de-DE"/>
        </w:rPr>
        <w:t>Lizenzen für Core Infrastructure Server Suite Standard, die unter diesem Angebot gewährt werden, umfassen Software Assurance, die bei Ablauf der Software Assurance für ihre qualifizierenden Core Infrastructure Server Suite Enterprise-Lizenzen endet</w:t>
      </w:r>
      <w:r w:rsidR="006257A7">
        <w:rPr>
          <w:rFonts w:eastAsia="Calibri" w:cs="Tahoma"/>
          <w:szCs w:val="18"/>
          <w:lang w:val="de-DE"/>
        </w:rPr>
        <w:t xml:space="preserve">. </w:t>
      </w:r>
      <w:r w:rsidRPr="00571807">
        <w:rPr>
          <w:rFonts w:eastAsia="Calibri" w:cs="Tahoma"/>
          <w:szCs w:val="18"/>
          <w:lang w:val="de-DE"/>
        </w:rPr>
        <w:t>Kunden, die Core Infrastructure Server Suite Standard unter diesem Angebot verwenden, können Software unter ihren qualifizierenden Lizenzen nicht mehr nutzen</w:t>
      </w:r>
      <w:r w:rsidR="006257A7">
        <w:rPr>
          <w:rFonts w:eastAsia="Calibri" w:cs="Tahoma"/>
          <w:szCs w:val="18"/>
          <w:lang w:val="de-DE"/>
        </w:rPr>
        <w:t xml:space="preserve">. </w:t>
      </w:r>
      <w:r w:rsidRPr="00571807">
        <w:rPr>
          <w:rFonts w:eastAsia="Calibri" w:cs="Tahoma"/>
          <w:szCs w:val="18"/>
          <w:lang w:val="de-DE"/>
        </w:rPr>
        <w:t>Dieser Produkthinweis und die Dokumentation der qualifizierenden Lizenzen des Kunden belegt sein Recht, Core Infrastructure Server Suite Standard unter diesem Angebot zu verwenden</w:t>
      </w:r>
      <w:r w:rsidR="006257A7">
        <w:rPr>
          <w:rFonts w:eastAsia="Calibri" w:cs="Tahoma"/>
          <w:szCs w:val="18"/>
          <w:lang w:val="de-DE"/>
        </w:rPr>
        <w:t xml:space="preserve">. </w:t>
      </w:r>
      <w:r w:rsidRPr="00571807">
        <w:rPr>
          <w:rFonts w:eastAsia="Calibri" w:cs="Tahoma"/>
          <w:szCs w:val="18"/>
          <w:lang w:val="de-DE"/>
        </w:rPr>
        <w:t>Dieses Recht endet mit Ab</w:t>
      </w:r>
      <w:bookmarkStart w:id="1198" w:name="Srv_34CoreInfraSvrSuiteDatacenter"/>
      <w:r w:rsidRPr="00571807">
        <w:rPr>
          <w:rFonts w:eastAsia="Calibri" w:cs="Tahoma"/>
          <w:szCs w:val="18"/>
          <w:lang w:val="de-DE"/>
        </w:rPr>
        <w:t>lauf der qualifizierenden Lizenzen</w:t>
      </w:r>
      <w:r w:rsidR="006257A7">
        <w:rPr>
          <w:rFonts w:eastAsia="Calibri" w:cs="Tahoma"/>
          <w:szCs w:val="18"/>
          <w:lang w:val="de-DE"/>
        </w:rPr>
        <w:t xml:space="preserve">. </w:t>
      </w:r>
    </w:p>
    <w:p w:rsidR="00E73313" w:rsidRPr="00571807" w:rsidRDefault="00E73313" w:rsidP="00E73313">
      <w:pPr>
        <w:rPr>
          <w:lang w:val="de-DE"/>
        </w:rPr>
      </w:pPr>
    </w:p>
    <w:p w:rsidR="00E73313" w:rsidRPr="00571807" w:rsidRDefault="00E73313" w:rsidP="00E73313">
      <w:pPr>
        <w:rPr>
          <w:lang w:val="de-DE"/>
        </w:rPr>
      </w:pPr>
    </w:p>
    <w:p w:rsidR="00E73313" w:rsidRPr="00571807" w:rsidRDefault="00E73313" w:rsidP="00E73313">
      <w:pPr>
        <w:pStyle w:val="Heading3"/>
        <w:rPr>
          <w:lang w:val="de-DE"/>
        </w:rPr>
      </w:pPr>
      <w:bookmarkStart w:id="1199" w:name="_39_Core_Infrastructure"/>
      <w:bookmarkStart w:id="1200" w:name="_43_Core_Infrastructure"/>
      <w:bookmarkStart w:id="1201" w:name="_44_Core_Infrastructure"/>
      <w:bookmarkStart w:id="1202" w:name="_Toc336338298"/>
      <w:bookmarkStart w:id="1203" w:name="_Toc363999041"/>
      <w:bookmarkStart w:id="1204" w:name="Srv_37CoreInfraServerSuiteData"/>
      <w:bookmarkEnd w:id="1199"/>
      <w:bookmarkEnd w:id="1200"/>
      <w:bookmarkEnd w:id="1201"/>
      <w:r w:rsidRPr="00571807">
        <w:rPr>
          <w:rFonts w:ascii="Tahoma" w:hAnsi="Tahoma"/>
          <w:caps/>
          <w:color w:val="F66400"/>
          <w:sz w:val="22"/>
          <w:vertAlign w:val="superscript"/>
          <w:lang w:val="de-DE"/>
        </w:rPr>
        <w:t>44</w:t>
      </w:r>
      <w:r w:rsidRPr="00571807">
        <w:rPr>
          <w:rFonts w:ascii="Tahoma" w:hAnsi="Tahoma"/>
          <w:color w:val="F66400"/>
          <w:sz w:val="22"/>
          <w:lang w:val="de-DE"/>
        </w:rPr>
        <w:t xml:space="preserve"> Core Infrastructure Server Suite Datacenter</w:t>
      </w:r>
      <w:bookmarkEnd w:id="1198"/>
      <w:bookmarkEnd w:id="1202"/>
      <w:bookmarkEnd w:id="1203"/>
    </w:p>
    <w:bookmarkEnd w:id="1204"/>
    <w:p w:rsidR="00E73313" w:rsidRPr="00571807" w:rsidRDefault="00E73313" w:rsidP="00E73313">
      <w:pPr>
        <w:rPr>
          <w:lang w:val="de-DE"/>
        </w:rPr>
      </w:pPr>
    </w:p>
    <w:p w:rsidR="00E73313" w:rsidRPr="00571807" w:rsidRDefault="00E73313" w:rsidP="00E73313">
      <w:pPr>
        <w:spacing w:after="60"/>
        <w:ind w:left="720"/>
        <w:rPr>
          <w:lang w:val="de-DE"/>
        </w:rPr>
      </w:pPr>
      <w:r w:rsidRPr="00571807">
        <w:rPr>
          <w:rFonts w:eastAsia="Calibri" w:cs="Tahoma"/>
          <w:b/>
          <w:szCs w:val="18"/>
          <w:lang w:val="de-DE"/>
        </w:rPr>
        <w:t>Migration zu Neuer Lizenzmethodik</w:t>
      </w:r>
    </w:p>
    <w:p w:rsidR="00E73313" w:rsidRPr="00571807" w:rsidRDefault="00E73313" w:rsidP="003002D3">
      <w:pPr>
        <w:ind w:left="720"/>
        <w:rPr>
          <w:lang w:val="de-DE"/>
        </w:rPr>
      </w:pPr>
      <w:r w:rsidRPr="00571807">
        <w:rPr>
          <w:rFonts w:eastAsia="Calibri" w:cs="Tahoma"/>
          <w:szCs w:val="18"/>
          <w:lang w:val="de-DE"/>
        </w:rPr>
        <w:t>Zum 1</w:t>
      </w:r>
      <w:r w:rsidR="006257A7">
        <w:rPr>
          <w:rFonts w:eastAsia="Calibri" w:cs="Tahoma"/>
          <w:szCs w:val="18"/>
          <w:lang w:val="de-DE"/>
        </w:rPr>
        <w:t xml:space="preserve">. </w:t>
      </w:r>
      <w:r w:rsidRPr="00571807">
        <w:rPr>
          <w:rFonts w:eastAsia="Calibri" w:cs="Tahoma"/>
          <w:szCs w:val="18"/>
          <w:lang w:val="de-DE"/>
        </w:rPr>
        <w:t>April 2012 wurde das Lizenzmodell für CIS geändert</w:t>
      </w:r>
      <w:r w:rsidR="006257A7">
        <w:rPr>
          <w:rFonts w:eastAsia="Calibri" w:cs="Tahoma"/>
          <w:szCs w:val="18"/>
          <w:lang w:val="de-DE"/>
        </w:rPr>
        <w:t xml:space="preserve">. </w:t>
      </w:r>
      <w:r w:rsidRPr="00571807">
        <w:rPr>
          <w:rFonts w:eastAsia="Calibri" w:cs="Tahoma"/>
          <w:szCs w:val="18"/>
          <w:lang w:val="de-DE"/>
        </w:rPr>
        <w:t>Unter neuen Beitritten, die nach dem 1</w:t>
      </w:r>
      <w:r w:rsidR="006257A7">
        <w:rPr>
          <w:rFonts w:eastAsia="Calibri" w:cs="Tahoma"/>
          <w:szCs w:val="18"/>
          <w:lang w:val="de-DE"/>
        </w:rPr>
        <w:t xml:space="preserve">. </w:t>
      </w:r>
      <w:r w:rsidRPr="00571807">
        <w:rPr>
          <w:rFonts w:eastAsia="Calibri" w:cs="Tahoma"/>
          <w:szCs w:val="18"/>
          <w:lang w:val="de-DE"/>
        </w:rPr>
        <w:t>April 2012 wirksam wurden, erworbene Lizenzen können bis zu zwei physische Prozessoren lizenzieren</w:t>
      </w:r>
      <w:r w:rsidR="006257A7">
        <w:rPr>
          <w:rFonts w:eastAsia="Calibri" w:cs="Tahoma"/>
          <w:szCs w:val="18"/>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eastAsia="Calibri" w:cs="Tahoma"/>
          <w:szCs w:val="18"/>
          <w:lang w:val="de-DE"/>
        </w:rPr>
        <w:t>Kunden, die zum 1</w:t>
      </w:r>
      <w:r w:rsidR="006257A7">
        <w:rPr>
          <w:rFonts w:eastAsia="Calibri" w:cs="Tahoma"/>
          <w:szCs w:val="18"/>
          <w:lang w:val="de-DE"/>
        </w:rPr>
        <w:t xml:space="preserve">. </w:t>
      </w:r>
      <w:r w:rsidRPr="00571807">
        <w:rPr>
          <w:rFonts w:eastAsia="Calibri" w:cs="Tahoma"/>
          <w:szCs w:val="18"/>
          <w:lang w:val="de-DE"/>
        </w:rPr>
        <w:t>April 2012 über bestehende Beitritte (die am oder vor dem 1</w:t>
      </w:r>
      <w:r w:rsidR="006257A7">
        <w:rPr>
          <w:rFonts w:eastAsia="Calibri" w:cs="Tahoma"/>
          <w:szCs w:val="18"/>
          <w:lang w:val="de-DE"/>
        </w:rPr>
        <w:t xml:space="preserve">. </w:t>
      </w:r>
      <w:r w:rsidRPr="00571807">
        <w:rPr>
          <w:rFonts w:eastAsia="Calibri" w:cs="Tahoma"/>
          <w:szCs w:val="18"/>
          <w:lang w:val="de-DE"/>
        </w:rPr>
        <w:t>April 2012 wirksam wurden) verfügen, können weiterhin True Up-Bestellungen für Lizenzen unter dem alten Modell abgeben, unter dem jede Lizenz nur einen Prozessor lizenzieren kann</w:t>
      </w:r>
      <w:r w:rsidR="006257A7">
        <w:rPr>
          <w:rFonts w:eastAsia="Calibri" w:cs="Tahoma"/>
          <w:szCs w:val="18"/>
          <w:lang w:val="de-DE"/>
        </w:rPr>
        <w:t xml:space="preserve">. </w:t>
      </w:r>
      <w:r w:rsidRPr="00571807">
        <w:rPr>
          <w:rFonts w:eastAsia="Calibri" w:cs="Tahoma"/>
          <w:szCs w:val="18"/>
          <w:lang w:val="de-DE"/>
        </w:rPr>
        <w:t>Die folgenden Migrationsrechte gelten für Lizenzen für diese Kunden:</w:t>
      </w:r>
    </w:p>
    <w:p w:rsidR="00E73313" w:rsidRPr="00571807" w:rsidRDefault="00E73313" w:rsidP="00E73313">
      <w:pPr>
        <w:ind w:left="720"/>
        <w:rPr>
          <w:lang w:val="de-DE"/>
        </w:rPr>
      </w:pPr>
    </w:p>
    <w:p w:rsidR="00E73313" w:rsidRPr="00571807" w:rsidRDefault="00E73313" w:rsidP="00E73313">
      <w:pPr>
        <w:pStyle w:val="ListParagraph"/>
        <w:contextualSpacing w:val="0"/>
        <w:rPr>
          <w:lang w:val="de-DE"/>
        </w:rPr>
      </w:pPr>
      <w:r w:rsidRPr="00571807">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2:1, sodass zwei Lizenzen unter dem alten Modell einer Lizenz unter dem neuen Modell entsprechen</w:t>
      </w:r>
      <w:r w:rsidR="006257A7">
        <w:rPr>
          <w:rFonts w:ascii="Tahoma" w:eastAsia="Calibri" w:hAnsi="Tahoma" w:cs="Tahoma"/>
          <w:sz w:val="18"/>
          <w:szCs w:val="18"/>
          <w:lang w:val="de-DE"/>
        </w:rPr>
        <w:t xml:space="preserve">. </w:t>
      </w:r>
      <w:r w:rsidRPr="00571807">
        <w:rPr>
          <w:rFonts w:ascii="Tahoma" w:eastAsia="Calibri" w:hAnsi="Tahoma" w:cs="Tahoma"/>
          <w:sz w:val="18"/>
          <w:szCs w:val="18"/>
          <w:lang w:val="de-DE"/>
        </w:rPr>
        <w:t>Bei Verlängerung können Kunden Software Assurance zu Lizenzen unter dem neuen Modell verlängern</w:t>
      </w:r>
      <w:r w:rsidR="006257A7">
        <w:rPr>
          <w:rFonts w:ascii="Tahoma" w:eastAsia="Calibri" w:hAnsi="Tahoma" w:cs="Tahoma"/>
          <w:sz w:val="18"/>
          <w:szCs w:val="18"/>
          <w:lang w:val="de-DE"/>
        </w:rPr>
        <w:t xml:space="preserve">. </w:t>
      </w:r>
    </w:p>
    <w:p w:rsidR="00E73313" w:rsidRPr="00571807" w:rsidRDefault="00E73313" w:rsidP="00E73313">
      <w:pPr>
        <w:keepNext/>
        <w:spacing w:after="60"/>
        <w:ind w:left="720"/>
        <w:rPr>
          <w:lang w:val="de-DE"/>
        </w:rPr>
      </w:pPr>
      <w:r w:rsidRPr="00571807">
        <w:rPr>
          <w:rFonts w:eastAsia="Calibri" w:cs="Tahoma"/>
          <w:b/>
          <w:szCs w:val="18"/>
          <w:lang w:val="de-DE"/>
        </w:rPr>
        <w:t>Herausgabe einer Neuen Version von Windows Server</w:t>
      </w:r>
    </w:p>
    <w:p w:rsidR="00E73313" w:rsidRPr="00571807" w:rsidRDefault="00E73313" w:rsidP="003002D3">
      <w:pPr>
        <w:ind w:left="720"/>
        <w:rPr>
          <w:lang w:val="de-DE"/>
        </w:rPr>
      </w:pPr>
      <w:r w:rsidRPr="00571807">
        <w:rPr>
          <w:rFonts w:eastAsia="Calibri" w:cs="Tahoma"/>
          <w:szCs w:val="18"/>
          <w:lang w:val="de-DE"/>
        </w:rPr>
        <w:t>Kunden mit Lizenzen für Core Infrastructure Server Suite Datacenter, die zum 1</w:t>
      </w:r>
      <w:r w:rsidR="006257A7">
        <w:rPr>
          <w:rFonts w:eastAsia="Calibri" w:cs="Tahoma"/>
          <w:szCs w:val="18"/>
          <w:lang w:val="de-DE"/>
        </w:rPr>
        <w:t xml:space="preserve">. </w:t>
      </w:r>
      <w:r w:rsidRPr="00571807">
        <w:rPr>
          <w:rFonts w:eastAsia="Calibri" w:cs="Tahoma"/>
          <w:szCs w:val="18"/>
          <w:lang w:val="de-DE"/>
        </w:rPr>
        <w:t>September 2012 über</w:t>
      </w:r>
      <w:r w:rsidR="003002D3">
        <w:rPr>
          <w:rFonts w:eastAsia="Calibri" w:cs="Tahoma"/>
          <w:szCs w:val="18"/>
          <w:lang w:val="de-DE"/>
        </w:rPr>
        <w:t> </w:t>
      </w:r>
      <w:r w:rsidRPr="00571807">
        <w:rPr>
          <w:rFonts w:eastAsia="Calibri" w:cs="Tahoma"/>
          <w:szCs w:val="18"/>
          <w:lang w:val="de-DE"/>
        </w:rPr>
        <w:t>aktive Software Assurance verfügen, sind berechtigt, die folgenden Produkte vorbehaltlich der Produktbenutzungsrechte für Core Infrastructure Server Suite Datacenter zu nutzen:</w:t>
      </w:r>
    </w:p>
    <w:p w:rsidR="00E73313" w:rsidRPr="00571807" w:rsidRDefault="00E73313" w:rsidP="00E73313">
      <w:pPr>
        <w:ind w:left="720"/>
        <w:rPr>
          <w:lang w:val="de-DE"/>
        </w:rPr>
      </w:pPr>
    </w:p>
    <w:p w:rsidR="00E73313" w:rsidRPr="0062435A" w:rsidRDefault="00E73313" w:rsidP="00E73313">
      <w:pPr>
        <w:numPr>
          <w:ilvl w:val="0"/>
          <w:numId w:val="115"/>
        </w:numPr>
        <w:spacing w:after="60"/>
        <w:ind w:left="1440"/>
      </w:pPr>
      <w:r>
        <w:rPr>
          <w:rFonts w:eastAsia="Calibri" w:cs="Tahoma"/>
          <w:szCs w:val="18"/>
        </w:rPr>
        <w:t>Windows Server 2012 Datacenter</w:t>
      </w:r>
    </w:p>
    <w:p w:rsidR="00E73313" w:rsidRPr="0062435A" w:rsidRDefault="00E73313" w:rsidP="00E73313">
      <w:pPr>
        <w:numPr>
          <w:ilvl w:val="0"/>
          <w:numId w:val="115"/>
        </w:numPr>
        <w:spacing w:after="60"/>
        <w:ind w:left="1440"/>
      </w:pPr>
      <w:r>
        <w:rPr>
          <w:rFonts w:eastAsia="Calibri" w:cs="Tahoma"/>
          <w:szCs w:val="18"/>
        </w:rPr>
        <w:t>System Center 2012 Datacenter</w:t>
      </w:r>
    </w:p>
    <w:p w:rsidR="00E73313" w:rsidRDefault="00E73313" w:rsidP="00E73313"/>
    <w:p w:rsidR="00F5277A" w:rsidRDefault="00F5277A" w:rsidP="00E73313"/>
    <w:p w:rsidR="00F5277A" w:rsidRDefault="00F5277A" w:rsidP="00E73313"/>
    <w:p w:rsidR="00F5277A" w:rsidRDefault="00F5277A" w:rsidP="00E73313"/>
    <w:p w:rsidR="00F5277A" w:rsidRDefault="00F5277A" w:rsidP="00E73313"/>
    <w:p w:rsidR="00F5277A" w:rsidRPr="0062435A" w:rsidRDefault="00F5277A" w:rsidP="00E73313"/>
    <w:p w:rsidR="00E73313" w:rsidRPr="00571807" w:rsidRDefault="00E73313" w:rsidP="00E73313">
      <w:pPr>
        <w:spacing w:after="60"/>
        <w:ind w:left="720"/>
        <w:rPr>
          <w:lang w:val="de-DE"/>
        </w:rPr>
      </w:pPr>
      <w:r w:rsidRPr="00571807">
        <w:rPr>
          <w:rFonts w:eastAsia="Calibri" w:cs="Tahoma"/>
          <w:b/>
          <w:szCs w:val="18"/>
          <w:lang w:val="de-DE"/>
        </w:rPr>
        <w:t>Software Assurance-Verlängerungsangebot für Windows Server Datacenter- und System Center Datacenter-Kunden</w:t>
      </w:r>
    </w:p>
    <w:p w:rsidR="00E73313" w:rsidRPr="00571807" w:rsidRDefault="00E73313" w:rsidP="00E73313">
      <w:pPr>
        <w:ind w:left="720"/>
        <w:rPr>
          <w:lang w:val="de-DE"/>
        </w:rPr>
      </w:pPr>
      <w:r w:rsidRPr="00571807">
        <w:rPr>
          <w:rFonts w:eastAsia="Calibri" w:cs="Tahoma"/>
          <w:szCs w:val="18"/>
          <w:lang w:val="de-DE"/>
        </w:rPr>
        <w:t>Kunden, die über Lizenzen mit aktiver Software Assurance für alle Produkte in der nachfolgenden Tabelle C verfügen, sind berechtigt, nach Ablauf dieser Software Assurance Software Assurance für Core Infrastructure Server Suite Datacenter zu erwerben, ohne die zugrunde liegenden Lizenzen für Core Infrastructure Server Suite Datacenter zu erwerben</w:t>
      </w:r>
      <w:r w:rsidR="006257A7">
        <w:rPr>
          <w:rFonts w:eastAsia="Calibri" w:cs="Tahoma"/>
          <w:szCs w:val="18"/>
          <w:lang w:val="de-DE"/>
        </w:rPr>
        <w:t xml:space="preserve">. </w:t>
      </w:r>
    </w:p>
    <w:p w:rsidR="00E73313" w:rsidRPr="00571807" w:rsidRDefault="00E73313" w:rsidP="00E73313">
      <w:pPr>
        <w:ind w:left="720"/>
        <w:rPr>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E73313" w:rsidRPr="001E68E2" w:rsidTr="00E328C3">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E73313" w:rsidRPr="001E68E2" w:rsidRDefault="00E73313" w:rsidP="00E328C3">
            <w:pPr>
              <w:keepNext/>
              <w:tabs>
                <w:tab w:val="left" w:pos="3120"/>
                <w:tab w:val="center" w:pos="3591"/>
              </w:tabs>
              <w:spacing w:before="120" w:after="120" w:line="276" w:lineRule="auto"/>
              <w:jc w:val="center"/>
              <w:rPr>
                <w:rFonts w:eastAsia="Calibri" w:cs="Tahoma"/>
                <w:b/>
                <w:szCs w:val="18"/>
              </w:rPr>
            </w:pPr>
            <w:r>
              <w:rPr>
                <w:rFonts w:eastAsia="Calibri" w:cs="Tahoma"/>
                <w:b/>
                <w:szCs w:val="18"/>
              </w:rPr>
              <w:t>Tabelle C</w:t>
            </w:r>
          </w:p>
        </w:tc>
      </w:tr>
      <w:tr w:rsidR="00E73313" w:rsidRPr="001E68E2" w:rsidTr="00E328C3">
        <w:tc>
          <w:tcPr>
            <w:tcW w:w="4788" w:type="dxa"/>
            <w:tcBorders>
              <w:top w:val="single" w:sz="4" w:space="0" w:color="000000"/>
              <w:left w:val="single" w:sz="4" w:space="0" w:color="000000"/>
              <w:bottom w:val="single" w:sz="4" w:space="0" w:color="000000"/>
              <w:right w:val="single" w:sz="4" w:space="0" w:color="000000"/>
            </w:tcBorders>
            <w:vAlign w:val="center"/>
            <w:hideMark/>
          </w:tcPr>
          <w:p w:rsidR="00E73313" w:rsidRPr="00026546" w:rsidRDefault="00E73313" w:rsidP="00E328C3">
            <w:pPr>
              <w:keepNext/>
              <w:tabs>
                <w:tab w:val="left" w:pos="3120"/>
                <w:tab w:val="center" w:pos="3591"/>
              </w:tabs>
              <w:spacing w:before="120" w:after="120" w:line="276" w:lineRule="auto"/>
              <w:jc w:val="center"/>
              <w:rPr>
                <w:rFonts w:eastAsia="Calibri" w:cs="Tahoma"/>
                <w:b/>
                <w:szCs w:val="18"/>
              </w:rPr>
            </w:pPr>
            <w:r>
              <w:rPr>
                <w:rFonts w:eastAsia="Calibri" w:cs="Tahoma"/>
                <w:b/>
                <w:szCs w:val="18"/>
              </w:rPr>
              <w:t>Windows Server Datacenter</w:t>
            </w:r>
          </w:p>
        </w:tc>
      </w:tr>
      <w:tr w:rsidR="00E73313" w:rsidRPr="001E68E2" w:rsidTr="00E328C3">
        <w:tc>
          <w:tcPr>
            <w:tcW w:w="4788" w:type="dxa"/>
            <w:tcBorders>
              <w:top w:val="single" w:sz="4" w:space="0" w:color="000000"/>
              <w:left w:val="single" w:sz="4" w:space="0" w:color="000000"/>
              <w:bottom w:val="single" w:sz="4" w:space="0" w:color="000000"/>
              <w:right w:val="single" w:sz="4" w:space="0" w:color="000000"/>
            </w:tcBorders>
            <w:vAlign w:val="center"/>
            <w:hideMark/>
          </w:tcPr>
          <w:p w:rsidR="00E73313" w:rsidRPr="00026546" w:rsidRDefault="00E73313" w:rsidP="00E328C3">
            <w:pPr>
              <w:keepNext/>
              <w:tabs>
                <w:tab w:val="left" w:pos="3120"/>
                <w:tab w:val="center" w:pos="3591"/>
              </w:tabs>
              <w:spacing w:before="120" w:after="120" w:line="276" w:lineRule="auto"/>
              <w:jc w:val="center"/>
              <w:rPr>
                <w:rFonts w:eastAsia="Calibri" w:cs="Tahoma"/>
                <w:b/>
                <w:szCs w:val="18"/>
              </w:rPr>
            </w:pPr>
            <w:r>
              <w:rPr>
                <w:rFonts w:eastAsia="Calibri" w:cs="Tahoma"/>
                <w:b/>
                <w:szCs w:val="18"/>
              </w:rPr>
              <w:t>System Center Datacenter</w:t>
            </w:r>
          </w:p>
        </w:tc>
      </w:tr>
    </w:tbl>
    <w:p w:rsidR="00E73313" w:rsidRPr="0062435A" w:rsidRDefault="00E73313" w:rsidP="00E73313">
      <w:pPr>
        <w:ind w:left="547"/>
      </w:pPr>
    </w:p>
    <w:p w:rsidR="00E73313" w:rsidRPr="00571807" w:rsidRDefault="00E73313" w:rsidP="00E73313">
      <w:pPr>
        <w:ind w:left="720"/>
        <w:rPr>
          <w:lang w:val="de-DE"/>
        </w:rPr>
      </w:pPr>
      <w:r>
        <w:rPr>
          <w:rFonts w:eastAsia="Calibri" w:cs="Tahoma"/>
          <w:color w:val="000000"/>
          <w:szCs w:val="18"/>
        </w:rPr>
        <w:t>Kunden sind berechtigt, für jede Kombination aus einer qualifizierenden Windows Server Datacenter-Lizenz und einer qualifizierende System Center Datacenter-Lizenzen Software Assurance für eine Lizenz von Core Infrastructure Server Suite Datacenter zu erwerben</w:t>
      </w:r>
      <w:r w:rsidR="006257A7">
        <w:rPr>
          <w:rFonts w:eastAsia="Calibri" w:cs="Tahoma"/>
          <w:color w:val="000000"/>
          <w:szCs w:val="18"/>
        </w:rPr>
        <w:t xml:space="preserve">. </w:t>
      </w:r>
      <w:r w:rsidRPr="00571807">
        <w:rPr>
          <w:rFonts w:eastAsia="Calibri" w:cs="Tahoma"/>
          <w:color w:val="000000"/>
          <w:szCs w:val="18"/>
          <w:lang w:val="de-DE"/>
        </w:rPr>
        <w:t>Kunden, die Core Infrastructure Server Suite Datacenter unter diesem Angebot lizenzieren und verwenden, können Software unter ihren qualifizierenden Lizenzen nicht mehr nutzen</w:t>
      </w:r>
      <w:r w:rsidR="006257A7">
        <w:rPr>
          <w:rFonts w:eastAsia="Calibri" w:cs="Tahoma"/>
          <w:color w:val="000000"/>
          <w:szCs w:val="18"/>
          <w:lang w:val="de-DE"/>
        </w:rPr>
        <w:t xml:space="preserve">. </w:t>
      </w:r>
      <w:r w:rsidRPr="00571807">
        <w:rPr>
          <w:rFonts w:eastAsia="Calibri" w:cs="Tahoma"/>
          <w:color w:val="000000"/>
          <w:szCs w:val="18"/>
          <w:lang w:val="de-DE"/>
        </w:rPr>
        <w:t>Lizenzen und Software Assurance, die unter einem Abonnementvertrag erworben wurden, sind für dieses Angebot nicht qualifiziert</w:t>
      </w:r>
      <w:r w:rsidR="006257A7">
        <w:rPr>
          <w:rFonts w:eastAsia="Calibri" w:cs="Tahoma"/>
          <w:color w:val="000000"/>
          <w:szCs w:val="18"/>
          <w:lang w:val="de-DE"/>
        </w:rPr>
        <w:t xml:space="preserve">. </w:t>
      </w:r>
    </w:p>
    <w:p w:rsidR="00E73313" w:rsidRPr="00571807" w:rsidRDefault="00E73313" w:rsidP="00E73313">
      <w:pPr>
        <w:ind w:left="540"/>
        <w:rPr>
          <w:lang w:val="de-DE"/>
        </w:rPr>
      </w:pPr>
    </w:p>
    <w:p w:rsidR="00E73313" w:rsidRPr="00571807" w:rsidRDefault="00E73313" w:rsidP="00E73313">
      <w:pPr>
        <w:spacing w:after="60"/>
        <w:ind w:left="720"/>
        <w:rPr>
          <w:lang w:val="de-DE"/>
        </w:rPr>
      </w:pPr>
      <w:r w:rsidRPr="00571807">
        <w:rPr>
          <w:rFonts w:eastAsia="Calibri" w:cs="Tahoma"/>
          <w:b/>
          <w:szCs w:val="18"/>
          <w:lang w:val="de-DE"/>
        </w:rPr>
        <w:t>Step Up von Windows Server Datacenter oder System Center Datacenter zu Core Infrastructure Server Suite Datacenter</w:t>
      </w:r>
    </w:p>
    <w:p w:rsidR="00E73313" w:rsidRPr="00571807" w:rsidRDefault="00E73313" w:rsidP="003002D3">
      <w:pPr>
        <w:ind w:left="720"/>
        <w:rPr>
          <w:lang w:val="de-DE"/>
        </w:rPr>
      </w:pPr>
      <w:r w:rsidRPr="00571807">
        <w:rPr>
          <w:rFonts w:eastAsia="Calibri" w:cs="Tahoma"/>
          <w:szCs w:val="18"/>
          <w:lang w:val="de-DE"/>
        </w:rPr>
        <w:t>Kunden sind berechtigt, ein Step Up von Windows Server Datacenter oder System Center Datacenter zu</w:t>
      </w:r>
      <w:r w:rsidR="003002D3">
        <w:rPr>
          <w:rFonts w:eastAsia="Calibri" w:cs="Tahoma"/>
          <w:szCs w:val="18"/>
          <w:lang w:val="de-DE"/>
        </w:rPr>
        <w:t> </w:t>
      </w:r>
      <w:r w:rsidRPr="00571807">
        <w:rPr>
          <w:rFonts w:eastAsia="Calibri" w:cs="Tahoma"/>
          <w:szCs w:val="18"/>
          <w:lang w:val="de-DE"/>
        </w:rPr>
        <w:t>Core Infrastructure Server Suite Datacenter durchzuführen, indem sie die entsprechende Step Up-Lizenz für Core Infrastructure Server Suite Datacenter erwerben</w:t>
      </w:r>
      <w:r w:rsidR="006257A7">
        <w:rPr>
          <w:rFonts w:eastAsia="Calibri" w:cs="Tahoma"/>
          <w:szCs w:val="18"/>
          <w:lang w:val="de-DE"/>
        </w:rPr>
        <w:t xml:space="preserve">. </w:t>
      </w:r>
      <w:r w:rsidRPr="00571807">
        <w:rPr>
          <w:rFonts w:eastAsia="Calibri" w:cs="Tahoma"/>
          <w:szCs w:val="18"/>
          <w:lang w:val="de-DE"/>
        </w:rPr>
        <w:t>Um diese Step Up-Lizenz erwerben zu können, müssen die Kunden über eine aktive Software Assurance für ihre Windows Server Datacenter- oder System Center Datacenter-Lizenz verfügen</w:t>
      </w:r>
      <w:r w:rsidR="006257A7">
        <w:rPr>
          <w:rFonts w:eastAsia="Calibri" w:cs="Tahoma"/>
          <w:szCs w:val="18"/>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eastAsia="Calibri" w:cs="Tahoma"/>
          <w:szCs w:val="18"/>
          <w:lang w:val="de-DE"/>
        </w:rPr>
        <w:t>Für jede qualifizierende Lizenz für Windows Server Datacenter, die der Kunde besitzt, ist der Kunde berechtigt, eine Step Up-Lizenz für Core Infrastructure Server Suite Datacenter zu erwerben</w:t>
      </w:r>
      <w:r w:rsidR="006257A7">
        <w:rPr>
          <w:rFonts w:eastAsia="Calibri" w:cs="Tahoma"/>
          <w:szCs w:val="18"/>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eastAsia="Calibri" w:cs="Tahoma"/>
          <w:szCs w:val="18"/>
          <w:lang w:val="de-DE"/>
        </w:rPr>
        <w:t>Für jede qualifizierende Lizenz für System Center Datacenter, die der Kunde besitzt, ist der Kunde berechtigt, eine Step Up-Lizenz für Core Infrastructure Server Suite Datacenter zu erwerben</w:t>
      </w:r>
      <w:r w:rsidR="006257A7">
        <w:rPr>
          <w:rFonts w:eastAsia="Calibri" w:cs="Tahoma"/>
          <w:szCs w:val="18"/>
          <w:lang w:val="de-DE"/>
        </w:rPr>
        <w:t xml:space="preserve">. </w:t>
      </w:r>
    </w:p>
    <w:p w:rsidR="00E73313" w:rsidRPr="00571807" w:rsidRDefault="00E73313" w:rsidP="00E73313">
      <w:pPr>
        <w:ind w:left="720"/>
        <w:rPr>
          <w:lang w:val="de-DE"/>
        </w:rPr>
      </w:pPr>
    </w:p>
    <w:p w:rsidR="00E73313" w:rsidRPr="00571807" w:rsidRDefault="00E73313" w:rsidP="003002D3">
      <w:pPr>
        <w:ind w:left="720"/>
        <w:rPr>
          <w:lang w:val="de-DE"/>
        </w:rPr>
      </w:pPr>
      <w:r w:rsidRPr="00571807">
        <w:rPr>
          <w:rFonts w:eastAsia="Calibri" w:cs="Tahoma"/>
          <w:szCs w:val="18"/>
          <w:lang w:val="de-DE"/>
        </w:rPr>
        <w:t>Das Recht der Kunden zur Nutzung der Software unter der Lizenz für Core Infrastructure Server Suite Datacenter setzt voraus, dass die Kunden alle übrigen Zahlungsverpflichtungen in Bezug auf die Lizenz für</w:t>
      </w:r>
      <w:r w:rsidR="003002D3">
        <w:rPr>
          <w:rFonts w:eastAsia="Calibri" w:cs="Tahoma"/>
          <w:szCs w:val="18"/>
          <w:lang w:val="de-DE"/>
        </w:rPr>
        <w:t> </w:t>
      </w:r>
      <w:r w:rsidRPr="00571807">
        <w:rPr>
          <w:rFonts w:eastAsia="Calibri" w:cs="Tahoma"/>
          <w:szCs w:val="18"/>
          <w:lang w:val="de-DE"/>
        </w:rPr>
        <w:t>das qualifizierende Produkt erfüllen</w:t>
      </w:r>
      <w:r w:rsidR="006257A7">
        <w:rPr>
          <w:rFonts w:eastAsia="Calibri" w:cs="Tahoma"/>
          <w:szCs w:val="18"/>
          <w:lang w:val="de-DE"/>
        </w:rPr>
        <w:t xml:space="preserve">. </w:t>
      </w:r>
      <w:r w:rsidRPr="00571807">
        <w:rPr>
          <w:rFonts w:eastAsia="Calibri" w:cs="Tahoma"/>
          <w:szCs w:val="18"/>
          <w:lang w:val="de-DE"/>
        </w:rPr>
        <w:t>Die Lizenz für Core Infrastructure Server Suite Datacenter hat Vorrang vor der und ersetzt die zugrunde liegende Lizenz für das qualifizierende Produkt</w:t>
      </w:r>
      <w:r w:rsidR="006257A7">
        <w:rPr>
          <w:rFonts w:eastAsia="Calibri" w:cs="Tahoma"/>
          <w:szCs w:val="18"/>
          <w:lang w:val="de-DE"/>
        </w:rPr>
        <w:t xml:space="preserve">. </w:t>
      </w:r>
    </w:p>
    <w:p w:rsidR="00E73313" w:rsidRPr="00571807" w:rsidRDefault="00E73313" w:rsidP="00E73313">
      <w:pPr>
        <w:ind w:left="720"/>
        <w:rPr>
          <w:lang w:val="de-D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E73313" w:rsidRPr="001E68E2" w:rsidTr="00E328C3">
        <w:trPr>
          <w:tblHeader/>
        </w:trPr>
        <w:tc>
          <w:tcPr>
            <w:tcW w:w="3870" w:type="dxa"/>
            <w:shd w:val="clear" w:color="auto" w:fill="FABF8F"/>
            <w:tcMar>
              <w:top w:w="0" w:type="dxa"/>
              <w:left w:w="108" w:type="dxa"/>
              <w:bottom w:w="0" w:type="dxa"/>
              <w:right w:w="108" w:type="dxa"/>
            </w:tcMar>
            <w:vAlign w:val="center"/>
            <w:hideMark/>
          </w:tcPr>
          <w:p w:rsidR="00E73313" w:rsidRPr="001E68E2" w:rsidRDefault="00E73313" w:rsidP="00E328C3">
            <w:pPr>
              <w:spacing w:before="120" w:after="120" w:line="276" w:lineRule="auto"/>
              <w:jc w:val="center"/>
              <w:rPr>
                <w:rFonts w:eastAsia="Calibri" w:cs="Tahoma"/>
                <w:b/>
                <w:szCs w:val="18"/>
              </w:rPr>
            </w:pPr>
            <w:r>
              <w:rPr>
                <w:rFonts w:eastAsia="Calibri" w:cs="Tahoma"/>
                <w:b/>
                <w:szCs w:val="18"/>
              </w:rPr>
              <w:t>Qualifizierendes Produkt</w:t>
            </w:r>
          </w:p>
        </w:tc>
        <w:tc>
          <w:tcPr>
            <w:tcW w:w="3870" w:type="dxa"/>
            <w:shd w:val="clear" w:color="auto" w:fill="FABF8F"/>
            <w:tcMar>
              <w:top w:w="0" w:type="dxa"/>
              <w:left w:w="108" w:type="dxa"/>
              <w:bottom w:w="0" w:type="dxa"/>
              <w:right w:w="108" w:type="dxa"/>
            </w:tcMar>
            <w:vAlign w:val="center"/>
            <w:hideMark/>
          </w:tcPr>
          <w:p w:rsidR="00E73313" w:rsidRPr="001E68E2" w:rsidRDefault="00E73313" w:rsidP="00E328C3">
            <w:pPr>
              <w:spacing w:before="120" w:after="120" w:line="276" w:lineRule="auto"/>
              <w:jc w:val="center"/>
              <w:rPr>
                <w:rFonts w:eastAsia="Calibri" w:cs="Tahoma"/>
                <w:b/>
                <w:szCs w:val="18"/>
              </w:rPr>
            </w:pPr>
            <w:r>
              <w:rPr>
                <w:rFonts w:eastAsia="Calibri" w:cs="Tahoma"/>
                <w:b/>
                <w:szCs w:val="18"/>
              </w:rPr>
              <w:t>Step Up zu</w:t>
            </w:r>
          </w:p>
        </w:tc>
      </w:tr>
      <w:tr w:rsidR="00E73313" w:rsidRPr="001B6F67" w:rsidTr="00E328C3">
        <w:tc>
          <w:tcPr>
            <w:tcW w:w="3870" w:type="dxa"/>
            <w:tcMar>
              <w:top w:w="0" w:type="dxa"/>
              <w:left w:w="108" w:type="dxa"/>
              <w:bottom w:w="0" w:type="dxa"/>
              <w:right w:w="108" w:type="dxa"/>
            </w:tcMar>
            <w:hideMark/>
          </w:tcPr>
          <w:p w:rsidR="00E73313" w:rsidRPr="001E68E2" w:rsidRDefault="00E73313" w:rsidP="00E328C3">
            <w:pPr>
              <w:spacing w:before="120" w:after="120" w:line="276" w:lineRule="auto"/>
              <w:rPr>
                <w:rFonts w:eastAsia="Calibri" w:cs="Tahoma"/>
                <w:szCs w:val="18"/>
              </w:rPr>
            </w:pPr>
            <w:r>
              <w:rPr>
                <w:rFonts w:eastAsia="Calibri" w:cs="Tahoma"/>
                <w:szCs w:val="18"/>
              </w:rPr>
              <w:t>Windows Server Datacenter</w:t>
            </w:r>
          </w:p>
        </w:tc>
        <w:tc>
          <w:tcPr>
            <w:tcW w:w="3870" w:type="dxa"/>
            <w:tcMar>
              <w:top w:w="0" w:type="dxa"/>
              <w:left w:w="108" w:type="dxa"/>
              <w:bottom w:w="0" w:type="dxa"/>
              <w:right w:w="108" w:type="dxa"/>
            </w:tcMar>
            <w:hideMark/>
          </w:tcPr>
          <w:p w:rsidR="00E73313" w:rsidRPr="001E68E2" w:rsidRDefault="00E73313" w:rsidP="00E328C3">
            <w:pPr>
              <w:spacing w:before="120" w:after="120" w:line="276" w:lineRule="auto"/>
              <w:rPr>
                <w:rFonts w:eastAsia="Calibri" w:cs="Tahoma"/>
                <w:szCs w:val="18"/>
                <w:lang w:val="fr-FR"/>
              </w:rPr>
            </w:pPr>
            <w:r w:rsidRPr="00571807">
              <w:rPr>
                <w:rFonts w:eastAsia="Calibri" w:cs="Tahoma"/>
                <w:szCs w:val="18"/>
                <w:lang w:val="fr-FR"/>
              </w:rPr>
              <w:t>Core Infrastructure Server Suite Datacenter</w:t>
            </w:r>
          </w:p>
        </w:tc>
      </w:tr>
      <w:tr w:rsidR="00E73313" w:rsidRPr="001B6F67" w:rsidTr="00E328C3">
        <w:tc>
          <w:tcPr>
            <w:tcW w:w="3870" w:type="dxa"/>
            <w:tcMar>
              <w:top w:w="0" w:type="dxa"/>
              <w:left w:w="108" w:type="dxa"/>
              <w:bottom w:w="0" w:type="dxa"/>
              <w:right w:w="108" w:type="dxa"/>
            </w:tcMar>
          </w:tcPr>
          <w:p w:rsidR="00E73313" w:rsidRPr="001E68E2" w:rsidRDefault="00E73313" w:rsidP="00E328C3">
            <w:pPr>
              <w:spacing w:before="120" w:after="120" w:line="276" w:lineRule="auto"/>
              <w:rPr>
                <w:rFonts w:eastAsia="Calibri" w:cs="Tahoma"/>
                <w:szCs w:val="18"/>
              </w:rPr>
            </w:pPr>
            <w:r>
              <w:rPr>
                <w:rFonts w:eastAsia="Calibri" w:cs="Tahoma"/>
                <w:szCs w:val="18"/>
              </w:rPr>
              <w:t>System Center Datacenter</w:t>
            </w:r>
          </w:p>
        </w:tc>
        <w:tc>
          <w:tcPr>
            <w:tcW w:w="3870" w:type="dxa"/>
            <w:tcMar>
              <w:top w:w="0" w:type="dxa"/>
              <w:left w:w="108" w:type="dxa"/>
              <w:bottom w:w="0" w:type="dxa"/>
              <w:right w:w="108" w:type="dxa"/>
            </w:tcMar>
          </w:tcPr>
          <w:p w:rsidR="00E73313" w:rsidRPr="001E68E2" w:rsidRDefault="00E73313" w:rsidP="00E328C3">
            <w:pPr>
              <w:spacing w:before="120" w:after="120" w:line="276" w:lineRule="auto"/>
              <w:rPr>
                <w:rFonts w:eastAsia="Calibri" w:cs="Tahoma"/>
                <w:szCs w:val="18"/>
                <w:lang w:val="fr-FR"/>
              </w:rPr>
            </w:pPr>
            <w:r w:rsidRPr="00571807">
              <w:rPr>
                <w:rFonts w:eastAsia="Calibri" w:cs="Tahoma"/>
                <w:szCs w:val="18"/>
                <w:lang w:val="fr-FR"/>
              </w:rPr>
              <w:t>Core Infrastructure Server Suite Datacenter</w:t>
            </w:r>
          </w:p>
        </w:tc>
      </w:tr>
    </w:tbl>
    <w:p w:rsidR="00E73313" w:rsidRPr="00571807" w:rsidRDefault="00E73313" w:rsidP="00E73313">
      <w:pPr>
        <w:ind w:left="907"/>
        <w:rPr>
          <w:lang w:val="fr-FR"/>
        </w:rPr>
      </w:pPr>
      <w:bookmarkStart w:id="1205" w:name="Srv_38DynCRMWorkProEnt"/>
    </w:p>
    <w:p w:rsidR="00E73313" w:rsidRPr="00571807" w:rsidRDefault="00E73313" w:rsidP="00E73313">
      <w:pPr>
        <w:ind w:left="907"/>
        <w:rPr>
          <w:lang w:val="fr-FR"/>
        </w:rPr>
      </w:pPr>
    </w:p>
    <w:p w:rsidR="00E73313" w:rsidRPr="00051083" w:rsidRDefault="00E73313" w:rsidP="00E73313">
      <w:pPr>
        <w:pStyle w:val="Heading2"/>
        <w:keepNext/>
        <w:ind w:left="0"/>
        <w:rPr>
          <w:lang w:val="de-DE"/>
        </w:rPr>
      </w:pPr>
      <w:bookmarkStart w:id="1206" w:name="_44_Duet_Enterprise"/>
      <w:bookmarkStart w:id="1207" w:name="_45_Duet_Enterprise"/>
      <w:bookmarkStart w:id="1208" w:name="_Toc363999042"/>
      <w:bookmarkStart w:id="1209" w:name="Srv_38DynamicsCRMOnline"/>
      <w:bookmarkStart w:id="1210" w:name="Srv_37DynamicsCRMOnline"/>
      <w:bookmarkStart w:id="1211" w:name="Srv_37EntCALSuite"/>
      <w:bookmarkEnd w:id="1191"/>
      <w:bookmarkEnd w:id="1205"/>
      <w:bookmarkEnd w:id="1206"/>
      <w:bookmarkEnd w:id="1207"/>
      <w:r w:rsidRPr="00051083">
        <w:rPr>
          <w:rFonts w:ascii="Tahoma" w:eastAsia="Times New Roman" w:hAnsi="Tahoma" w:cs="Tahoma"/>
          <w:caps/>
          <w:color w:val="FA6500"/>
          <w:sz w:val="22"/>
          <w:szCs w:val="22"/>
          <w:vertAlign w:val="superscript"/>
          <w:lang w:val="de-DE"/>
        </w:rPr>
        <w:t>45</w:t>
      </w:r>
      <w:r w:rsidRPr="00051083">
        <w:rPr>
          <w:rFonts w:ascii="Tahoma" w:eastAsia="Times New Roman" w:hAnsi="Tahoma" w:cs="Tahoma"/>
          <w:caps/>
          <w:color w:val="FA6500"/>
          <w:sz w:val="22"/>
          <w:szCs w:val="22"/>
          <w:lang w:val="de-DE"/>
        </w:rPr>
        <w:t xml:space="preserve"> </w:t>
      </w:r>
      <w:r w:rsidRPr="00051083">
        <w:rPr>
          <w:rFonts w:ascii="Tahoma" w:eastAsia="Times New Roman" w:hAnsi="Tahoma" w:cs="Tahoma"/>
          <w:color w:val="FA6500"/>
          <w:sz w:val="22"/>
          <w:szCs w:val="22"/>
          <w:lang w:val="de-DE"/>
        </w:rPr>
        <w:t>Duet Enterprise 2</w:t>
      </w:r>
      <w:r w:rsidR="00844B7C">
        <w:rPr>
          <w:rFonts w:ascii="Tahoma" w:eastAsia="Times New Roman" w:hAnsi="Tahoma" w:cs="Tahoma"/>
          <w:color w:val="FA6500"/>
          <w:sz w:val="22"/>
          <w:szCs w:val="22"/>
          <w:lang w:val="de-DE"/>
        </w:rPr>
        <w:t>.</w:t>
      </w:r>
      <w:r w:rsidRPr="00051083">
        <w:rPr>
          <w:rFonts w:ascii="Tahoma" w:eastAsia="Times New Roman" w:hAnsi="Tahoma" w:cs="Tahoma"/>
          <w:color w:val="FA6500"/>
          <w:sz w:val="22"/>
          <w:szCs w:val="22"/>
          <w:lang w:val="de-DE"/>
        </w:rPr>
        <w:t>0</w:t>
      </w:r>
      <w:bookmarkEnd w:id="1208"/>
    </w:p>
    <w:p w:rsidR="00E73313" w:rsidRPr="00051083" w:rsidRDefault="00E73313" w:rsidP="00E73313">
      <w:pPr>
        <w:keepNext/>
        <w:ind w:left="720"/>
        <w:rPr>
          <w:lang w:val="de-DE"/>
        </w:rPr>
      </w:pPr>
      <w:r w:rsidRPr="00051083">
        <w:rPr>
          <w:rFonts w:cs="Tahoma"/>
          <w:lang w:val="de-DE"/>
        </w:rPr>
        <w:t xml:space="preserve"> </w:t>
      </w:r>
    </w:p>
    <w:p w:rsidR="00E73313" w:rsidRPr="00571807" w:rsidRDefault="00E73313" w:rsidP="003002D3">
      <w:pPr>
        <w:ind w:left="720"/>
        <w:rPr>
          <w:lang w:val="de-DE"/>
        </w:rPr>
      </w:pPr>
      <w:r w:rsidRPr="00051083">
        <w:rPr>
          <w:color w:val="000000"/>
          <w:lang w:val="de-DE"/>
        </w:rPr>
        <w:t>Duet Enterprise 2</w:t>
      </w:r>
      <w:r w:rsidR="00844B7C">
        <w:rPr>
          <w:color w:val="000000"/>
          <w:lang w:val="de-DE"/>
        </w:rPr>
        <w:t>.</w:t>
      </w:r>
      <w:r w:rsidRPr="00051083">
        <w:rPr>
          <w:color w:val="000000"/>
          <w:lang w:val="de-DE"/>
        </w:rPr>
        <w:t>0 stellt die neueste Version von Duet Enterprise für Microsoft SharePoint und SAP 1</w:t>
      </w:r>
      <w:r w:rsidR="00844B7C">
        <w:rPr>
          <w:color w:val="000000"/>
          <w:lang w:val="de-DE"/>
        </w:rPr>
        <w:t>.</w:t>
      </w:r>
      <w:r w:rsidRPr="00051083">
        <w:rPr>
          <w:color w:val="000000"/>
          <w:lang w:val="de-DE"/>
        </w:rPr>
        <w:t>0 dar</w:t>
      </w:r>
      <w:r w:rsidR="006257A7" w:rsidRPr="00051083">
        <w:rPr>
          <w:color w:val="000000"/>
          <w:lang w:val="de-DE"/>
        </w:rPr>
        <w:t xml:space="preserve">. </w:t>
      </w:r>
      <w:r w:rsidRPr="00571807">
        <w:rPr>
          <w:color w:val="000000"/>
          <w:lang w:val="de-DE"/>
        </w:rPr>
        <w:t>Kunden mit aktiver Software Assurance für Duet Enterprise für Microsoft SharePoint und SAP 1</w:t>
      </w:r>
      <w:r w:rsidR="00844B7C">
        <w:rPr>
          <w:color w:val="000000"/>
          <w:lang w:val="de-DE"/>
        </w:rPr>
        <w:t>.</w:t>
      </w:r>
      <w:r w:rsidRPr="00571807">
        <w:rPr>
          <w:color w:val="000000"/>
          <w:lang w:val="de-DE"/>
        </w:rPr>
        <w:t>0 am 30</w:t>
      </w:r>
      <w:r w:rsidR="006257A7">
        <w:rPr>
          <w:color w:val="000000"/>
          <w:lang w:val="de-DE"/>
        </w:rPr>
        <w:t xml:space="preserve">. </w:t>
      </w:r>
      <w:r w:rsidRPr="00571807">
        <w:rPr>
          <w:color w:val="000000"/>
          <w:lang w:val="de-DE"/>
        </w:rPr>
        <w:t>November 2012 sind berechtigt, auf Duet Enterprise 2</w:t>
      </w:r>
      <w:r w:rsidR="00844B7C">
        <w:rPr>
          <w:color w:val="000000"/>
          <w:lang w:val="de-DE"/>
        </w:rPr>
        <w:t>.</w:t>
      </w:r>
      <w:r w:rsidRPr="00571807">
        <w:rPr>
          <w:color w:val="000000"/>
          <w:lang w:val="de-DE"/>
        </w:rPr>
        <w:t>0 upzugraden und dies anstelle ihrer entsprechend lizenzierten Duet Enterprise für SharePoint und SAP 1</w:t>
      </w:r>
      <w:r w:rsidR="00844B7C">
        <w:rPr>
          <w:color w:val="000000"/>
          <w:lang w:val="de-DE"/>
        </w:rPr>
        <w:t>.</w:t>
      </w:r>
      <w:r w:rsidRPr="00571807">
        <w:rPr>
          <w:color w:val="000000"/>
          <w:lang w:val="de-DE"/>
        </w:rPr>
        <w:t>0 zu verwenden</w:t>
      </w:r>
      <w:r w:rsidR="006257A7">
        <w:rPr>
          <w:color w:val="000000"/>
          <w:lang w:val="de-DE"/>
        </w:rPr>
        <w:t xml:space="preserve">. </w:t>
      </w:r>
    </w:p>
    <w:p w:rsidR="00E73313" w:rsidRDefault="00E73313" w:rsidP="00E73313">
      <w:pPr>
        <w:rPr>
          <w:lang w:val="de-DE"/>
        </w:rPr>
      </w:pPr>
    </w:p>
    <w:p w:rsidR="00F5277A" w:rsidRPr="00571807" w:rsidRDefault="00F5277A" w:rsidP="00E73313">
      <w:pPr>
        <w:rPr>
          <w:lang w:val="de-DE"/>
        </w:rPr>
      </w:pPr>
    </w:p>
    <w:p w:rsidR="00E73313" w:rsidRPr="00571807" w:rsidRDefault="00E73313" w:rsidP="00E73313">
      <w:pPr>
        <w:ind w:left="720"/>
        <w:rPr>
          <w:lang w:val="de-DE"/>
        </w:rPr>
      </w:pPr>
      <w:r w:rsidRPr="00571807">
        <w:rPr>
          <w:color w:val="000000"/>
          <w:u w:val="single"/>
          <w:lang w:val="de-DE"/>
        </w:rPr>
        <w:t>Bezug von Duet Enterprise 2</w:t>
      </w:r>
      <w:r w:rsidR="00844B7C">
        <w:rPr>
          <w:color w:val="000000"/>
          <w:u w:val="single"/>
          <w:lang w:val="de-DE"/>
        </w:rPr>
        <w:t>.</w:t>
      </w:r>
      <w:r w:rsidRPr="00571807">
        <w:rPr>
          <w:color w:val="000000"/>
          <w:u w:val="single"/>
          <w:lang w:val="de-DE"/>
        </w:rPr>
        <w:t>0</w:t>
      </w:r>
    </w:p>
    <w:p w:rsidR="00E73313" w:rsidRPr="00571807" w:rsidRDefault="00E73313" w:rsidP="003002D3">
      <w:pPr>
        <w:ind w:left="720"/>
        <w:rPr>
          <w:lang w:val="de-DE"/>
        </w:rPr>
      </w:pPr>
      <w:r w:rsidRPr="00571807">
        <w:rPr>
          <w:color w:val="000000"/>
          <w:lang w:val="de-DE"/>
        </w:rPr>
        <w:t>Duet Enterprise 2</w:t>
      </w:r>
      <w:r w:rsidR="00844B7C">
        <w:rPr>
          <w:color w:val="000000"/>
          <w:lang w:val="de-DE"/>
        </w:rPr>
        <w:t>.</w:t>
      </w:r>
      <w:r w:rsidRPr="00571807">
        <w:rPr>
          <w:color w:val="000000"/>
          <w:lang w:val="de-DE"/>
        </w:rPr>
        <w:t>0 steht im Center für Volumenlizenz-Services nicht zur Verfügung</w:t>
      </w:r>
      <w:r w:rsidR="006257A7">
        <w:rPr>
          <w:color w:val="000000"/>
          <w:lang w:val="de-DE"/>
        </w:rPr>
        <w:t xml:space="preserve">. </w:t>
      </w:r>
      <w:r w:rsidRPr="00571807">
        <w:rPr>
          <w:color w:val="000000"/>
          <w:lang w:val="de-DE"/>
        </w:rPr>
        <w:t>Bestehende Kunden mit</w:t>
      </w:r>
      <w:r w:rsidR="003002D3">
        <w:rPr>
          <w:color w:val="000000"/>
          <w:lang w:val="de-DE"/>
        </w:rPr>
        <w:t> </w:t>
      </w:r>
      <w:r w:rsidRPr="00571807">
        <w:rPr>
          <w:color w:val="000000"/>
          <w:lang w:val="de-DE"/>
        </w:rPr>
        <w:t>Anrecht auf Duet Enterprise 2</w:t>
      </w:r>
      <w:r w:rsidR="00844B7C">
        <w:rPr>
          <w:color w:val="000000"/>
          <w:lang w:val="de-DE"/>
        </w:rPr>
        <w:t>.</w:t>
      </w:r>
      <w:r w:rsidRPr="00571807">
        <w:rPr>
          <w:color w:val="000000"/>
          <w:lang w:val="de-DE"/>
        </w:rPr>
        <w:t>0 erhalten gesonderte Benachrichtigungen, in denen erklärt wird, wie die</w:t>
      </w:r>
      <w:r w:rsidR="003002D3">
        <w:rPr>
          <w:color w:val="000000"/>
          <w:lang w:val="de-DE"/>
        </w:rPr>
        <w:t> </w:t>
      </w:r>
      <w:r w:rsidRPr="00571807">
        <w:rPr>
          <w:color w:val="000000"/>
          <w:lang w:val="de-DE"/>
        </w:rPr>
        <w:t>Software über Microsoft Connect bezogen werden kann</w:t>
      </w:r>
      <w:r w:rsidR="006257A7">
        <w:rPr>
          <w:color w:val="000000"/>
          <w:lang w:val="de-DE"/>
        </w:rPr>
        <w:t xml:space="preserve">. </w:t>
      </w:r>
    </w:p>
    <w:p w:rsidR="00E73313" w:rsidRPr="00571807" w:rsidRDefault="00E73313" w:rsidP="00E73313">
      <w:pPr>
        <w:rPr>
          <w:lang w:val="de-DE"/>
        </w:rPr>
      </w:pPr>
    </w:p>
    <w:p w:rsidR="00E73313" w:rsidRDefault="00E73313" w:rsidP="00E73313">
      <w:pPr>
        <w:rPr>
          <w:lang w:val="de-DE"/>
        </w:rPr>
      </w:pPr>
    </w:p>
    <w:p w:rsidR="00E73313" w:rsidRPr="00571807" w:rsidRDefault="00E73313" w:rsidP="00E73313">
      <w:pPr>
        <w:pStyle w:val="Heading3"/>
        <w:rPr>
          <w:lang w:val="de-DE"/>
        </w:rPr>
      </w:pPr>
      <w:bookmarkStart w:id="1212" w:name="_40_Dynamics_CRM"/>
      <w:bookmarkStart w:id="1213" w:name="_40_39_Dynamics"/>
      <w:bookmarkStart w:id="1214" w:name="_4240_Dynamics_CRM"/>
      <w:bookmarkStart w:id="1215" w:name="_45_Microsoft_Dynamics"/>
      <w:bookmarkStart w:id="1216" w:name="_46_Microsoft_Dynamics"/>
      <w:bookmarkStart w:id="1217" w:name="_Toc336338300"/>
      <w:bookmarkStart w:id="1218" w:name="_Toc363999043"/>
      <w:bookmarkEnd w:id="1212"/>
      <w:bookmarkEnd w:id="1213"/>
      <w:bookmarkEnd w:id="1214"/>
      <w:bookmarkEnd w:id="1215"/>
      <w:bookmarkEnd w:id="1216"/>
      <w:r w:rsidRPr="00571807">
        <w:rPr>
          <w:rFonts w:ascii="Tahoma" w:hAnsi="Tahoma"/>
          <w:caps/>
          <w:color w:val="F66400"/>
          <w:sz w:val="22"/>
          <w:vertAlign w:val="superscript"/>
          <w:lang w:val="de-DE"/>
        </w:rPr>
        <w:t>46</w:t>
      </w:r>
      <w:r w:rsidRPr="00571807">
        <w:rPr>
          <w:rFonts w:ascii="Tahoma" w:hAnsi="Tahoma"/>
          <w:color w:val="F66400"/>
          <w:sz w:val="22"/>
          <w:lang w:val="de-DE"/>
        </w:rPr>
        <w:t xml:space="preserve"> Microsoft Dynamics CRM Online</w:t>
      </w:r>
      <w:bookmarkEnd w:id="1217"/>
      <w:bookmarkEnd w:id="1218"/>
    </w:p>
    <w:bookmarkEnd w:id="1209"/>
    <w:bookmarkEnd w:id="1210"/>
    <w:p w:rsidR="00E73313" w:rsidRPr="00571807" w:rsidRDefault="00E73313" w:rsidP="00E73313">
      <w:pPr>
        <w:pStyle w:val="Heading3"/>
        <w:rPr>
          <w:lang w:val="de-DE"/>
        </w:rPr>
      </w:pPr>
    </w:p>
    <w:p w:rsidR="00E73313" w:rsidRPr="00571807" w:rsidRDefault="00E73313" w:rsidP="00E73313">
      <w:pPr>
        <w:ind w:left="720"/>
        <w:rPr>
          <w:lang w:val="de-DE"/>
        </w:rPr>
      </w:pPr>
      <w:r w:rsidRPr="00571807">
        <w:rPr>
          <w:rFonts w:cs="Tahoma"/>
          <w:b/>
          <w:color w:val="000000"/>
          <w:szCs w:val="18"/>
          <w:lang w:val="de-DE"/>
        </w:rPr>
        <w:t>Länder, in denen Microsoft Dynamics CRM Online verfügbar ist</w:t>
      </w:r>
    </w:p>
    <w:p w:rsidR="00E73313" w:rsidRPr="00571807" w:rsidRDefault="00E73313" w:rsidP="00E73313">
      <w:pPr>
        <w:ind w:left="540"/>
        <w:rPr>
          <w:lang w:val="de-DE"/>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E73313" w:rsidTr="00E328C3">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E73313" w:rsidRDefault="00E73313" w:rsidP="00E328C3">
            <w:pPr>
              <w:keepNext/>
              <w:jc w:val="center"/>
              <w:rPr>
                <w:rFonts w:cs="Tahoma"/>
                <w:b/>
                <w:bCs/>
                <w:szCs w:val="20"/>
              </w:rPr>
            </w:pPr>
            <w:r>
              <w:rPr>
                <w:rFonts w:cs="Tahoma"/>
                <w:b/>
                <w:bCs/>
                <w:szCs w:val="20"/>
              </w:rPr>
              <w:t>Nord-, Mittel- und Südamerika</w:t>
            </w:r>
          </w:p>
        </w:tc>
        <w:tc>
          <w:tcPr>
            <w:tcW w:w="2670" w:type="dxa"/>
            <w:tcBorders>
              <w:top w:val="single" w:sz="8" w:space="0" w:color="000000"/>
              <w:left w:val="nil"/>
              <w:bottom w:val="single" w:sz="8" w:space="0" w:color="000000"/>
              <w:right w:val="single" w:sz="4" w:space="0" w:color="auto"/>
            </w:tcBorders>
            <w:shd w:val="clear" w:color="auto" w:fill="FABF8F"/>
          </w:tcPr>
          <w:p w:rsidR="00E73313" w:rsidRDefault="00E73313" w:rsidP="00E328C3">
            <w:pPr>
              <w:keepNext/>
              <w:jc w:val="center"/>
              <w:rPr>
                <w:rFonts w:cs="Tahoma"/>
                <w:b/>
                <w:bCs/>
                <w:szCs w:val="20"/>
              </w:rPr>
            </w:pPr>
            <w:r>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E73313" w:rsidRDefault="00E73313" w:rsidP="00E328C3">
            <w:pPr>
              <w:keepNext/>
              <w:jc w:val="center"/>
              <w:rPr>
                <w:rFonts w:cs="Tahoma"/>
                <w:b/>
                <w:bCs/>
                <w:szCs w:val="20"/>
              </w:rPr>
            </w:pPr>
            <w:r>
              <w:rPr>
                <w:rFonts w:cs="Tahoma"/>
                <w:b/>
                <w:bCs/>
                <w:szCs w:val="20"/>
              </w:rPr>
              <w:t>Asien-Pazifik</w:t>
            </w:r>
          </w:p>
        </w:tc>
      </w:tr>
      <w:tr w:rsidR="00E73313" w:rsidTr="00E328C3">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E73313" w:rsidRDefault="00E73313" w:rsidP="00E328C3">
            <w:pPr>
              <w:keepNext/>
              <w:jc w:val="center"/>
              <w:rPr>
                <w:rFonts w:cs="Tahoma"/>
                <w:color w:val="000000"/>
                <w:szCs w:val="20"/>
              </w:rPr>
            </w:pPr>
            <w:r>
              <w:rPr>
                <w:rFonts w:cs="Arial"/>
              </w:rPr>
              <w:t>Brasilien</w:t>
            </w:r>
          </w:p>
        </w:tc>
        <w:tc>
          <w:tcPr>
            <w:tcW w:w="2670" w:type="dxa"/>
            <w:tcBorders>
              <w:top w:val="nil"/>
              <w:left w:val="nil"/>
              <w:bottom w:val="single" w:sz="4" w:space="0" w:color="000000"/>
              <w:right w:val="single" w:sz="4" w:space="0" w:color="auto"/>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Österreich</w:t>
            </w:r>
          </w:p>
        </w:tc>
        <w:tc>
          <w:tcPr>
            <w:tcW w:w="2670" w:type="dxa"/>
            <w:tcBorders>
              <w:top w:val="nil"/>
              <w:left w:val="single" w:sz="4" w:space="0" w:color="auto"/>
              <w:bottom w:val="single" w:sz="4" w:space="0" w:color="000000"/>
              <w:right w:val="single" w:sz="8" w:space="0" w:color="000000"/>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Australien</w:t>
            </w: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Default="00E73313" w:rsidP="00E328C3">
            <w:pPr>
              <w:keepNext/>
              <w:jc w:val="center"/>
              <w:rPr>
                <w:rFonts w:cs="Tahoma"/>
                <w:color w:val="000000"/>
                <w:szCs w:val="20"/>
              </w:rPr>
            </w:pPr>
            <w:r>
              <w:rPr>
                <w:rFonts w:cs="Arial"/>
              </w:rPr>
              <w:t>Kanada</w:t>
            </w:r>
          </w:p>
        </w:tc>
        <w:tc>
          <w:tcPr>
            <w:tcW w:w="2670" w:type="dxa"/>
            <w:tcBorders>
              <w:top w:val="single" w:sz="4" w:space="0" w:color="000000"/>
              <w:left w:val="nil"/>
              <w:bottom w:val="single" w:sz="4" w:space="0" w:color="000000"/>
              <w:right w:val="single" w:sz="4" w:space="0" w:color="auto"/>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Belgien</w:t>
            </w:r>
          </w:p>
        </w:tc>
        <w:tc>
          <w:tcPr>
            <w:tcW w:w="2670" w:type="dxa"/>
            <w:tcBorders>
              <w:top w:val="single" w:sz="4" w:space="0" w:color="000000"/>
              <w:left w:val="single" w:sz="4" w:space="0" w:color="auto"/>
              <w:bottom w:val="single" w:sz="4" w:space="0" w:color="000000"/>
              <w:right w:val="single" w:sz="4" w:space="0" w:color="000000"/>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Hongkong</w:t>
            </w: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Default="00E73313" w:rsidP="00E328C3">
            <w:pPr>
              <w:keepNext/>
              <w:jc w:val="center"/>
              <w:rPr>
                <w:rFonts w:cs="Tahoma"/>
                <w:color w:val="000000"/>
                <w:szCs w:val="20"/>
              </w:rPr>
            </w:pPr>
            <w:r>
              <w:rPr>
                <w:rFonts w:cs="Arial"/>
              </w:rPr>
              <w:t>Kolumbien</w:t>
            </w:r>
          </w:p>
        </w:tc>
        <w:tc>
          <w:tcPr>
            <w:tcW w:w="2670" w:type="dxa"/>
            <w:tcBorders>
              <w:top w:val="single" w:sz="4" w:space="0" w:color="000000"/>
              <w:left w:val="nil"/>
              <w:bottom w:val="single" w:sz="4" w:space="0" w:color="000000"/>
              <w:right w:val="single" w:sz="4" w:space="0" w:color="auto"/>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Zypern</w:t>
            </w:r>
          </w:p>
        </w:tc>
        <w:tc>
          <w:tcPr>
            <w:tcW w:w="2670" w:type="dxa"/>
            <w:tcBorders>
              <w:top w:val="single" w:sz="4" w:space="0" w:color="000000"/>
              <w:left w:val="single" w:sz="4" w:space="0" w:color="auto"/>
              <w:bottom w:val="single" w:sz="4" w:space="0" w:color="000000"/>
              <w:right w:val="single" w:sz="4" w:space="0" w:color="000000"/>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Indien</w:t>
            </w: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Default="00E73313" w:rsidP="00E328C3">
            <w:pPr>
              <w:keepNext/>
              <w:jc w:val="center"/>
              <w:rPr>
                <w:rFonts w:cs="Arial"/>
              </w:rPr>
            </w:pPr>
            <w:r>
              <w:rPr>
                <w:rFonts w:cs="Arial"/>
              </w:rPr>
              <w:t>Costa Rica</w:t>
            </w:r>
          </w:p>
        </w:tc>
        <w:tc>
          <w:tcPr>
            <w:tcW w:w="2670" w:type="dxa"/>
            <w:tcBorders>
              <w:top w:val="single" w:sz="4" w:space="0" w:color="000000"/>
              <w:left w:val="nil"/>
              <w:bottom w:val="single" w:sz="4" w:space="0" w:color="000000"/>
              <w:right w:val="single" w:sz="4" w:space="0" w:color="auto"/>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Tschechische Republik</w:t>
            </w:r>
          </w:p>
        </w:tc>
        <w:tc>
          <w:tcPr>
            <w:tcW w:w="2670" w:type="dxa"/>
            <w:tcBorders>
              <w:top w:val="single" w:sz="4" w:space="0" w:color="000000"/>
              <w:left w:val="single" w:sz="4" w:space="0" w:color="auto"/>
              <w:bottom w:val="single" w:sz="4" w:space="0" w:color="000000"/>
              <w:right w:val="single" w:sz="4" w:space="0" w:color="000000"/>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Japan</w:t>
            </w: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jc w:val="center"/>
              <w:rPr>
                <w:rFonts w:cs="Arial"/>
              </w:rPr>
            </w:pPr>
            <w:r>
              <w:rPr>
                <w:rFonts w:cs="Arial"/>
              </w:rPr>
              <w:t>Chile</w:t>
            </w:r>
          </w:p>
        </w:tc>
        <w:tc>
          <w:tcPr>
            <w:tcW w:w="2670" w:type="dxa"/>
            <w:tcBorders>
              <w:top w:val="single" w:sz="4" w:space="0" w:color="000000"/>
              <w:left w:val="nil"/>
              <w:bottom w:val="single" w:sz="4" w:space="0" w:color="000000"/>
              <w:right w:val="single" w:sz="4" w:space="0" w:color="auto"/>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Dänemark</w:t>
            </w:r>
          </w:p>
        </w:tc>
        <w:tc>
          <w:tcPr>
            <w:tcW w:w="2670" w:type="dxa"/>
            <w:tcBorders>
              <w:top w:val="single" w:sz="4" w:space="0" w:color="000000"/>
              <w:left w:val="single" w:sz="4" w:space="0" w:color="auto"/>
              <w:bottom w:val="single" w:sz="4" w:space="0" w:color="000000"/>
              <w:right w:val="single" w:sz="4" w:space="0" w:color="000000"/>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Korea</w:t>
            </w: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jc w:val="center"/>
              <w:rPr>
                <w:rFonts w:cs="Arial"/>
              </w:rPr>
            </w:pPr>
            <w:r>
              <w:rPr>
                <w:rFonts w:cs="Arial"/>
              </w:rPr>
              <w:t>Mexiko</w:t>
            </w:r>
          </w:p>
        </w:tc>
        <w:tc>
          <w:tcPr>
            <w:tcW w:w="2670" w:type="dxa"/>
            <w:tcBorders>
              <w:top w:val="single" w:sz="4" w:space="0" w:color="000000"/>
              <w:left w:val="nil"/>
              <w:bottom w:val="single" w:sz="4" w:space="0" w:color="000000"/>
              <w:right w:val="single" w:sz="4" w:space="0" w:color="auto"/>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Finnland</w:t>
            </w:r>
          </w:p>
        </w:tc>
        <w:tc>
          <w:tcPr>
            <w:tcW w:w="2670" w:type="dxa"/>
            <w:tcBorders>
              <w:top w:val="single" w:sz="4" w:space="0" w:color="000000"/>
              <w:left w:val="single" w:sz="4" w:space="0" w:color="auto"/>
              <w:bottom w:val="single" w:sz="4" w:space="0" w:color="000000"/>
              <w:right w:val="single" w:sz="4" w:space="0" w:color="000000"/>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Malaysia</w:t>
            </w: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jc w:val="center"/>
              <w:rPr>
                <w:rFonts w:cs="Arial"/>
              </w:rPr>
            </w:pPr>
            <w:r>
              <w:rPr>
                <w:rFonts w:cs="Arial"/>
              </w:rPr>
              <w:t>Peru</w:t>
            </w:r>
          </w:p>
        </w:tc>
        <w:tc>
          <w:tcPr>
            <w:tcW w:w="2670" w:type="dxa"/>
            <w:tcBorders>
              <w:top w:val="single" w:sz="4" w:space="0" w:color="000000"/>
              <w:left w:val="nil"/>
              <w:bottom w:val="single" w:sz="4" w:space="0" w:color="000000"/>
              <w:right w:val="single" w:sz="4" w:space="0" w:color="auto"/>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Frankreich</w:t>
            </w:r>
          </w:p>
        </w:tc>
        <w:tc>
          <w:tcPr>
            <w:tcW w:w="2670" w:type="dxa"/>
            <w:tcBorders>
              <w:top w:val="single" w:sz="4" w:space="0" w:color="000000"/>
              <w:left w:val="single" w:sz="4" w:space="0" w:color="auto"/>
              <w:bottom w:val="single" w:sz="4" w:space="0" w:color="000000"/>
              <w:right w:val="single" w:sz="4" w:space="0" w:color="000000"/>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Neuseeland</w:t>
            </w: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jc w:val="center"/>
              <w:rPr>
                <w:rFonts w:cs="Arial"/>
              </w:rPr>
            </w:pPr>
            <w:r>
              <w:rPr>
                <w:rFonts w:cs="Arial"/>
              </w:rPr>
              <w:t>Puerto Rico</w:t>
            </w:r>
          </w:p>
        </w:tc>
        <w:tc>
          <w:tcPr>
            <w:tcW w:w="2670" w:type="dxa"/>
            <w:tcBorders>
              <w:top w:val="single" w:sz="4" w:space="0" w:color="000000"/>
              <w:left w:val="nil"/>
              <w:bottom w:val="single" w:sz="4" w:space="0" w:color="000000"/>
              <w:right w:val="single" w:sz="4" w:space="0" w:color="auto"/>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Deutschland</w:t>
            </w:r>
          </w:p>
        </w:tc>
        <w:tc>
          <w:tcPr>
            <w:tcW w:w="2670" w:type="dxa"/>
            <w:tcBorders>
              <w:top w:val="single" w:sz="4" w:space="0" w:color="000000"/>
              <w:left w:val="single" w:sz="4" w:space="0" w:color="auto"/>
              <w:bottom w:val="single" w:sz="4" w:space="0" w:color="000000"/>
              <w:right w:val="single" w:sz="4" w:space="0" w:color="000000"/>
            </w:tcBorders>
          </w:tcPr>
          <w:p w:rsidR="00E73313" w:rsidRPr="003002D3" w:rsidRDefault="00E73313" w:rsidP="003002D3">
            <w:pPr>
              <w:pStyle w:val="ColorfulList-Accent11"/>
              <w:keepNext/>
              <w:spacing w:line="276" w:lineRule="auto"/>
              <w:ind w:left="0"/>
              <w:jc w:val="center"/>
              <w:rPr>
                <w:rFonts w:ascii="Tahoma" w:hAnsi="Tahoma" w:cs="Tahoma"/>
                <w:sz w:val="18"/>
                <w:szCs w:val="18"/>
              </w:rPr>
            </w:pPr>
            <w:r w:rsidRPr="003002D3">
              <w:rPr>
                <w:rFonts w:ascii="Tahoma" w:hAnsi="Tahoma" w:cs="Tahoma"/>
                <w:sz w:val="18"/>
                <w:szCs w:val="18"/>
              </w:rPr>
              <w:t>Singapur</w:t>
            </w: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jc w:val="center"/>
              <w:rPr>
                <w:rFonts w:cs="Arial"/>
              </w:rPr>
            </w:pPr>
            <w:r>
              <w:rPr>
                <w:rFonts w:cs="Arial"/>
              </w:rPr>
              <w:t>Trinidad und Tobago</w:t>
            </w:r>
          </w:p>
        </w:tc>
        <w:tc>
          <w:tcPr>
            <w:tcW w:w="2670" w:type="dxa"/>
            <w:tcBorders>
              <w:top w:val="single" w:sz="4" w:space="0" w:color="000000"/>
              <w:left w:val="nil"/>
              <w:bottom w:val="single" w:sz="4" w:space="0" w:color="000000"/>
              <w:right w:val="single" w:sz="4" w:space="0" w:color="auto"/>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Griechenland</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jc w:val="center"/>
              <w:rPr>
                <w:rFonts w:cs="Arial"/>
              </w:rPr>
            </w:pPr>
            <w:r>
              <w:rPr>
                <w:rFonts w:cs="Arial"/>
              </w:rPr>
              <w:t>Vereinigte Staaten</w:t>
            </w:r>
          </w:p>
        </w:tc>
        <w:tc>
          <w:tcPr>
            <w:tcW w:w="2670" w:type="dxa"/>
            <w:tcBorders>
              <w:top w:val="single" w:sz="4" w:space="0" w:color="000000"/>
              <w:left w:val="nil"/>
              <w:bottom w:val="single" w:sz="4" w:space="0" w:color="000000"/>
              <w:right w:val="single" w:sz="4" w:space="0" w:color="auto"/>
            </w:tcBorders>
          </w:tcPr>
          <w:p w:rsidR="00E73313" w:rsidRPr="00995EED" w:rsidRDefault="00E73313" w:rsidP="00E328C3">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Ungarn</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73313" w:rsidRPr="00D60167" w:rsidRDefault="00E73313" w:rsidP="00E328C3">
            <w:pPr>
              <w:pStyle w:val="ColorfulList-Accent11"/>
              <w:keepNext/>
              <w:spacing w:line="276" w:lineRule="auto"/>
              <w:ind w:left="0"/>
              <w:jc w:val="center"/>
              <w:rPr>
                <w:rFonts w:ascii="Tahoma" w:hAnsi="Tahoma" w:cs="Tahoma"/>
                <w:sz w:val="18"/>
                <w:szCs w:val="18"/>
              </w:rPr>
            </w:pPr>
            <w:r>
              <w:rPr>
                <w:rFonts w:ascii="Tahoma" w:hAnsi="Tahoma" w:cs="Tahoma"/>
                <w:sz w:val="18"/>
                <w:szCs w:val="18"/>
              </w:rPr>
              <w:t>Irland</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73313" w:rsidRPr="00D60167" w:rsidRDefault="00E73313" w:rsidP="00E328C3">
            <w:pPr>
              <w:pStyle w:val="ColorfulList-Accent11"/>
              <w:keepNext/>
              <w:spacing w:line="276" w:lineRule="auto"/>
              <w:ind w:left="0"/>
              <w:jc w:val="center"/>
              <w:rPr>
                <w:rFonts w:ascii="Tahoma" w:hAnsi="Tahoma" w:cs="Tahoma"/>
                <w:sz w:val="18"/>
                <w:szCs w:val="18"/>
              </w:rPr>
            </w:pPr>
            <w:r>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73313" w:rsidRPr="00D60167" w:rsidRDefault="00E73313" w:rsidP="00E328C3">
            <w:pPr>
              <w:pStyle w:val="ColorfulList-Accent11"/>
              <w:keepNext/>
              <w:spacing w:line="276" w:lineRule="auto"/>
              <w:ind w:left="0"/>
              <w:jc w:val="center"/>
              <w:rPr>
                <w:rFonts w:ascii="Tahoma" w:hAnsi="Tahoma" w:cs="Tahoma"/>
                <w:sz w:val="18"/>
                <w:szCs w:val="18"/>
              </w:rPr>
            </w:pPr>
            <w:r>
              <w:rPr>
                <w:rFonts w:ascii="Tahoma" w:hAnsi="Tahoma" w:cs="Tahoma"/>
                <w:sz w:val="18"/>
                <w:szCs w:val="18"/>
              </w:rPr>
              <w:t>Italien</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73313" w:rsidRPr="00D60167" w:rsidRDefault="00E73313" w:rsidP="00E328C3">
            <w:pPr>
              <w:pStyle w:val="ColorfulList-Accent11"/>
              <w:keepNext/>
              <w:spacing w:line="276" w:lineRule="auto"/>
              <w:ind w:left="0"/>
              <w:jc w:val="center"/>
              <w:rPr>
                <w:rFonts w:ascii="Tahoma" w:hAnsi="Tahoma" w:cs="Tahoma"/>
                <w:sz w:val="18"/>
                <w:szCs w:val="18"/>
              </w:rPr>
            </w:pPr>
            <w:r>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73313" w:rsidRPr="00D60167" w:rsidRDefault="00E73313" w:rsidP="00E328C3">
            <w:pPr>
              <w:pStyle w:val="ColorfulList-Accent11"/>
              <w:keepNext/>
              <w:spacing w:line="276" w:lineRule="auto"/>
              <w:ind w:left="0"/>
              <w:jc w:val="center"/>
              <w:rPr>
                <w:rFonts w:ascii="Tahoma" w:hAnsi="Tahoma" w:cs="Tahoma"/>
                <w:sz w:val="18"/>
                <w:szCs w:val="18"/>
              </w:rPr>
            </w:pPr>
            <w:r>
              <w:rPr>
                <w:rFonts w:ascii="Tahoma" w:hAnsi="Tahoma" w:cs="Tahoma"/>
                <w:sz w:val="18"/>
                <w:szCs w:val="18"/>
              </w:rPr>
              <w:t>Niederlande</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73313" w:rsidRPr="00D60167" w:rsidRDefault="00E73313" w:rsidP="00E328C3">
            <w:pPr>
              <w:pStyle w:val="ColorfulList-Accent11"/>
              <w:keepNext/>
              <w:spacing w:line="276" w:lineRule="auto"/>
              <w:ind w:left="0"/>
              <w:jc w:val="center"/>
              <w:rPr>
                <w:rFonts w:ascii="Tahoma" w:hAnsi="Tahoma" w:cs="Tahoma"/>
                <w:sz w:val="18"/>
                <w:szCs w:val="18"/>
              </w:rPr>
            </w:pPr>
            <w:r>
              <w:rPr>
                <w:rFonts w:ascii="Tahoma" w:hAnsi="Tahoma" w:cs="Tahoma"/>
                <w:sz w:val="18"/>
                <w:szCs w:val="18"/>
              </w:rPr>
              <w:t>Norwegen</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73313" w:rsidRPr="00D60167" w:rsidRDefault="00E73313" w:rsidP="00E328C3">
            <w:pPr>
              <w:pStyle w:val="ColorfulList-Accent11"/>
              <w:keepNext/>
              <w:spacing w:line="276" w:lineRule="auto"/>
              <w:ind w:left="0"/>
              <w:jc w:val="center"/>
              <w:rPr>
                <w:rFonts w:ascii="Tahoma" w:hAnsi="Tahoma" w:cs="Tahoma"/>
                <w:sz w:val="18"/>
                <w:szCs w:val="18"/>
              </w:rPr>
            </w:pPr>
            <w:r>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73313" w:rsidRPr="00D60167" w:rsidRDefault="00E73313" w:rsidP="00E328C3">
            <w:pPr>
              <w:pStyle w:val="ColorfulList-Accent11"/>
              <w:keepNext/>
              <w:spacing w:line="276" w:lineRule="auto"/>
              <w:ind w:left="0"/>
              <w:jc w:val="center"/>
              <w:rPr>
                <w:rFonts w:ascii="Tahoma" w:hAnsi="Tahoma" w:cs="Tahoma"/>
                <w:sz w:val="18"/>
                <w:szCs w:val="18"/>
              </w:rPr>
            </w:pPr>
            <w:r>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73313" w:rsidRPr="00D60167" w:rsidRDefault="00E73313" w:rsidP="00E328C3">
            <w:pPr>
              <w:pStyle w:val="ColorfulList-Accent11"/>
              <w:keepNext/>
              <w:spacing w:line="276" w:lineRule="auto"/>
              <w:ind w:left="0"/>
              <w:jc w:val="center"/>
              <w:rPr>
                <w:rFonts w:ascii="Tahoma" w:hAnsi="Tahoma" w:cs="Tahoma"/>
                <w:sz w:val="18"/>
                <w:szCs w:val="18"/>
              </w:rPr>
            </w:pPr>
            <w:r>
              <w:rPr>
                <w:rFonts w:ascii="Tahoma" w:hAnsi="Tahoma" w:cs="Tahoma"/>
                <w:sz w:val="18"/>
                <w:szCs w:val="18"/>
              </w:rPr>
              <w:t>Rumänien</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73313" w:rsidRPr="00D60167" w:rsidRDefault="00E73313" w:rsidP="00E328C3">
            <w:pPr>
              <w:pStyle w:val="ColorfulList-Accent11"/>
              <w:keepNext/>
              <w:spacing w:line="276" w:lineRule="auto"/>
              <w:ind w:left="0"/>
              <w:jc w:val="center"/>
              <w:rPr>
                <w:rFonts w:ascii="Tahoma" w:hAnsi="Tahoma" w:cs="Tahoma"/>
                <w:sz w:val="18"/>
                <w:szCs w:val="18"/>
              </w:rPr>
            </w:pPr>
            <w:r>
              <w:rPr>
                <w:rFonts w:ascii="Tahoma" w:hAnsi="Tahoma" w:cs="Tahoma"/>
                <w:sz w:val="18"/>
                <w:szCs w:val="18"/>
              </w:rPr>
              <w:t>Russland</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73313" w:rsidRPr="00D60167" w:rsidRDefault="00E73313" w:rsidP="00E328C3">
            <w:pPr>
              <w:pStyle w:val="ColorfulList-Accent11"/>
              <w:keepNext/>
              <w:spacing w:line="276" w:lineRule="auto"/>
              <w:ind w:left="0"/>
              <w:jc w:val="center"/>
              <w:rPr>
                <w:rFonts w:ascii="Tahoma" w:hAnsi="Tahoma" w:cs="Tahoma"/>
                <w:sz w:val="18"/>
                <w:szCs w:val="18"/>
              </w:rPr>
            </w:pPr>
            <w:r>
              <w:rPr>
                <w:rFonts w:ascii="Tahoma" w:hAnsi="Tahoma" w:cs="Tahoma"/>
                <w:sz w:val="18"/>
                <w:szCs w:val="18"/>
              </w:rPr>
              <w:t>Spanien</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73313" w:rsidRPr="00D60167" w:rsidRDefault="00E73313" w:rsidP="00E328C3">
            <w:pPr>
              <w:pStyle w:val="ColorfulList-Accent11"/>
              <w:keepNext/>
              <w:spacing w:line="276" w:lineRule="auto"/>
              <w:ind w:left="0"/>
              <w:jc w:val="center"/>
              <w:rPr>
                <w:rFonts w:ascii="Tahoma" w:hAnsi="Tahoma" w:cs="Tahoma"/>
                <w:sz w:val="18"/>
                <w:szCs w:val="18"/>
              </w:rPr>
            </w:pPr>
            <w:r>
              <w:rPr>
                <w:rFonts w:ascii="Tahoma" w:hAnsi="Tahoma" w:cs="Tahoma"/>
                <w:sz w:val="18"/>
                <w:szCs w:val="18"/>
              </w:rPr>
              <w:t>Schweden</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73313" w:rsidRPr="00D60167" w:rsidRDefault="00E73313" w:rsidP="00E328C3">
            <w:pPr>
              <w:pStyle w:val="ColorfulList-Accent11"/>
              <w:keepNext/>
              <w:spacing w:line="276" w:lineRule="auto"/>
              <w:ind w:left="0"/>
              <w:jc w:val="center"/>
              <w:rPr>
                <w:rFonts w:ascii="Tahoma" w:hAnsi="Tahoma" w:cs="Tahoma"/>
                <w:sz w:val="18"/>
                <w:szCs w:val="18"/>
              </w:rPr>
            </w:pPr>
            <w:r>
              <w:rPr>
                <w:rFonts w:ascii="Tahoma" w:hAnsi="Tahoma" w:cs="Tahoma"/>
                <w:sz w:val="18"/>
                <w:szCs w:val="18"/>
              </w:rPr>
              <w:t>Schweiz</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r w:rsidR="00E73313" w:rsidTr="00E328C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73313" w:rsidRPr="00C641EC" w:rsidRDefault="00E73313" w:rsidP="00E328C3">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73313" w:rsidRPr="00D60167" w:rsidRDefault="00E73313" w:rsidP="00E328C3">
            <w:pPr>
              <w:pStyle w:val="ColorfulList-Accent11"/>
              <w:keepNext/>
              <w:spacing w:line="276" w:lineRule="auto"/>
              <w:ind w:left="0"/>
              <w:jc w:val="center"/>
              <w:rPr>
                <w:rFonts w:ascii="Tahoma" w:hAnsi="Tahoma" w:cs="Tahoma"/>
                <w:sz w:val="18"/>
                <w:szCs w:val="18"/>
              </w:rPr>
            </w:pPr>
            <w:r>
              <w:rPr>
                <w:rFonts w:ascii="Tahoma" w:hAnsi="Tahoma" w:cs="Tahoma"/>
                <w:sz w:val="18"/>
                <w:szCs w:val="18"/>
              </w:rPr>
              <w:t>Vereinigtes Königreich</w:t>
            </w:r>
          </w:p>
        </w:tc>
        <w:tc>
          <w:tcPr>
            <w:tcW w:w="2670" w:type="dxa"/>
            <w:tcBorders>
              <w:top w:val="single" w:sz="4" w:space="0" w:color="000000"/>
              <w:left w:val="single" w:sz="4" w:space="0" w:color="auto"/>
              <w:bottom w:val="single" w:sz="4" w:space="0" w:color="000000"/>
              <w:right w:val="single" w:sz="4" w:space="0" w:color="000000"/>
            </w:tcBorders>
          </w:tcPr>
          <w:p w:rsidR="00E73313" w:rsidRDefault="00E73313" w:rsidP="00E328C3">
            <w:pPr>
              <w:pStyle w:val="ColorfulList-Accent11"/>
              <w:keepNext/>
              <w:spacing w:line="276" w:lineRule="auto"/>
              <w:ind w:left="540"/>
              <w:jc w:val="center"/>
              <w:rPr>
                <w:rFonts w:ascii="Tahoma" w:hAnsi="Tahoma" w:cs="Tahoma"/>
                <w:color w:val="000000"/>
                <w:sz w:val="18"/>
                <w:szCs w:val="20"/>
              </w:rPr>
            </w:pPr>
          </w:p>
        </w:tc>
      </w:tr>
    </w:tbl>
    <w:p w:rsidR="00E73313" w:rsidRPr="0062435A" w:rsidRDefault="00E73313" w:rsidP="00E73313">
      <w:pPr>
        <w:ind w:left="540"/>
      </w:pPr>
    </w:p>
    <w:p w:rsidR="00E73313" w:rsidRPr="0062435A" w:rsidRDefault="00E73313" w:rsidP="00E73313">
      <w:pPr>
        <w:ind w:left="540"/>
      </w:pPr>
    </w:p>
    <w:p w:rsidR="00E73313" w:rsidRPr="0062435A" w:rsidRDefault="00E73313" w:rsidP="00E73313">
      <w:pPr>
        <w:spacing w:after="60"/>
        <w:ind w:left="720"/>
      </w:pPr>
      <w:r>
        <w:rPr>
          <w:rFonts w:cs="Tahoma"/>
          <w:b/>
          <w:bCs/>
          <w:color w:val="000000"/>
          <w:szCs w:val="18"/>
        </w:rPr>
        <w:t>Campus- und School-Vertrag</w:t>
      </w:r>
    </w:p>
    <w:p w:rsidR="00E73313" w:rsidRPr="00571807" w:rsidRDefault="00E73313" w:rsidP="00E73313">
      <w:pPr>
        <w:ind w:left="720"/>
        <w:rPr>
          <w:lang w:val="de-DE"/>
        </w:rPr>
      </w:pPr>
      <w:r w:rsidRPr="00571807">
        <w:rPr>
          <w:rFonts w:cs="Tahoma"/>
          <w:color w:val="000000"/>
          <w:szCs w:val="18"/>
          <w:lang w:val="de-DE"/>
        </w:rPr>
        <w:t>Abonnementlizenzen für Microsoft Dynamics CRM Online, die im Rahmen eines Campus- und School-Vertrages verkauft werden, können für die gesamte Einrichtung oder nur Teile davon erworben werden</w:t>
      </w:r>
      <w:r w:rsidR="006257A7">
        <w:rPr>
          <w:rFonts w:cs="Tahoma"/>
          <w:color w:val="000000"/>
          <w:szCs w:val="18"/>
          <w:lang w:val="de-DE"/>
        </w:rPr>
        <w:t xml:space="preserve">. </w:t>
      </w:r>
      <w:r w:rsidRPr="00571807">
        <w:rPr>
          <w:rFonts w:cs="Tahoma"/>
          <w:color w:val="000000"/>
          <w:szCs w:val="18"/>
          <w:lang w:val="de-DE"/>
        </w:rPr>
        <w:t>Abonnementlizenzen müssen für jeden Nutzer einzeln abgeschlossen werden</w:t>
      </w:r>
      <w:r w:rsidR="006257A7">
        <w:rPr>
          <w:rFonts w:cs="Tahoma"/>
          <w:color w:val="000000"/>
          <w:szCs w:val="18"/>
          <w:lang w:val="de-DE"/>
        </w:rPr>
        <w:t xml:space="preserve">. </w:t>
      </w:r>
      <w:r w:rsidRPr="00571807">
        <w:rPr>
          <w:rFonts w:cs="Tahoma"/>
          <w:color w:val="000000"/>
          <w:szCs w:val="18"/>
          <w:lang w:val="de-DE"/>
        </w:rPr>
        <w:t>Wenn während der Laufzeit zusätzliche Nutzer-Abonne</w:t>
      </w:r>
      <w:bookmarkStart w:id="1219" w:name="Srv_41DuetEnterpriseforOfficeandSAP"/>
      <w:bookmarkStart w:id="1220" w:name="Srv_38EntCALSuite"/>
      <w:r w:rsidRPr="00571807">
        <w:rPr>
          <w:rFonts w:cs="Tahoma"/>
          <w:color w:val="000000"/>
          <w:szCs w:val="18"/>
          <w:lang w:val="de-DE"/>
        </w:rPr>
        <w:t>mentlizenzen für den Zugriff auf Microsoft Dynamic CRM benötigt werden, muss eine entsprechende Anzahl an Nutzer-ALs bestellt werden</w:t>
      </w:r>
      <w:r w:rsidR="006257A7">
        <w:rPr>
          <w:rFonts w:cs="Tahoma"/>
          <w:color w:val="000000"/>
          <w:szCs w:val="18"/>
          <w:lang w:val="de-DE"/>
        </w:rPr>
        <w:t xml:space="preserve">. </w:t>
      </w:r>
    </w:p>
    <w:p w:rsidR="00E73313" w:rsidRDefault="00E73313" w:rsidP="00E73313">
      <w:pPr>
        <w:ind w:left="720"/>
        <w:rPr>
          <w:lang w:val="de-DE"/>
        </w:rPr>
      </w:pPr>
    </w:p>
    <w:p w:rsidR="00F81961" w:rsidRDefault="00F81961" w:rsidP="00E73313">
      <w:pPr>
        <w:ind w:left="720"/>
        <w:rPr>
          <w:lang w:val="de-DE"/>
        </w:rPr>
      </w:pPr>
    </w:p>
    <w:p w:rsidR="00E73313" w:rsidRPr="00945FA5" w:rsidRDefault="00E73313" w:rsidP="00E73313">
      <w:pPr>
        <w:spacing w:after="60"/>
        <w:ind w:left="720"/>
        <w:rPr>
          <w:spacing w:val="-2"/>
          <w:lang w:val="de-DE"/>
        </w:rPr>
      </w:pPr>
      <w:r w:rsidRPr="00945FA5">
        <w:rPr>
          <w:b/>
          <w:spacing w:val="-2"/>
          <w:lang w:val="de-DE"/>
        </w:rPr>
        <w:t>Microsoft Dynamics CRM Online – Microsoft Dynamics Marketing Online-Integrationsgewährung</w:t>
      </w:r>
    </w:p>
    <w:p w:rsidR="00E73313" w:rsidRPr="00571807" w:rsidRDefault="00E73313" w:rsidP="00E73313">
      <w:pPr>
        <w:ind w:left="720"/>
        <w:rPr>
          <w:lang w:val="de-DE"/>
        </w:rPr>
      </w:pPr>
      <w:r w:rsidRPr="00571807">
        <w:rPr>
          <w:lang w:val="de-DE"/>
        </w:rPr>
        <w:t xml:space="preserve">Der folgende Lizenzverzicht gilt für lizenzierte Nutzer von Microsoft Dynamics Marketing Online mit aktivem Wartungssupport und Upgrade-Option für den direkten oder indirekten Zugriff auf den Microsoft Dynamics CRM Online-Service über den </w:t>
      </w:r>
      <w:r w:rsidRPr="00571807">
        <w:rPr>
          <w:bCs/>
          <w:lang w:val="de-DE"/>
        </w:rPr>
        <w:t>MarketingPilot Connector für Microsoft Dynamics CRM-</w:t>
      </w:r>
      <w:r w:rsidRPr="00571807">
        <w:rPr>
          <w:lang w:val="de-DE"/>
        </w:rPr>
        <w:t>Software ausschließlich zum Synchronisieren von Kundendaten</w:t>
      </w:r>
      <w:r w:rsidR="006257A7">
        <w:rPr>
          <w:lang w:val="de-DE"/>
        </w:rPr>
        <w:t xml:space="preserve">. </w:t>
      </w:r>
      <w:r w:rsidRPr="00571807">
        <w:rPr>
          <w:lang w:val="de-DE"/>
        </w:rPr>
        <w:t>Diese Nutzer benötigen keine Nutzer-AL für Microsoft Dynamics CRM Online</w:t>
      </w:r>
      <w:r w:rsidR="006257A7">
        <w:rPr>
          <w:lang w:val="de-DE"/>
        </w:rPr>
        <w:t xml:space="preserve">. </w:t>
      </w:r>
      <w:r w:rsidRPr="00571807">
        <w:rPr>
          <w:lang w:val="de-DE"/>
        </w:rPr>
        <w:t>Dieser Verzicht gilt bis zum</w:t>
      </w:r>
      <w:r w:rsidRPr="00571807">
        <w:rPr>
          <w:rFonts w:eastAsia="Calibri"/>
          <w:lang w:val="de-DE"/>
        </w:rPr>
        <w:t xml:space="preserve"> </w:t>
      </w:r>
      <w:r w:rsidRPr="00571807">
        <w:rPr>
          <w:lang w:val="de-DE"/>
        </w:rPr>
        <w:t>30</w:t>
      </w:r>
      <w:r w:rsidR="006257A7">
        <w:rPr>
          <w:lang w:val="de-DE"/>
        </w:rPr>
        <w:t xml:space="preserve">. </w:t>
      </w:r>
      <w:r w:rsidRPr="00571807">
        <w:rPr>
          <w:lang w:val="de-DE"/>
        </w:rPr>
        <w:t>Juni 2014</w:t>
      </w:r>
      <w:r w:rsidR="006257A7">
        <w:rPr>
          <w:lang w:val="de-DE"/>
        </w:rPr>
        <w:t xml:space="preserve">. </w:t>
      </w:r>
      <w:r w:rsidRPr="00571807">
        <w:rPr>
          <w:lang w:val="de-DE"/>
        </w:rPr>
        <w:t>Danach behält sich Microsoft das Recht vor, entsprechende Nutzer-ALs zu verlangen</w:t>
      </w:r>
      <w:r w:rsidR="006257A7">
        <w:rPr>
          <w:lang w:val="de-DE"/>
        </w:rPr>
        <w:t xml:space="preserve">. </w:t>
      </w:r>
      <w:bookmarkStart w:id="1221" w:name="Srv_45EntCALBridgeWinIntune"/>
      <w:bookmarkEnd w:id="1219"/>
    </w:p>
    <w:p w:rsidR="00E73313" w:rsidRPr="00571807" w:rsidRDefault="00E73313" w:rsidP="003002D3">
      <w:pPr>
        <w:pStyle w:val="Heading3"/>
        <w:ind w:left="234" w:hanging="234"/>
        <w:rPr>
          <w:lang w:val="de-DE"/>
        </w:rPr>
      </w:pPr>
      <w:bookmarkStart w:id="1222" w:name="_41_Duet_Enterprise"/>
      <w:bookmarkStart w:id="1223" w:name="_41_Enterprise_CAL"/>
      <w:bookmarkStart w:id="1224" w:name="_46_Enterprise_CAL"/>
      <w:bookmarkStart w:id="1225" w:name="_Toc336338303"/>
      <w:bookmarkStart w:id="1226" w:name="_Toc363999044"/>
      <w:bookmarkEnd w:id="1222"/>
      <w:bookmarkEnd w:id="1223"/>
      <w:bookmarkEnd w:id="1224"/>
      <w:r w:rsidRPr="00571807">
        <w:rPr>
          <w:rFonts w:ascii="Tahoma" w:hAnsi="Tahoma" w:cs="Tahoma"/>
          <w:caps/>
          <w:color w:val="F66400"/>
          <w:sz w:val="22"/>
          <w:vertAlign w:val="superscript"/>
          <w:lang w:val="de-DE"/>
        </w:rPr>
        <w:t>47</w:t>
      </w:r>
      <w:r w:rsidRPr="003002D3">
        <w:rPr>
          <w:rFonts w:ascii="Tahoma" w:hAnsi="Tahoma" w:cs="Tahoma"/>
          <w:caps/>
          <w:color w:val="F66400"/>
          <w:sz w:val="22"/>
          <w:lang w:val="de-DE"/>
        </w:rPr>
        <w:t xml:space="preserve"> </w:t>
      </w:r>
      <w:r w:rsidRPr="00571807">
        <w:rPr>
          <w:rFonts w:ascii="Tahoma" w:hAnsi="Tahoma"/>
          <w:color w:val="F66400"/>
          <w:sz w:val="22"/>
          <w:lang w:val="de-DE"/>
        </w:rPr>
        <w:t>Enterprise CAL Suite Bridge für Office 365, Enterprise CAL Suite Bridge für Office 365 und Windows</w:t>
      </w:r>
      <w:r w:rsidR="0069040B" w:rsidRPr="0069040B">
        <w:rPr>
          <w:rFonts w:ascii="Tahoma" w:hAnsi="Tahoma"/>
          <w:color w:val="F66400"/>
          <w:sz w:val="22"/>
          <w:vertAlign w:val="superscript"/>
          <w:lang w:val="de-DE"/>
        </w:rPr>
        <w:t>®</w:t>
      </w:r>
      <w:r w:rsidRPr="00571807">
        <w:rPr>
          <w:rFonts w:ascii="Tahoma" w:hAnsi="Tahoma"/>
          <w:color w:val="F66400"/>
          <w:sz w:val="22"/>
          <w:lang w:val="de-DE"/>
        </w:rPr>
        <w:t xml:space="preserve"> Intune und Enterprise CAL Suite Bridge für Windows</w:t>
      </w:r>
      <w:r w:rsidR="0069040B" w:rsidRPr="0069040B">
        <w:rPr>
          <w:rFonts w:ascii="Tahoma" w:hAnsi="Tahoma"/>
          <w:color w:val="F66400"/>
          <w:sz w:val="22"/>
          <w:vertAlign w:val="superscript"/>
          <w:lang w:val="de-DE"/>
        </w:rPr>
        <w:t>®</w:t>
      </w:r>
      <w:r w:rsidRPr="00571807">
        <w:rPr>
          <w:rFonts w:ascii="Tahoma" w:hAnsi="Tahoma"/>
          <w:color w:val="F66400"/>
          <w:sz w:val="22"/>
          <w:lang w:val="de-DE"/>
        </w:rPr>
        <w:t xml:space="preserve"> Intune</w:t>
      </w:r>
      <w:bookmarkEnd w:id="1225"/>
      <w:bookmarkEnd w:id="1226"/>
      <w:r w:rsidRPr="00571807">
        <w:rPr>
          <w:rFonts w:ascii="Tahoma" w:hAnsi="Tahoma"/>
          <w:color w:val="F66400"/>
          <w:sz w:val="22"/>
          <w:lang w:val="de-DE"/>
        </w:rPr>
        <w:t xml:space="preserve"> </w:t>
      </w:r>
    </w:p>
    <w:p w:rsidR="00E73313" w:rsidRPr="00571807" w:rsidRDefault="00E73313" w:rsidP="00E73313">
      <w:pPr>
        <w:rPr>
          <w:lang w:val="de-DE"/>
        </w:rPr>
      </w:pPr>
    </w:p>
    <w:bookmarkEnd w:id="1221"/>
    <w:p w:rsidR="00E73313" w:rsidRPr="00571807" w:rsidRDefault="00E73313" w:rsidP="00E73313">
      <w:pPr>
        <w:spacing w:after="60"/>
        <w:ind w:left="720"/>
        <w:rPr>
          <w:lang w:val="de-DE"/>
        </w:rPr>
      </w:pPr>
      <w:r w:rsidRPr="00571807">
        <w:rPr>
          <w:rFonts w:cs="Tahoma"/>
          <w:b/>
          <w:szCs w:val="18"/>
          <w:lang w:val="de-DE"/>
        </w:rPr>
        <w:t>Definition</w:t>
      </w:r>
    </w:p>
    <w:p w:rsidR="00E73313" w:rsidRPr="00571807" w:rsidRDefault="00E73313" w:rsidP="00E73313">
      <w:pPr>
        <w:ind w:left="720"/>
        <w:rPr>
          <w:lang w:val="de-DE"/>
        </w:rPr>
      </w:pPr>
      <w:r w:rsidRPr="00571807">
        <w:rPr>
          <w:rFonts w:cs="Tahoma"/>
          <w:szCs w:val="18"/>
          <w:lang w:val="de-DE"/>
        </w:rPr>
        <w:t>„Übergang“ ist die Umwandlung einer Lizenz mit aktueller Software Assurance in eine oder von einer Abonnementlizenz</w:t>
      </w:r>
      <w:r w:rsidR="006257A7">
        <w:rPr>
          <w:rFonts w:cs="Tahoma"/>
          <w:szCs w:val="18"/>
          <w:lang w:val="de-DE"/>
        </w:rPr>
        <w:t xml:space="preserve">. </w:t>
      </w:r>
    </w:p>
    <w:p w:rsidR="00E73313" w:rsidRPr="00571807" w:rsidRDefault="00E73313" w:rsidP="00E73313">
      <w:pPr>
        <w:rPr>
          <w:lang w:val="de-DE"/>
        </w:rPr>
      </w:pPr>
    </w:p>
    <w:p w:rsidR="00E73313" w:rsidRPr="00571807" w:rsidRDefault="00E73313" w:rsidP="00E73313">
      <w:pPr>
        <w:spacing w:after="60"/>
        <w:ind w:left="720"/>
        <w:rPr>
          <w:lang w:val="de-DE"/>
        </w:rPr>
      </w:pPr>
      <w:r w:rsidRPr="00571807">
        <w:rPr>
          <w:rFonts w:cs="Tahoma"/>
          <w:b/>
          <w:szCs w:val="18"/>
          <w:lang w:val="de-DE"/>
        </w:rPr>
        <w:t>Anwendbare Nutzungsrechte</w:t>
      </w:r>
    </w:p>
    <w:p w:rsidR="00E73313" w:rsidRPr="00571807" w:rsidRDefault="00E73313" w:rsidP="00E73313">
      <w:pPr>
        <w:ind w:left="720"/>
        <w:rPr>
          <w:lang w:val="de-DE"/>
        </w:rPr>
      </w:pPr>
      <w:r w:rsidRPr="00571807">
        <w:rPr>
          <w:rFonts w:eastAsia="Calibri" w:cs="Tahoma"/>
          <w:szCs w:val="18"/>
          <w:lang w:val="de-DE"/>
        </w:rPr>
        <w:t>Eine CAL Suite Bridge hat keine Versionsnummer, und die Produktbenutzungsrechte hängen vom Status der Software Assurance dafür ab</w:t>
      </w:r>
      <w:r w:rsidR="006257A7">
        <w:rPr>
          <w:rFonts w:eastAsia="Calibri" w:cs="Tahoma"/>
          <w:szCs w:val="18"/>
          <w:lang w:val="de-DE"/>
        </w:rPr>
        <w:t xml:space="preserve">. </w:t>
      </w:r>
      <w:r w:rsidRPr="00571807">
        <w:rPr>
          <w:rFonts w:eastAsia="Calibri" w:cs="Tahoma"/>
          <w:szCs w:val="18"/>
          <w:lang w:val="de-DE"/>
        </w:rPr>
        <w:t>Falls Software Assurance unterbrochen wird, hängen die Zugriffsrechte im Rahmen zeitlich unbeschränkter Lizenzen von den Produktbenutzungsrechten ab, die vor der Unterbrechung galten</w:t>
      </w:r>
      <w:r w:rsidR="006257A7">
        <w:rPr>
          <w:rFonts w:eastAsia="Calibri" w:cs="Tahoma"/>
          <w:szCs w:val="18"/>
          <w:lang w:val="de-DE"/>
        </w:rPr>
        <w:t xml:space="preserve">. </w:t>
      </w:r>
      <w:r w:rsidRPr="00571807">
        <w:rPr>
          <w:rFonts w:eastAsia="Calibri" w:cs="Tahoma"/>
          <w:szCs w:val="18"/>
          <w:lang w:val="de-DE"/>
        </w:rPr>
        <w:t>Eine Lizenz für eine CAL Suite Bridge ist eine einzelne Lizenz, die einem einzelnen Nutzer oder Gerät zugewiesen werden muss</w:t>
      </w:r>
      <w:r w:rsidR="006257A7">
        <w:rPr>
          <w:rFonts w:eastAsia="Calibri" w:cs="Tahoma"/>
          <w:szCs w:val="18"/>
          <w:lang w:val="de-DE"/>
        </w:rPr>
        <w:t xml:space="preserve">. </w:t>
      </w:r>
    </w:p>
    <w:p w:rsidR="00E73313" w:rsidRPr="00571807" w:rsidRDefault="00E73313" w:rsidP="00E73313">
      <w:pPr>
        <w:ind w:left="720"/>
        <w:rPr>
          <w:lang w:val="de-DE"/>
        </w:rPr>
      </w:pPr>
    </w:p>
    <w:p w:rsidR="00E73313" w:rsidRPr="00571807" w:rsidRDefault="00E73313" w:rsidP="00E73313">
      <w:pPr>
        <w:spacing w:after="60"/>
        <w:ind w:left="720"/>
        <w:rPr>
          <w:lang w:val="de-DE"/>
        </w:rPr>
      </w:pPr>
      <w:r w:rsidRPr="00571807">
        <w:rPr>
          <w:rFonts w:cs="Tahoma"/>
          <w:b/>
          <w:szCs w:val="18"/>
          <w:lang w:val="de-DE"/>
        </w:rPr>
        <w:t>Anforderungen</w:t>
      </w:r>
    </w:p>
    <w:p w:rsidR="00E73313" w:rsidRPr="00571807" w:rsidRDefault="00E73313" w:rsidP="00E73313">
      <w:pPr>
        <w:ind w:left="720"/>
        <w:rPr>
          <w:lang w:val="de-DE"/>
        </w:rPr>
      </w:pPr>
      <w:r w:rsidRPr="00571807">
        <w:rPr>
          <w:rFonts w:eastAsia="Calibri" w:cs="Tahoma"/>
          <w:szCs w:val="18"/>
          <w:lang w:val="de-DE"/>
        </w:rPr>
        <w:t>Eine CAL Suite Bridge ist möglicherweise bei einem Übergang von einer CAL Suite zu einer vergleichbaren Kombination aus Produkt und Onlinediensten erforderlich</w:t>
      </w:r>
      <w:r w:rsidR="006257A7">
        <w:rPr>
          <w:rFonts w:eastAsia="Calibri" w:cs="Tahoma"/>
          <w:szCs w:val="18"/>
          <w:lang w:val="de-DE"/>
        </w:rPr>
        <w:t xml:space="preserve">. </w:t>
      </w:r>
      <w:r w:rsidRPr="00571807">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6257A7">
        <w:rPr>
          <w:rFonts w:eastAsia="Calibri" w:cs="Tahoma"/>
          <w:szCs w:val="18"/>
          <w:lang w:val="de-DE"/>
        </w:rPr>
        <w:t xml:space="preserve">. </w:t>
      </w:r>
      <w:r w:rsidRPr="00571807">
        <w:rPr>
          <w:rFonts w:eastAsia="Calibri" w:cs="Tahoma"/>
          <w:szCs w:val="18"/>
          <w:lang w:val="de-DE"/>
        </w:rPr>
        <w:t>Stattdessen kann am Jahrestag des Beitritts, für den der Übergang wirksam ist, Software Assurance für die CAL Suite Bridge erworben werden</w:t>
      </w:r>
      <w:r w:rsidR="006257A7">
        <w:rPr>
          <w:rFonts w:eastAsia="Calibri" w:cs="Tahoma"/>
          <w:szCs w:val="18"/>
          <w:lang w:val="de-DE"/>
        </w:rPr>
        <w:t xml:space="preserve">. </w:t>
      </w:r>
      <w:r w:rsidRPr="00571807">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006257A7">
        <w:rPr>
          <w:rFonts w:eastAsia="Calibri" w:cs="Tahoma"/>
          <w:szCs w:val="18"/>
          <w:lang w:val="de-DE"/>
        </w:rPr>
        <w:t xml:space="preserve">. </w:t>
      </w:r>
    </w:p>
    <w:p w:rsidR="00E73313" w:rsidRPr="00571807" w:rsidRDefault="00E73313" w:rsidP="00E73313">
      <w:pPr>
        <w:ind w:left="720"/>
        <w:rPr>
          <w:lang w:val="de-DE"/>
        </w:rPr>
      </w:pPr>
    </w:p>
    <w:p w:rsidR="00E73313" w:rsidRPr="00571807" w:rsidRDefault="00E73313" w:rsidP="00E4647E">
      <w:pPr>
        <w:ind w:left="720"/>
        <w:rPr>
          <w:lang w:val="de-DE"/>
        </w:rPr>
      </w:pPr>
      <w:r w:rsidRPr="00571807">
        <w:rPr>
          <w:rFonts w:eastAsia="Calibri" w:cs="Tahoma"/>
          <w:szCs w:val="18"/>
          <w:lang w:val="de-DE"/>
        </w:rPr>
        <w:t>Eine CAL Suite Bridge ist ein Konzernprodukt und darf nur in Verbindung mit ihrem qualifizierenden Onlinedienst lizenziert werden, um die unternehmensweite Anforderung dieser CAL Suite Bridge oder der</w:t>
      </w:r>
      <w:r w:rsidR="00E4647E">
        <w:rPr>
          <w:rFonts w:eastAsia="Calibri" w:cs="Tahoma"/>
          <w:szCs w:val="18"/>
          <w:lang w:val="de-DE"/>
        </w:rPr>
        <w:t> </w:t>
      </w:r>
      <w:r w:rsidRPr="00571807">
        <w:rPr>
          <w:rFonts w:eastAsia="Calibri" w:cs="Tahoma"/>
          <w:szCs w:val="18"/>
          <w:lang w:val="de-DE"/>
        </w:rPr>
        <w:t>übergeordneten CAL Suite zu erfüllen</w:t>
      </w:r>
      <w:r w:rsidR="006257A7">
        <w:rPr>
          <w:rFonts w:eastAsia="Calibri" w:cs="Tahoma"/>
          <w:szCs w:val="18"/>
          <w:lang w:val="de-DE"/>
        </w:rPr>
        <w:t xml:space="preserve">. </w:t>
      </w:r>
    </w:p>
    <w:p w:rsidR="00E73313" w:rsidRPr="00571807" w:rsidRDefault="00E73313" w:rsidP="00E73313">
      <w:pPr>
        <w:ind w:left="720"/>
        <w:rPr>
          <w:lang w:val="de-DE"/>
        </w:rPr>
      </w:pPr>
    </w:p>
    <w:tbl>
      <w:tblPr>
        <w:tblW w:w="4394" w:type="pct"/>
        <w:jc w:val="center"/>
        <w:tblCellMar>
          <w:left w:w="0" w:type="dxa"/>
          <w:right w:w="0" w:type="dxa"/>
        </w:tblCellMar>
        <w:tblLook w:val="04A0" w:firstRow="1" w:lastRow="0" w:firstColumn="1" w:lastColumn="0" w:noHBand="0" w:noVBand="1"/>
      </w:tblPr>
      <w:tblGrid>
        <w:gridCol w:w="2953"/>
        <w:gridCol w:w="2519"/>
        <w:gridCol w:w="2771"/>
      </w:tblGrid>
      <w:tr w:rsidR="00E73313" w:rsidRPr="00162A93" w:rsidTr="00E4647E">
        <w:trPr>
          <w:tblHeader/>
          <w:jc w:val="center"/>
        </w:trPr>
        <w:tc>
          <w:tcPr>
            <w:tcW w:w="1791"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E73313" w:rsidRPr="00162A93" w:rsidRDefault="00E73313" w:rsidP="00E328C3">
            <w:pPr>
              <w:spacing w:before="120" w:after="120" w:line="276" w:lineRule="auto"/>
              <w:ind w:left="175"/>
              <w:jc w:val="center"/>
              <w:rPr>
                <w:rFonts w:eastAsia="Calibri" w:cs="Tahoma"/>
                <w:b/>
                <w:bCs/>
                <w:color w:val="000000"/>
                <w:szCs w:val="18"/>
                <w:lang w:eastAsia="ja-JP"/>
              </w:rPr>
            </w:pPr>
            <w:r>
              <w:rPr>
                <w:rFonts w:eastAsia="Calibri" w:cs="Tahoma"/>
                <w:b/>
                <w:bCs/>
                <w:szCs w:val="18"/>
              </w:rPr>
              <w:t>CAL Suite Bridge</w:t>
            </w:r>
          </w:p>
        </w:tc>
        <w:tc>
          <w:tcPr>
            <w:tcW w:w="1528" w:type="pct"/>
            <w:tcBorders>
              <w:top w:val="single" w:sz="8" w:space="0" w:color="auto"/>
              <w:left w:val="nil"/>
              <w:bottom w:val="single" w:sz="8" w:space="0" w:color="auto"/>
              <w:right w:val="single" w:sz="8" w:space="0" w:color="auto"/>
            </w:tcBorders>
            <w:shd w:val="clear" w:color="auto" w:fill="FABF8F"/>
            <w:vAlign w:val="center"/>
            <w:hideMark/>
          </w:tcPr>
          <w:p w:rsidR="00E73313" w:rsidRPr="00162A93" w:rsidRDefault="00E73313" w:rsidP="00E4647E">
            <w:pPr>
              <w:spacing w:before="120" w:after="120" w:line="276" w:lineRule="auto"/>
              <w:ind w:left="180"/>
              <w:jc w:val="center"/>
              <w:rPr>
                <w:rFonts w:eastAsia="Calibri" w:cs="Tahoma"/>
                <w:b/>
                <w:bCs/>
                <w:color w:val="000000"/>
                <w:szCs w:val="18"/>
                <w:lang w:eastAsia="ja-JP"/>
              </w:rPr>
            </w:pPr>
            <w:r>
              <w:rPr>
                <w:rFonts w:eastAsia="Calibri" w:cs="Tahoma"/>
                <w:b/>
                <w:bCs/>
                <w:szCs w:val="18"/>
              </w:rPr>
              <w:t>Übergeordnete CAL</w:t>
            </w:r>
            <w:r w:rsidR="00E4647E">
              <w:rPr>
                <w:rFonts w:eastAsia="Calibri" w:cs="Tahoma"/>
                <w:b/>
                <w:bCs/>
                <w:szCs w:val="18"/>
              </w:rPr>
              <w:t> </w:t>
            </w:r>
            <w:r>
              <w:rPr>
                <w:rFonts w:eastAsia="Calibri" w:cs="Tahoma"/>
                <w:b/>
                <w:bCs/>
                <w:szCs w:val="18"/>
              </w:rPr>
              <w:t>Suite</w:t>
            </w:r>
          </w:p>
        </w:tc>
        <w:tc>
          <w:tcPr>
            <w:tcW w:w="1681" w:type="pct"/>
            <w:tcBorders>
              <w:top w:val="single" w:sz="8" w:space="0" w:color="auto"/>
              <w:left w:val="nil"/>
              <w:bottom w:val="single" w:sz="8" w:space="0" w:color="auto"/>
              <w:right w:val="single" w:sz="8" w:space="0" w:color="auto"/>
            </w:tcBorders>
            <w:shd w:val="clear" w:color="auto" w:fill="FABF8F"/>
            <w:vAlign w:val="center"/>
            <w:hideMark/>
          </w:tcPr>
          <w:p w:rsidR="00E73313" w:rsidRPr="00162A93" w:rsidRDefault="00E73313" w:rsidP="00E328C3">
            <w:pPr>
              <w:spacing w:before="120" w:after="120" w:line="276" w:lineRule="auto"/>
              <w:ind w:left="180" w:right="247"/>
              <w:jc w:val="center"/>
              <w:rPr>
                <w:rFonts w:eastAsia="Calibri" w:cs="Tahoma"/>
                <w:b/>
                <w:bCs/>
                <w:color w:val="000000"/>
                <w:szCs w:val="18"/>
                <w:lang w:eastAsia="ja-JP"/>
              </w:rPr>
            </w:pPr>
            <w:r>
              <w:rPr>
                <w:rFonts w:eastAsia="Calibri" w:cs="Tahoma"/>
                <w:b/>
                <w:bCs/>
                <w:szCs w:val="18"/>
              </w:rPr>
              <w:t>Qualifizierende Onlinedienste</w:t>
            </w:r>
          </w:p>
        </w:tc>
      </w:tr>
      <w:tr w:rsidR="00E73313" w:rsidRPr="00162A93" w:rsidTr="00E4647E">
        <w:trPr>
          <w:trHeight w:val="576"/>
          <w:jc w:val="center"/>
        </w:trPr>
        <w:tc>
          <w:tcPr>
            <w:tcW w:w="1791" w:type="pct"/>
            <w:tcBorders>
              <w:top w:val="nil"/>
              <w:left w:val="single" w:sz="8" w:space="0" w:color="auto"/>
              <w:bottom w:val="single" w:sz="8" w:space="0" w:color="auto"/>
              <w:right w:val="single" w:sz="8" w:space="0" w:color="auto"/>
            </w:tcBorders>
          </w:tcPr>
          <w:p w:rsidR="00E73313" w:rsidRPr="00162A93" w:rsidRDefault="00E73313" w:rsidP="00E328C3">
            <w:pPr>
              <w:numPr>
                <w:ilvl w:val="0"/>
                <w:numId w:val="43"/>
              </w:numPr>
              <w:spacing w:before="60" w:after="60" w:line="276" w:lineRule="auto"/>
              <w:ind w:left="535" w:right="180"/>
              <w:rPr>
                <w:rFonts w:eastAsia="Calibri" w:cs="Tahoma"/>
                <w:szCs w:val="18"/>
              </w:rPr>
            </w:pPr>
            <w:r>
              <w:rPr>
                <w:rFonts w:eastAsia="Calibri" w:cs="Tahoma"/>
                <w:color w:val="000000"/>
                <w:szCs w:val="18"/>
              </w:rPr>
              <w:t>Enterprise CAL Suite Bridge für Office 365</w:t>
            </w:r>
          </w:p>
        </w:tc>
        <w:tc>
          <w:tcPr>
            <w:tcW w:w="1528" w:type="pct"/>
            <w:tcBorders>
              <w:top w:val="nil"/>
              <w:left w:val="nil"/>
              <w:bottom w:val="single" w:sz="8" w:space="0" w:color="auto"/>
              <w:right w:val="single" w:sz="8" w:space="0" w:color="auto"/>
            </w:tcBorders>
          </w:tcPr>
          <w:p w:rsidR="00E73313" w:rsidRPr="00E4647E" w:rsidRDefault="00E73313" w:rsidP="00E4647E">
            <w:pPr>
              <w:numPr>
                <w:ilvl w:val="0"/>
                <w:numId w:val="43"/>
              </w:numPr>
              <w:spacing w:before="60" w:after="60" w:line="276" w:lineRule="auto"/>
              <w:ind w:left="535" w:right="180"/>
              <w:rPr>
                <w:rFonts w:eastAsia="Calibri" w:cs="Tahoma"/>
                <w:color w:val="000000"/>
                <w:szCs w:val="18"/>
              </w:rPr>
            </w:pPr>
            <w:r>
              <w:rPr>
                <w:rFonts w:eastAsia="Calibri" w:cs="Tahoma"/>
                <w:color w:val="000000"/>
                <w:szCs w:val="18"/>
              </w:rPr>
              <w:t>Enterprise-CAL-Suite</w:t>
            </w:r>
          </w:p>
        </w:tc>
        <w:tc>
          <w:tcPr>
            <w:tcW w:w="1681" w:type="pct"/>
            <w:tcBorders>
              <w:top w:val="nil"/>
              <w:left w:val="nil"/>
              <w:bottom w:val="single" w:sz="8" w:space="0" w:color="auto"/>
              <w:right w:val="single" w:sz="8" w:space="0" w:color="auto"/>
            </w:tcBorders>
          </w:tcPr>
          <w:p w:rsidR="00E73313" w:rsidRPr="0062435A" w:rsidRDefault="00E73313" w:rsidP="00E4647E">
            <w:pPr>
              <w:numPr>
                <w:ilvl w:val="0"/>
                <w:numId w:val="45"/>
              </w:numPr>
              <w:spacing w:before="80" w:after="200" w:line="276" w:lineRule="auto"/>
              <w:ind w:left="630"/>
            </w:pPr>
            <w:r>
              <w:rPr>
                <w:rFonts w:eastAsia="Calibri" w:cs="Tahoma"/>
                <w:color w:val="000000"/>
                <w:szCs w:val="18"/>
              </w:rPr>
              <w:t>Office 365 Enterprise E3</w:t>
            </w:r>
            <w:r w:rsidR="00E4647E">
              <w:rPr>
                <w:rFonts w:eastAsia="Calibri" w:cs="Tahoma"/>
                <w:color w:val="000000"/>
                <w:szCs w:val="18"/>
              </w:rPr>
              <w:t> </w:t>
            </w:r>
            <w:r>
              <w:rPr>
                <w:rFonts w:eastAsia="Calibri" w:cs="Tahoma"/>
                <w:color w:val="000000"/>
                <w:szCs w:val="18"/>
              </w:rPr>
              <w:t>oder</w:t>
            </w:r>
          </w:p>
          <w:p w:rsidR="00E73313" w:rsidRPr="00162A93" w:rsidRDefault="00E73313" w:rsidP="00E328C3">
            <w:pPr>
              <w:numPr>
                <w:ilvl w:val="0"/>
                <w:numId w:val="45"/>
              </w:numPr>
              <w:spacing w:before="80" w:after="200" w:line="276" w:lineRule="auto"/>
              <w:ind w:left="630"/>
              <w:rPr>
                <w:rFonts w:eastAsia="Calibri" w:cs="Tahoma"/>
                <w:color w:val="000000"/>
                <w:szCs w:val="18"/>
              </w:rPr>
            </w:pPr>
            <w:r>
              <w:rPr>
                <w:rFonts w:eastAsia="Calibri" w:cs="Tahoma"/>
                <w:color w:val="000000"/>
                <w:szCs w:val="18"/>
              </w:rPr>
              <w:t>Office 365 Enterprise E4</w:t>
            </w:r>
          </w:p>
        </w:tc>
      </w:tr>
      <w:tr w:rsidR="00E73313" w:rsidRPr="00162A93" w:rsidTr="00E4647E">
        <w:trPr>
          <w:trHeight w:val="576"/>
          <w:jc w:val="center"/>
        </w:trPr>
        <w:tc>
          <w:tcPr>
            <w:tcW w:w="1791" w:type="pct"/>
            <w:tcBorders>
              <w:top w:val="nil"/>
              <w:left w:val="single" w:sz="8" w:space="0" w:color="auto"/>
              <w:bottom w:val="single" w:sz="8" w:space="0" w:color="auto"/>
              <w:right w:val="single" w:sz="8" w:space="0" w:color="auto"/>
            </w:tcBorders>
          </w:tcPr>
          <w:p w:rsidR="00E73313" w:rsidRPr="00162A93" w:rsidRDefault="00E73313" w:rsidP="00E328C3">
            <w:pPr>
              <w:numPr>
                <w:ilvl w:val="0"/>
                <w:numId w:val="43"/>
              </w:numPr>
              <w:spacing w:before="60" w:after="60" w:line="276" w:lineRule="auto"/>
              <w:ind w:left="535" w:right="180"/>
              <w:rPr>
                <w:rFonts w:eastAsia="Calibri" w:cs="Tahoma"/>
                <w:szCs w:val="18"/>
              </w:rPr>
            </w:pPr>
            <w:r>
              <w:rPr>
                <w:rFonts w:eastAsia="Calibri" w:cs="Tahoma"/>
                <w:color w:val="000000"/>
                <w:szCs w:val="18"/>
              </w:rPr>
              <w:t>Enterprise CAL Suite Bridge für Office 365 und Windows Intune</w:t>
            </w:r>
          </w:p>
        </w:tc>
        <w:tc>
          <w:tcPr>
            <w:tcW w:w="1528" w:type="pct"/>
            <w:tcBorders>
              <w:top w:val="nil"/>
              <w:left w:val="nil"/>
              <w:bottom w:val="single" w:sz="8" w:space="0" w:color="auto"/>
              <w:right w:val="single" w:sz="8" w:space="0" w:color="auto"/>
            </w:tcBorders>
          </w:tcPr>
          <w:p w:rsidR="00E73313" w:rsidRPr="00E4647E" w:rsidRDefault="00E73313" w:rsidP="00E4647E">
            <w:pPr>
              <w:numPr>
                <w:ilvl w:val="0"/>
                <w:numId w:val="43"/>
              </w:numPr>
              <w:spacing w:before="60" w:after="60" w:line="276" w:lineRule="auto"/>
              <w:ind w:left="535" w:right="180"/>
              <w:rPr>
                <w:rFonts w:eastAsia="Calibri" w:cs="Tahoma"/>
                <w:color w:val="000000"/>
                <w:szCs w:val="18"/>
              </w:rPr>
            </w:pPr>
            <w:r>
              <w:rPr>
                <w:rFonts w:eastAsia="Calibri" w:cs="Tahoma"/>
                <w:color w:val="000000"/>
                <w:szCs w:val="18"/>
              </w:rPr>
              <w:t>Enterprise-CAL-Suite</w:t>
            </w:r>
          </w:p>
        </w:tc>
        <w:tc>
          <w:tcPr>
            <w:tcW w:w="1681" w:type="pct"/>
            <w:tcBorders>
              <w:top w:val="nil"/>
              <w:left w:val="nil"/>
              <w:bottom w:val="single" w:sz="8" w:space="0" w:color="auto"/>
              <w:right w:val="single" w:sz="8" w:space="0" w:color="auto"/>
            </w:tcBorders>
          </w:tcPr>
          <w:p w:rsidR="00E73313" w:rsidRPr="00571807" w:rsidRDefault="00E73313" w:rsidP="00E328C3">
            <w:pPr>
              <w:numPr>
                <w:ilvl w:val="0"/>
                <w:numId w:val="45"/>
              </w:numPr>
              <w:spacing w:before="80" w:after="200" w:line="276" w:lineRule="auto"/>
              <w:ind w:left="630"/>
              <w:rPr>
                <w:lang w:val="de-DE"/>
              </w:rPr>
            </w:pPr>
            <w:r w:rsidRPr="00571807">
              <w:rPr>
                <w:rFonts w:eastAsia="Calibri" w:cs="Tahoma"/>
                <w:color w:val="000000"/>
                <w:szCs w:val="18"/>
                <w:lang w:val="de-DE"/>
              </w:rPr>
              <w:t>Office 365 Enterprise E3 und Windows Intune oder</w:t>
            </w:r>
          </w:p>
          <w:p w:rsidR="00E73313" w:rsidRPr="00162A93" w:rsidRDefault="00E73313" w:rsidP="00E328C3">
            <w:pPr>
              <w:numPr>
                <w:ilvl w:val="0"/>
                <w:numId w:val="45"/>
              </w:numPr>
              <w:spacing w:before="80" w:after="200" w:line="276" w:lineRule="auto"/>
              <w:ind w:left="630"/>
              <w:rPr>
                <w:rFonts w:eastAsia="Calibri" w:cs="Tahoma"/>
                <w:color w:val="000000"/>
                <w:szCs w:val="18"/>
              </w:rPr>
            </w:pPr>
            <w:r>
              <w:rPr>
                <w:rFonts w:eastAsia="Calibri" w:cs="Tahoma"/>
                <w:color w:val="000000"/>
                <w:szCs w:val="18"/>
              </w:rPr>
              <w:t>Office 365 Enterprise E4 und Windows Intune</w:t>
            </w:r>
          </w:p>
        </w:tc>
      </w:tr>
      <w:tr w:rsidR="00E73313" w:rsidRPr="00162A93" w:rsidTr="00A97F63">
        <w:trPr>
          <w:trHeight w:val="576"/>
          <w:jc w:val="center"/>
        </w:trPr>
        <w:tc>
          <w:tcPr>
            <w:tcW w:w="1791" w:type="pct"/>
            <w:tcBorders>
              <w:top w:val="nil"/>
              <w:left w:val="single" w:sz="8" w:space="0" w:color="auto"/>
              <w:bottom w:val="nil"/>
              <w:right w:val="single" w:sz="8" w:space="0" w:color="auto"/>
            </w:tcBorders>
            <w:hideMark/>
          </w:tcPr>
          <w:p w:rsidR="00E73313" w:rsidRPr="00162A93" w:rsidRDefault="00E73313" w:rsidP="00E328C3">
            <w:pPr>
              <w:numPr>
                <w:ilvl w:val="0"/>
                <w:numId w:val="43"/>
              </w:numPr>
              <w:spacing w:before="60" w:after="60" w:line="276" w:lineRule="auto"/>
              <w:ind w:left="535" w:right="180"/>
              <w:rPr>
                <w:rFonts w:eastAsia="Calibri" w:cs="Tahoma"/>
                <w:color w:val="000000"/>
                <w:szCs w:val="18"/>
                <w:lang w:eastAsia="ja-JP"/>
              </w:rPr>
            </w:pPr>
            <w:r>
              <w:rPr>
                <w:rFonts w:eastAsia="Calibri" w:cs="Tahoma"/>
                <w:szCs w:val="18"/>
              </w:rPr>
              <w:t>Enterprise CAL Suite Bridge für Windows Intune</w:t>
            </w:r>
          </w:p>
        </w:tc>
        <w:tc>
          <w:tcPr>
            <w:tcW w:w="1528" w:type="pct"/>
            <w:tcBorders>
              <w:top w:val="nil"/>
              <w:left w:val="nil"/>
              <w:bottom w:val="nil"/>
              <w:right w:val="single" w:sz="8" w:space="0" w:color="auto"/>
            </w:tcBorders>
            <w:hideMark/>
          </w:tcPr>
          <w:p w:rsidR="00E73313" w:rsidRPr="00162A93" w:rsidRDefault="00E73313" w:rsidP="00E4647E">
            <w:pPr>
              <w:numPr>
                <w:ilvl w:val="0"/>
                <w:numId w:val="43"/>
              </w:numPr>
              <w:spacing w:before="60" w:after="60" w:line="276" w:lineRule="auto"/>
              <w:ind w:left="535" w:right="180"/>
              <w:rPr>
                <w:rFonts w:eastAsia="Calibri" w:cs="Tahoma"/>
                <w:color w:val="000000"/>
                <w:szCs w:val="18"/>
              </w:rPr>
            </w:pPr>
            <w:r w:rsidRPr="00E4647E">
              <w:rPr>
                <w:rFonts w:eastAsia="Calibri" w:cs="Tahoma"/>
                <w:color w:val="000000"/>
                <w:szCs w:val="18"/>
              </w:rPr>
              <w:t>Enterprise-CAL-Suite</w:t>
            </w:r>
          </w:p>
        </w:tc>
        <w:tc>
          <w:tcPr>
            <w:tcW w:w="1681" w:type="pct"/>
            <w:tcBorders>
              <w:top w:val="nil"/>
              <w:left w:val="nil"/>
              <w:bottom w:val="nil"/>
              <w:right w:val="single" w:sz="8" w:space="0" w:color="auto"/>
            </w:tcBorders>
            <w:hideMark/>
          </w:tcPr>
          <w:p w:rsidR="00E73313" w:rsidRPr="00162A93" w:rsidRDefault="00E73313" w:rsidP="00E328C3">
            <w:pPr>
              <w:numPr>
                <w:ilvl w:val="0"/>
                <w:numId w:val="45"/>
              </w:numPr>
              <w:spacing w:before="80" w:after="200" w:line="276" w:lineRule="auto"/>
              <w:ind w:left="630"/>
              <w:rPr>
                <w:rFonts w:cs="Tahoma"/>
                <w:color w:val="000000"/>
                <w:szCs w:val="18"/>
              </w:rPr>
            </w:pPr>
            <w:r>
              <w:rPr>
                <w:rFonts w:eastAsia="Calibri" w:cs="Tahoma"/>
                <w:color w:val="000000"/>
                <w:szCs w:val="18"/>
              </w:rPr>
              <w:t>Windows Intune</w:t>
            </w:r>
          </w:p>
        </w:tc>
      </w:tr>
    </w:tbl>
    <w:p w:rsidR="00A97F63" w:rsidRDefault="00A97F63" w:rsidP="00E73313">
      <w:pPr>
        <w:pStyle w:val="Heading3"/>
        <w:rPr>
          <w:rFonts w:ascii="Tahoma" w:hAnsi="Tahoma"/>
          <w:b w:val="0"/>
          <w:bCs/>
          <w:caps/>
          <w:sz w:val="18"/>
          <w:szCs w:val="18"/>
        </w:rPr>
      </w:pPr>
      <w:bookmarkStart w:id="1227" w:name="_42_Enterprise_CAL"/>
      <w:bookmarkStart w:id="1228" w:name="_47_Enterprise_CAL"/>
      <w:bookmarkStart w:id="1229" w:name="_Toc336338304"/>
      <w:bookmarkStart w:id="1230" w:name="_Toc363999045"/>
      <w:bookmarkStart w:id="1231" w:name="Srv_43EnterpriseCALSuite"/>
      <w:bookmarkEnd w:id="1211"/>
      <w:bookmarkEnd w:id="1220"/>
      <w:bookmarkEnd w:id="1227"/>
      <w:bookmarkEnd w:id="1228"/>
    </w:p>
    <w:p w:rsidR="00A97F63" w:rsidRPr="00A97F63" w:rsidRDefault="00A97F63" w:rsidP="00A97F63"/>
    <w:p w:rsidR="00E73313" w:rsidRPr="0062435A" w:rsidRDefault="00E73313" w:rsidP="00E73313">
      <w:pPr>
        <w:pStyle w:val="Heading3"/>
      </w:pPr>
      <w:bookmarkStart w:id="1232" w:name="_48_Enterprise_CAL"/>
      <w:bookmarkEnd w:id="1232"/>
      <w:r>
        <w:rPr>
          <w:rFonts w:ascii="Tahoma" w:hAnsi="Tahoma"/>
          <w:caps/>
          <w:color w:val="F66400"/>
          <w:sz w:val="22"/>
          <w:vertAlign w:val="superscript"/>
        </w:rPr>
        <w:t>48</w:t>
      </w:r>
      <w:r>
        <w:rPr>
          <w:rFonts w:ascii="Tahoma" w:hAnsi="Tahoma"/>
          <w:color w:val="F66400"/>
          <w:sz w:val="22"/>
        </w:rPr>
        <w:t xml:space="preserve"> Enterprise CAL Suite</w:t>
      </w:r>
      <w:bookmarkEnd w:id="1229"/>
      <w:bookmarkEnd w:id="1230"/>
      <w:r>
        <w:rPr>
          <w:rFonts w:ascii="Tahoma" w:hAnsi="Tahoma"/>
          <w:color w:val="F66400"/>
          <w:sz w:val="22"/>
        </w:rPr>
        <w:t xml:space="preserve"> </w:t>
      </w:r>
    </w:p>
    <w:bookmarkEnd w:id="1231"/>
    <w:p w:rsidR="00E73313" w:rsidRPr="0062435A" w:rsidRDefault="00E73313" w:rsidP="00E73313"/>
    <w:p w:rsidR="00E73313" w:rsidRPr="00571807" w:rsidRDefault="00E73313" w:rsidP="00E4647E">
      <w:pPr>
        <w:ind w:left="720"/>
        <w:rPr>
          <w:lang w:val="de-DE"/>
        </w:rPr>
      </w:pPr>
      <w:r w:rsidRPr="00571807">
        <w:rPr>
          <w:rFonts w:cs="Tahoma"/>
          <w:szCs w:val="20"/>
          <w:lang w:val="de-DE"/>
        </w:rPr>
        <w:t>Enterprise CAL Suite hat keine Versionsnummer, und die Produktbenutzungsrechte hängen vom Status der Software Assurance für Enterprise CAL Suite ab</w:t>
      </w:r>
      <w:r w:rsidR="006257A7">
        <w:rPr>
          <w:rFonts w:cs="Tahoma"/>
          <w:szCs w:val="20"/>
          <w:lang w:val="de-DE"/>
        </w:rPr>
        <w:t xml:space="preserve">. </w:t>
      </w:r>
      <w:r w:rsidRPr="00571807">
        <w:rPr>
          <w:rFonts w:cs="Tahoma"/>
          <w:szCs w:val="20"/>
          <w:lang w:val="de-DE"/>
        </w:rPr>
        <w:t>Falls Software Assurance unterbrochen wurde, hängen die Zugriffsrechte im Rahmen zeitlich unbeschränkter Lizenzen von den Produktbenutzungsrechten ab, die vor der Unterbrechung galten</w:t>
      </w:r>
      <w:r w:rsidR="006257A7">
        <w:rPr>
          <w:rFonts w:cs="Tahoma"/>
          <w:szCs w:val="20"/>
          <w:lang w:val="de-DE"/>
        </w:rPr>
        <w:t xml:space="preserve">. </w:t>
      </w:r>
      <w:r w:rsidRPr="00571807">
        <w:rPr>
          <w:rFonts w:cs="Tahoma"/>
          <w:szCs w:val="20"/>
          <w:lang w:val="de-DE"/>
        </w:rPr>
        <w:t>Rechte im Zusammenhang mit Onlinediensten laufen bei einer Unterbrechung von Software Assurance ab, unabhängig davon, ob die Enterprise CAL Suite zeitlich unbeschränkt ist</w:t>
      </w:r>
      <w:r w:rsidR="006257A7">
        <w:rPr>
          <w:rFonts w:cs="Tahoma"/>
          <w:szCs w:val="20"/>
          <w:lang w:val="de-DE"/>
        </w:rPr>
        <w:t xml:space="preserve">. </w:t>
      </w:r>
      <w:r w:rsidRPr="00571807">
        <w:rPr>
          <w:rFonts w:cs="Tahoma"/>
          <w:szCs w:val="20"/>
          <w:lang w:val="de-DE"/>
        </w:rPr>
        <w:t>Ab dem 1</w:t>
      </w:r>
      <w:r w:rsidR="006257A7">
        <w:rPr>
          <w:rFonts w:cs="Tahoma"/>
          <w:szCs w:val="20"/>
          <w:lang w:val="de-DE"/>
        </w:rPr>
        <w:t xml:space="preserve">. </w:t>
      </w:r>
      <w:r w:rsidRPr="00571807">
        <w:rPr>
          <w:rFonts w:cs="Tahoma"/>
          <w:szCs w:val="20"/>
          <w:lang w:val="de-DE"/>
        </w:rPr>
        <w:t>April 2013 gewährt eine Lizenz für Enterprise CAL Suite mit aktiver Software Assurance Rechte an Folgendem: allen aktuellen Komponenten von Core CAL Suite, Exchange Enterprise CAL mit Diensten 2013, Exchange Online-Archivierung für Exchange Server, SharePoint Server CAL 2013, Enterprise-CAL für Lync Server 2013, CAL für Windows Server 2012 Active Directory-Rechteverwaltungsdienste und allen aktuellen Komponenten von System Center 2012 Client Management Suite</w:t>
      </w:r>
      <w:r w:rsidR="006257A7">
        <w:rPr>
          <w:rFonts w:cs="Tahoma"/>
          <w:szCs w:val="20"/>
          <w:lang w:val="de-DE"/>
        </w:rPr>
        <w:t xml:space="preserve">. </w:t>
      </w:r>
      <w:r w:rsidRPr="00571807">
        <w:rPr>
          <w:rFonts w:cs="Tahoma"/>
          <w:szCs w:val="20"/>
          <w:lang w:val="de-DE"/>
        </w:rPr>
        <w:t>Eine Lizenz für Core Enterprise Suite ist eine einzelne Lizenz, die einem einzelnen Nutzer oder Gerät zugewiesen werden muss</w:t>
      </w:r>
      <w:r w:rsidR="006257A7">
        <w:rPr>
          <w:rFonts w:cs="Tahoma"/>
          <w:szCs w:val="20"/>
          <w:lang w:val="de-DE"/>
        </w:rPr>
        <w:t xml:space="preserve">. </w:t>
      </w:r>
      <w:r w:rsidRPr="00571807">
        <w:rPr>
          <w:rFonts w:cs="Tahoma"/>
          <w:szCs w:val="20"/>
          <w:lang w:val="de-DE"/>
        </w:rPr>
        <w:t>Wie im Volumenlizenzvertrag dargelegt, dürfen Kunden die Rechte unter Core Enterprise Suite nicht trennen, um</w:t>
      </w:r>
      <w:r w:rsidR="00E4647E">
        <w:rPr>
          <w:rFonts w:cs="Tahoma"/>
          <w:szCs w:val="20"/>
          <w:lang w:val="de-DE"/>
        </w:rPr>
        <w:t> </w:t>
      </w:r>
      <w:r w:rsidRPr="00571807">
        <w:rPr>
          <w:rFonts w:cs="Tahoma"/>
          <w:szCs w:val="20"/>
          <w:lang w:val="de-DE"/>
        </w:rPr>
        <w:t>zwei oder mehr Nutzern oder Geräten, den gleichzeitigen Zugriff auf ihre verschiedenen Komponenten zu ermöglichen</w:t>
      </w:r>
      <w:r w:rsidR="006257A7">
        <w:rPr>
          <w:rFonts w:cs="Tahoma"/>
          <w:szCs w:val="20"/>
          <w:lang w:val="de-DE"/>
        </w:rPr>
        <w:t xml:space="preserve">. </w:t>
      </w:r>
    </w:p>
    <w:p w:rsidR="00E73313" w:rsidRPr="00571807" w:rsidRDefault="00E73313" w:rsidP="00E73313">
      <w:pPr>
        <w:rPr>
          <w:lang w:val="de-DE"/>
        </w:rPr>
      </w:pPr>
    </w:p>
    <w:p w:rsidR="00E73313" w:rsidRPr="00571807" w:rsidRDefault="00E73313" w:rsidP="00E73313">
      <w:pPr>
        <w:ind w:left="720"/>
        <w:rPr>
          <w:lang w:val="de-DE"/>
        </w:rPr>
      </w:pPr>
      <w:r w:rsidRPr="00571807">
        <w:rPr>
          <w:rFonts w:cs="Tahoma"/>
          <w:b/>
          <w:szCs w:val="20"/>
          <w:lang w:val="de-DE"/>
        </w:rPr>
        <w:t>In Enterprise CAL Suite enthaltene Onlinedienste</w:t>
      </w:r>
    </w:p>
    <w:p w:rsidR="00E73313" w:rsidRPr="00571807" w:rsidRDefault="00E73313" w:rsidP="00E73313">
      <w:pPr>
        <w:ind w:left="720"/>
        <w:rPr>
          <w:lang w:val="de-DE"/>
        </w:rPr>
      </w:pPr>
    </w:p>
    <w:p w:rsidR="00E73313" w:rsidRDefault="00E73313" w:rsidP="00E73313">
      <w:pPr>
        <w:ind w:left="720"/>
        <w:rPr>
          <w:rFonts w:cs="Tahoma"/>
          <w:szCs w:val="20"/>
          <w:lang w:val="de-DE"/>
        </w:rPr>
      </w:pPr>
      <w:r w:rsidRPr="00571807">
        <w:rPr>
          <w:rFonts w:cs="Tahoma"/>
          <w:szCs w:val="20"/>
          <w:lang w:val="de-DE"/>
        </w:rPr>
        <w:t>Zum 1</w:t>
      </w:r>
      <w:r w:rsidR="006257A7">
        <w:rPr>
          <w:rFonts w:cs="Tahoma"/>
          <w:szCs w:val="20"/>
          <w:lang w:val="de-DE"/>
        </w:rPr>
        <w:t xml:space="preserve">. </w:t>
      </w:r>
      <w:r w:rsidRPr="00571807">
        <w:rPr>
          <w:rFonts w:cs="Tahoma"/>
          <w:szCs w:val="20"/>
          <w:lang w:val="de-DE"/>
        </w:rPr>
        <w:t>April 2013 beinhaltet eine Lizenz für die Enterprise CAL Suite mit aktiver Software Assurance die Rechte zur Exchange Online-Archiving für Exchange Server, Vermeidung von Datenverlusten und Exchange Online Protection</w:t>
      </w:r>
      <w:r w:rsidR="006257A7">
        <w:rPr>
          <w:rFonts w:cs="Tahoma"/>
          <w:szCs w:val="20"/>
          <w:lang w:val="de-DE"/>
        </w:rPr>
        <w:t xml:space="preserve">. </w:t>
      </w:r>
    </w:p>
    <w:p w:rsidR="00963942" w:rsidRPr="00571807" w:rsidRDefault="00963942" w:rsidP="00E73313">
      <w:pPr>
        <w:ind w:left="720"/>
        <w:rPr>
          <w:lang w:val="de-DE"/>
        </w:rPr>
      </w:pPr>
    </w:p>
    <w:p w:rsidR="00E73313" w:rsidRDefault="00E73313" w:rsidP="00E73313">
      <w:pPr>
        <w:ind w:left="720"/>
        <w:rPr>
          <w:rFonts w:cs="Tahoma"/>
          <w:szCs w:val="20"/>
          <w:lang w:val="de-DE"/>
        </w:rPr>
      </w:pPr>
      <w:r w:rsidRPr="00571807">
        <w:rPr>
          <w:rFonts w:cs="Tahoma"/>
          <w:szCs w:val="20"/>
          <w:u w:val="single"/>
          <w:lang w:val="de-DE"/>
        </w:rPr>
        <w:t>Erbringung</w:t>
      </w:r>
      <w:r w:rsidR="006257A7">
        <w:rPr>
          <w:rFonts w:cs="Tahoma"/>
          <w:szCs w:val="20"/>
          <w:lang w:val="de-DE"/>
        </w:rPr>
        <w:t xml:space="preserve">. </w:t>
      </w:r>
      <w:r w:rsidRPr="00571807">
        <w:rPr>
          <w:rFonts w:cs="Tahoma"/>
          <w:szCs w:val="20"/>
          <w:lang w:val="de-DE"/>
        </w:rPr>
        <w:t>Kunden können die Inanspruchnahme dieser Dienste aufnehmen, indem sie ihren Microsoft-Partner kontaktieren, der den für die Aktivierung eines jeden Dienstes erforderlichen Erbringungsprozess anstoßen kann</w:t>
      </w:r>
      <w:r w:rsidR="006257A7">
        <w:rPr>
          <w:rFonts w:cs="Tahoma"/>
          <w:szCs w:val="20"/>
          <w:lang w:val="de-DE"/>
        </w:rPr>
        <w:t xml:space="preserve">. </w:t>
      </w:r>
    </w:p>
    <w:p w:rsidR="00963942" w:rsidRPr="00571807" w:rsidRDefault="00963942" w:rsidP="00E73313">
      <w:pPr>
        <w:ind w:left="720"/>
        <w:rPr>
          <w:lang w:val="de-DE"/>
        </w:rPr>
      </w:pPr>
    </w:p>
    <w:p w:rsidR="00E73313" w:rsidRPr="00571807" w:rsidRDefault="00E73313" w:rsidP="00E73313">
      <w:pPr>
        <w:ind w:left="720"/>
        <w:rPr>
          <w:lang w:val="de-DE"/>
        </w:rPr>
      </w:pPr>
      <w:r w:rsidRPr="00571807">
        <w:rPr>
          <w:snapToGrid w:val="0"/>
          <w:u w:val="single"/>
          <w:lang w:val="de-DE"/>
        </w:rPr>
        <w:t>Ergänzende Bestimmungen</w:t>
      </w:r>
      <w:r w:rsidR="006257A7">
        <w:rPr>
          <w:snapToGrid w:val="0"/>
          <w:lang w:val="de-DE"/>
        </w:rPr>
        <w:t xml:space="preserve">. </w:t>
      </w:r>
      <w:r w:rsidRPr="00571807">
        <w:rPr>
          <w:rFonts w:cs="Tahoma"/>
          <w:szCs w:val="20"/>
          <w:lang w:val="de-DE"/>
        </w:rPr>
        <w:t xml:space="preserve">Die Ergänzenden Bestimmungen („Ergänzende Bestimmungen“) in </w:t>
      </w:r>
      <w:hyperlink w:anchor="_Section_10_–" w:history="1">
        <w:r w:rsidRPr="00571807">
          <w:rPr>
            <w:rStyle w:val="Hyperlink"/>
            <w:rFonts w:cs="Tahoma"/>
            <w:szCs w:val="20"/>
            <w:lang w:val="de-DE"/>
          </w:rPr>
          <w:t>Abschnitt 10</w:t>
        </w:r>
      </w:hyperlink>
      <w:r w:rsidRPr="00571807">
        <w:rPr>
          <w:rFonts w:cs="Tahoma"/>
          <w:szCs w:val="20"/>
          <w:lang w:val="de-DE"/>
        </w:rPr>
        <w:t xml:space="preserve"> gelten für </w:t>
      </w:r>
      <w:r w:rsidRPr="00571807">
        <w:rPr>
          <w:snapToGrid w:val="0"/>
          <w:lang w:val="de-DE"/>
        </w:rPr>
        <w:t>den Erwerb und die Nutzung der in Enterprise CAL Suite enthaltenen Onlinedienste durch die Kunden</w:t>
      </w:r>
      <w:r w:rsidR="006257A7">
        <w:rPr>
          <w:snapToGrid w:val="0"/>
          <w:lang w:val="de-DE"/>
        </w:rPr>
        <w:t xml:space="preserve">. </w:t>
      </w:r>
    </w:p>
    <w:p w:rsidR="00E73313" w:rsidRPr="00571807" w:rsidRDefault="00E73313" w:rsidP="00E73313">
      <w:pPr>
        <w:ind w:left="720"/>
        <w:rPr>
          <w:lang w:val="de-DE"/>
        </w:rPr>
      </w:pPr>
    </w:p>
    <w:p w:rsidR="00E73313" w:rsidRPr="005A76F9" w:rsidRDefault="00E73313" w:rsidP="00E73313">
      <w:pPr>
        <w:spacing w:after="60"/>
        <w:ind w:left="720"/>
      </w:pPr>
      <w:r w:rsidRPr="005A76F9">
        <w:rPr>
          <w:rFonts w:cs="Tahoma"/>
          <w:b/>
          <w:color w:val="000000"/>
          <w:szCs w:val="20"/>
        </w:rPr>
        <w:t>Forefront Unified Access Gateway 2010</w:t>
      </w:r>
    </w:p>
    <w:p w:rsidR="00E73313" w:rsidRPr="00571807" w:rsidRDefault="00E73313" w:rsidP="00E73313">
      <w:pPr>
        <w:spacing w:after="60"/>
        <w:ind w:left="720"/>
        <w:rPr>
          <w:lang w:val="de-DE"/>
        </w:rPr>
      </w:pPr>
      <w:r w:rsidRPr="005A76F9">
        <w:rPr>
          <w:rFonts w:cs="Tahoma"/>
          <w:color w:val="000000"/>
          <w:szCs w:val="20"/>
          <w:u w:val="single"/>
        </w:rPr>
        <w:t>True Up-Rechte</w:t>
      </w:r>
      <w:r w:rsidR="006257A7">
        <w:rPr>
          <w:rFonts w:cs="Tahoma"/>
          <w:color w:val="000000"/>
          <w:szCs w:val="20"/>
        </w:rPr>
        <w:t xml:space="preserve">. </w:t>
      </w:r>
      <w:r w:rsidRPr="00571807">
        <w:rPr>
          <w:rFonts w:cs="Tahoma"/>
          <w:color w:val="000000"/>
          <w:szCs w:val="20"/>
          <w:lang w:val="de-DE"/>
        </w:rPr>
        <w:t>Ungeachtet gegenteiliger Bestimmungen in den Produktbenutzungsrechten für Forefront Unified Access Gateway 2010 vom 1</w:t>
      </w:r>
      <w:r w:rsidR="006257A7">
        <w:rPr>
          <w:rFonts w:cs="Tahoma"/>
          <w:color w:val="000000"/>
          <w:szCs w:val="20"/>
          <w:lang w:val="de-DE"/>
        </w:rPr>
        <w:t xml:space="preserve">. </w:t>
      </w:r>
      <w:r w:rsidRPr="00571807">
        <w:rPr>
          <w:rFonts w:cs="Tahoma"/>
          <w:color w:val="000000"/>
          <w:szCs w:val="20"/>
          <w:lang w:val="de-DE"/>
        </w:rPr>
        <w:t>Dezember 2012 ermöglichen Enterprise CAL Suite-Lizenzen, die im Rahmen von True Up-Rechten nach dem 1</w:t>
      </w:r>
      <w:r w:rsidR="006257A7">
        <w:rPr>
          <w:rFonts w:cs="Tahoma"/>
          <w:color w:val="000000"/>
          <w:szCs w:val="20"/>
          <w:lang w:val="de-DE"/>
        </w:rPr>
        <w:t xml:space="preserve">. </w:t>
      </w:r>
      <w:r w:rsidRPr="00571807">
        <w:rPr>
          <w:rFonts w:cs="Tahoma"/>
          <w:color w:val="000000"/>
          <w:szCs w:val="20"/>
          <w:lang w:val="de-DE"/>
        </w:rPr>
        <w:t>Dezember 2012 erworben werden, Qualifizierenden Kunden den Zugriff auf Forefront Unified Access Gateway 2010</w:t>
      </w:r>
      <w:r w:rsidR="006257A7">
        <w:rPr>
          <w:rFonts w:cs="Tahoma"/>
          <w:color w:val="000000"/>
          <w:szCs w:val="20"/>
          <w:lang w:val="de-DE"/>
        </w:rPr>
        <w:t xml:space="preserve">. </w:t>
      </w:r>
      <w:r w:rsidRPr="00571807">
        <w:rPr>
          <w:rFonts w:cs="Tahoma"/>
          <w:color w:val="000000"/>
          <w:szCs w:val="20"/>
          <w:lang w:val="de-DE"/>
        </w:rPr>
        <w:t>„Qualifizierende Kunden“ sind Kunden mit Konzern- und Konzern-Abonnement-Beitritt, Kunden mit Open Value Subscription (OVS) oder Kunden mit Beitritt für Bildungslösungen, die die Enterprise CAL Suite erstmals vor dem 1</w:t>
      </w:r>
      <w:r w:rsidR="006257A7">
        <w:rPr>
          <w:rFonts w:cs="Tahoma"/>
          <w:color w:val="000000"/>
          <w:szCs w:val="20"/>
          <w:lang w:val="de-DE"/>
        </w:rPr>
        <w:t xml:space="preserve">. </w:t>
      </w:r>
      <w:r w:rsidRPr="00571807">
        <w:rPr>
          <w:rFonts w:cs="Tahoma"/>
          <w:color w:val="000000"/>
          <w:szCs w:val="20"/>
          <w:lang w:val="de-DE"/>
        </w:rPr>
        <w:t>Dezember 2012 erworben haben und im Rahmen der Vertragslaufzeit dieses Beitritts oder dieser OVS dazu berechtigt sind, zusätzliche Lizenzen nach dem 1</w:t>
      </w:r>
      <w:r w:rsidR="006257A7">
        <w:rPr>
          <w:rFonts w:cs="Tahoma"/>
          <w:color w:val="000000"/>
          <w:szCs w:val="20"/>
          <w:lang w:val="de-DE"/>
        </w:rPr>
        <w:t xml:space="preserve">. </w:t>
      </w:r>
      <w:r w:rsidRPr="00571807">
        <w:rPr>
          <w:rFonts w:cs="Tahoma"/>
          <w:color w:val="000000"/>
          <w:szCs w:val="20"/>
          <w:lang w:val="de-DE"/>
        </w:rPr>
        <w:t>Dezember 2012 im Rahmen der True Up-Rechte zu erwerben</w:t>
      </w:r>
      <w:r w:rsidR="006257A7">
        <w:rPr>
          <w:rFonts w:cs="Tahoma"/>
          <w:color w:val="000000"/>
          <w:szCs w:val="20"/>
          <w:lang w:val="de-DE"/>
        </w:rPr>
        <w:t xml:space="preserve">. </w:t>
      </w:r>
      <w:r w:rsidRPr="00571807">
        <w:rPr>
          <w:rFonts w:cs="Tahoma"/>
          <w:color w:val="000000"/>
          <w:szCs w:val="20"/>
          <w:lang w:val="de-DE"/>
        </w:rPr>
        <w:t>Diese Ausnahme gilt nur für Lizenzen, die im Rahmen der True Up-Rechte vor der ersten Verlängerung eines Qualifizierenden Kundens nach dem 1</w:t>
      </w:r>
      <w:r w:rsidR="006257A7">
        <w:rPr>
          <w:rFonts w:cs="Tahoma"/>
          <w:color w:val="000000"/>
          <w:szCs w:val="20"/>
          <w:lang w:val="de-DE"/>
        </w:rPr>
        <w:t xml:space="preserve">. </w:t>
      </w:r>
      <w:r w:rsidRPr="00571807">
        <w:rPr>
          <w:rFonts w:cs="Tahoma"/>
          <w:color w:val="000000"/>
          <w:szCs w:val="20"/>
          <w:lang w:val="de-DE"/>
        </w:rPr>
        <w:t>Dezember 2012 erworben wurden</w:t>
      </w:r>
      <w:r w:rsidR="006257A7">
        <w:rPr>
          <w:rFonts w:cs="Tahoma"/>
          <w:color w:val="000000"/>
          <w:szCs w:val="20"/>
          <w:lang w:val="de-DE"/>
        </w:rPr>
        <w:t xml:space="preserve">. </w:t>
      </w:r>
      <w:r w:rsidRPr="00571807">
        <w:rPr>
          <w:rFonts w:cs="Tahoma"/>
          <w:color w:val="000000"/>
          <w:szCs w:val="20"/>
          <w:lang w:val="de-DE"/>
        </w:rPr>
        <w:t>Im unteren Abschnitt „Erweiterte Nutzungsrechte für Forefront-Produkte“ finden Sie die erweiterten Nutzungsrechte im Rahmen der Enterprise CAL Suite für Komponenten der Forefront Protection Suite (Bestandteil der Enterprise CAL Suite bis zum 30</w:t>
      </w:r>
      <w:r w:rsidR="006257A7">
        <w:rPr>
          <w:rFonts w:cs="Tahoma"/>
          <w:color w:val="000000"/>
          <w:szCs w:val="20"/>
          <w:lang w:val="de-DE"/>
        </w:rPr>
        <w:t xml:space="preserve">. </w:t>
      </w:r>
      <w:r w:rsidRPr="00571807">
        <w:rPr>
          <w:rFonts w:cs="Tahoma"/>
          <w:color w:val="000000"/>
          <w:szCs w:val="20"/>
          <w:lang w:val="de-DE"/>
        </w:rPr>
        <w:t>November 2012)</w:t>
      </w:r>
      <w:r w:rsidR="006257A7">
        <w:rPr>
          <w:rFonts w:cs="Tahoma"/>
          <w:color w:val="000000"/>
          <w:szCs w:val="20"/>
          <w:lang w:val="de-DE"/>
        </w:rPr>
        <w:t xml:space="preserve">. </w:t>
      </w:r>
    </w:p>
    <w:p w:rsidR="00E73313" w:rsidRPr="00571807" w:rsidRDefault="00E73313" w:rsidP="00E73313">
      <w:pPr>
        <w:spacing w:before="120" w:after="60"/>
        <w:ind w:left="720"/>
        <w:rPr>
          <w:lang w:val="de-DE"/>
        </w:rPr>
      </w:pPr>
      <w:r w:rsidRPr="00571807">
        <w:rPr>
          <w:rFonts w:cs="Tahoma"/>
          <w:color w:val="000000"/>
          <w:szCs w:val="20"/>
          <w:lang w:val="de-DE"/>
        </w:rPr>
        <w:t>Software Assurance</w:t>
      </w:r>
      <w:r w:rsidR="006257A7">
        <w:rPr>
          <w:rFonts w:cs="Tahoma"/>
          <w:color w:val="000000"/>
          <w:szCs w:val="20"/>
          <w:lang w:val="de-DE"/>
        </w:rPr>
        <w:t xml:space="preserve">. </w:t>
      </w:r>
      <w:r w:rsidRPr="00571807">
        <w:rPr>
          <w:rFonts w:cs="Tahoma"/>
          <w:color w:val="000000"/>
          <w:szCs w:val="20"/>
          <w:lang w:val="de-DE"/>
        </w:rPr>
        <w:t>Verlängerung von Software Assurance für Forefront Unified Access Gateway außerhalb der Enterprise CAL Suite Kunden, die im Rahmen von Enterprise CAL Suite-Lizenzen, die durch Software Assurance abgedeckt sind (entweder im Rahmen von vor dem 1</w:t>
      </w:r>
      <w:r w:rsidR="006257A7">
        <w:rPr>
          <w:rFonts w:cs="Tahoma"/>
          <w:color w:val="000000"/>
          <w:szCs w:val="20"/>
          <w:lang w:val="de-DE"/>
        </w:rPr>
        <w:t xml:space="preserve">. </w:t>
      </w:r>
      <w:r w:rsidRPr="00571807">
        <w:rPr>
          <w:rFonts w:cs="Tahoma"/>
          <w:color w:val="000000"/>
          <w:szCs w:val="20"/>
          <w:lang w:val="de-DE"/>
        </w:rPr>
        <w:t>Dezember 2012 erworbenen Lizenzen oder im Rahmen von True Up-Rechten (wie oben beschrieben)), zur Nutzung von Forefront Unified Access Gateway lizenziert sind, haben bei ihrer ersten Verlängerung dieser Software Assurance am oder nach dem 1</w:t>
      </w:r>
      <w:r w:rsidR="006257A7">
        <w:rPr>
          <w:rFonts w:cs="Tahoma"/>
          <w:color w:val="000000"/>
          <w:szCs w:val="20"/>
          <w:lang w:val="de-DE"/>
        </w:rPr>
        <w:t xml:space="preserve">. </w:t>
      </w:r>
      <w:r w:rsidRPr="00571807">
        <w:rPr>
          <w:rFonts w:cs="Tahoma"/>
          <w:color w:val="000000"/>
          <w:szCs w:val="20"/>
          <w:lang w:val="de-DE"/>
        </w:rPr>
        <w:t>Dezember 2012 die Möglichkeit, Software Assurance für Forefront Unified Access Gateway außerhalb der Enterprise CAL Suite zu erwerben, ohne zunächst eine separate Lizenz für Forefront Unified Access Gateway zu erweben</w:t>
      </w:r>
      <w:r w:rsidR="006257A7">
        <w:rPr>
          <w:rFonts w:cs="Tahoma"/>
          <w:color w:val="000000"/>
          <w:szCs w:val="20"/>
          <w:lang w:val="de-DE"/>
        </w:rPr>
        <w:t xml:space="preserve">. </w:t>
      </w:r>
      <w:r w:rsidRPr="00571807">
        <w:rPr>
          <w:rFonts w:cs="Tahoma"/>
          <w:color w:val="000000"/>
          <w:szCs w:val="20"/>
          <w:lang w:val="de-DE"/>
        </w:rPr>
        <w:t>Dieses Angebot zum Erwerb von Forefront Unified Access Gateway gilt für eine Anzahl von Lizenzen bis zur Gesamtzahl von Enterprise CAL Suite-Lizenzen mit Software Assurance des Kunden unmittelbar vor der Verlängerung</w:t>
      </w:r>
      <w:r w:rsidR="006257A7">
        <w:rPr>
          <w:rFonts w:cs="Tahoma"/>
          <w:color w:val="000000"/>
          <w:szCs w:val="20"/>
          <w:lang w:val="de-DE"/>
        </w:rPr>
        <w:t xml:space="preserve">. </w:t>
      </w:r>
    </w:p>
    <w:p w:rsidR="00E73313" w:rsidRDefault="00E73313" w:rsidP="00E73313">
      <w:pPr>
        <w:ind w:left="720"/>
        <w:rPr>
          <w:lang w:val="de-DE"/>
        </w:rPr>
      </w:pPr>
    </w:p>
    <w:p w:rsidR="00E73313" w:rsidRPr="00571807" w:rsidRDefault="00E73313" w:rsidP="00E73313">
      <w:pPr>
        <w:spacing w:after="60"/>
        <w:ind w:left="720"/>
        <w:rPr>
          <w:lang w:val="de-DE"/>
        </w:rPr>
      </w:pPr>
      <w:r w:rsidRPr="00571807">
        <w:rPr>
          <w:rFonts w:cs="Tahoma"/>
          <w:b/>
          <w:color w:val="000000"/>
          <w:szCs w:val="20"/>
          <w:lang w:val="de-DE"/>
        </w:rPr>
        <w:t>Erweiterte Nutzungsrechte für Forefront-Produkte</w:t>
      </w:r>
    </w:p>
    <w:p w:rsidR="00E73313" w:rsidRPr="00571807" w:rsidRDefault="00E73313" w:rsidP="00963942">
      <w:pPr>
        <w:ind w:left="720"/>
        <w:rPr>
          <w:lang w:val="de-DE"/>
        </w:rPr>
      </w:pPr>
      <w:r w:rsidRPr="00571807">
        <w:rPr>
          <w:rFonts w:cs="Tahoma"/>
          <w:bCs/>
          <w:color w:val="000000"/>
          <w:szCs w:val="18"/>
          <w:lang w:val="de-DE"/>
        </w:rPr>
        <w:t>Kunden mit aktiver Software Assurance für die Enterprise CAL Suite zum 30</w:t>
      </w:r>
      <w:r w:rsidR="006257A7">
        <w:rPr>
          <w:rFonts w:cs="Tahoma"/>
          <w:bCs/>
          <w:color w:val="000000"/>
          <w:szCs w:val="18"/>
          <w:lang w:val="de-DE"/>
        </w:rPr>
        <w:t xml:space="preserve">. </w:t>
      </w:r>
      <w:r w:rsidRPr="00571807">
        <w:rPr>
          <w:rFonts w:cs="Tahoma"/>
          <w:bCs/>
          <w:color w:val="000000"/>
          <w:szCs w:val="18"/>
          <w:lang w:val="de-DE"/>
        </w:rPr>
        <w:t>November 2012 sind berechtigt, die Komponentendienste der Forefront Protection Suite (früher Bestandteil der Enterprise CAL</w:t>
      </w:r>
      <w:r w:rsidR="00963942">
        <w:rPr>
          <w:rFonts w:cs="Tahoma"/>
          <w:bCs/>
          <w:color w:val="000000"/>
          <w:szCs w:val="18"/>
          <w:lang w:val="de-DE"/>
        </w:rPr>
        <w:t> </w:t>
      </w:r>
      <w:r w:rsidRPr="00571807">
        <w:rPr>
          <w:rFonts w:cs="Tahoma"/>
          <w:bCs/>
          <w:color w:val="000000"/>
          <w:szCs w:val="18"/>
          <w:lang w:val="de-DE"/>
        </w:rPr>
        <w:t>Suite) weiterhin zu nutzen, bis Software Assurance abläuft und/oder verlängert wird</w:t>
      </w:r>
      <w:r w:rsidR="006257A7">
        <w:rPr>
          <w:rFonts w:cs="Tahoma"/>
          <w:bCs/>
          <w:color w:val="000000"/>
          <w:szCs w:val="18"/>
          <w:lang w:val="de-DE"/>
        </w:rPr>
        <w:t xml:space="preserve">. </w:t>
      </w:r>
      <w:r w:rsidRPr="00571807">
        <w:rPr>
          <w:rFonts w:cs="Tahoma"/>
          <w:bCs/>
          <w:color w:val="000000"/>
          <w:szCs w:val="18"/>
          <w:lang w:val="de-DE"/>
        </w:rPr>
        <w:t>Diese Kunden sind</w:t>
      </w:r>
      <w:r w:rsidR="00963942">
        <w:rPr>
          <w:rFonts w:cs="Tahoma"/>
          <w:bCs/>
          <w:color w:val="000000"/>
          <w:szCs w:val="18"/>
          <w:lang w:val="de-DE"/>
        </w:rPr>
        <w:t> </w:t>
      </w:r>
      <w:r w:rsidRPr="00571807">
        <w:rPr>
          <w:rFonts w:cs="Tahoma"/>
          <w:bCs/>
          <w:color w:val="000000"/>
          <w:szCs w:val="18"/>
          <w:lang w:val="de-DE"/>
        </w:rPr>
        <w:t xml:space="preserve">außerdem berechtigt, die Komponenten </w:t>
      </w:r>
      <w:r w:rsidRPr="00571807">
        <w:rPr>
          <w:rFonts w:cs="Tahoma"/>
          <w:color w:val="000000"/>
          <w:szCs w:val="20"/>
          <w:lang w:val="de-DE"/>
        </w:rPr>
        <w:t>Forefront für Office Communications Server, Forefront Protection 2010 für Exchange Server, Forefront Threat Management Gateway Web Protection Service und</w:t>
      </w:r>
      <w:r w:rsidR="00963942">
        <w:rPr>
          <w:rFonts w:cs="Tahoma"/>
          <w:color w:val="000000"/>
          <w:szCs w:val="20"/>
          <w:lang w:val="de-DE"/>
        </w:rPr>
        <w:t> </w:t>
      </w:r>
      <w:r w:rsidRPr="00571807">
        <w:rPr>
          <w:rFonts w:cs="Tahoma"/>
          <w:color w:val="000000"/>
          <w:szCs w:val="20"/>
          <w:lang w:val="de-DE"/>
        </w:rPr>
        <w:t xml:space="preserve">Forefront Protection 2010 für SharePoint Server </w:t>
      </w:r>
      <w:r w:rsidRPr="00571807">
        <w:rPr>
          <w:rFonts w:cs="Tahoma"/>
          <w:bCs/>
          <w:color w:val="000000"/>
          <w:szCs w:val="18"/>
          <w:lang w:val="de-DE"/>
        </w:rPr>
        <w:t>der Suite weiterhin bis zum 31</w:t>
      </w:r>
      <w:r w:rsidR="006257A7">
        <w:rPr>
          <w:rFonts w:cs="Tahoma"/>
          <w:bCs/>
          <w:color w:val="000000"/>
          <w:szCs w:val="18"/>
          <w:lang w:val="de-DE"/>
        </w:rPr>
        <w:t xml:space="preserve">. </w:t>
      </w:r>
      <w:r w:rsidRPr="00571807">
        <w:rPr>
          <w:rFonts w:cs="Tahoma"/>
          <w:bCs/>
          <w:color w:val="000000"/>
          <w:szCs w:val="18"/>
          <w:lang w:val="de-DE"/>
        </w:rPr>
        <w:t>Dezember 2015 zu</w:t>
      </w:r>
      <w:r w:rsidR="00963942">
        <w:rPr>
          <w:rFonts w:cs="Tahoma"/>
          <w:bCs/>
          <w:color w:val="000000"/>
          <w:szCs w:val="18"/>
          <w:lang w:val="de-DE"/>
        </w:rPr>
        <w:t> </w:t>
      </w:r>
      <w:r w:rsidRPr="00571807">
        <w:rPr>
          <w:rFonts w:cs="Tahoma"/>
          <w:bCs/>
          <w:color w:val="000000"/>
          <w:szCs w:val="18"/>
          <w:lang w:val="de-DE"/>
        </w:rPr>
        <w:t>verwenden</w:t>
      </w:r>
      <w:r w:rsidR="006257A7">
        <w:rPr>
          <w:rFonts w:cs="Tahoma"/>
          <w:bCs/>
          <w:color w:val="000000"/>
          <w:szCs w:val="18"/>
          <w:lang w:val="de-DE"/>
        </w:rPr>
        <w:t xml:space="preserve">. </w:t>
      </w:r>
      <w:r w:rsidRPr="00571807">
        <w:rPr>
          <w:rFonts w:cs="Tahoma"/>
          <w:bCs/>
          <w:color w:val="000000"/>
          <w:szCs w:val="18"/>
          <w:lang w:val="de-DE"/>
        </w:rPr>
        <w:t>Diese</w:t>
      </w:r>
      <w:r w:rsidR="00963942">
        <w:rPr>
          <w:rFonts w:cs="Tahoma"/>
          <w:bCs/>
          <w:color w:val="000000"/>
          <w:szCs w:val="18"/>
          <w:lang w:val="de-DE"/>
        </w:rPr>
        <w:t> </w:t>
      </w:r>
      <w:r w:rsidRPr="00571807">
        <w:rPr>
          <w:rFonts w:cs="Tahoma"/>
          <w:bCs/>
          <w:color w:val="000000"/>
          <w:szCs w:val="18"/>
          <w:lang w:val="de-DE"/>
        </w:rPr>
        <w:t>Bestimmungen gelten auch für nachfolgende Enterprise CAL Suite-Lizenzen, die von</w:t>
      </w:r>
      <w:r w:rsidR="00963942">
        <w:rPr>
          <w:rFonts w:cs="Tahoma"/>
          <w:bCs/>
          <w:color w:val="000000"/>
          <w:szCs w:val="18"/>
          <w:lang w:val="de-DE"/>
        </w:rPr>
        <w:t> </w:t>
      </w:r>
      <w:r w:rsidRPr="00571807">
        <w:rPr>
          <w:rFonts w:cs="Tahoma"/>
          <w:bCs/>
          <w:color w:val="000000"/>
          <w:szCs w:val="18"/>
          <w:lang w:val="de-DE"/>
        </w:rPr>
        <w:t>diesen Kunden vor dem 31</w:t>
      </w:r>
      <w:r w:rsidR="006257A7">
        <w:rPr>
          <w:rFonts w:cs="Tahoma"/>
          <w:bCs/>
          <w:color w:val="000000"/>
          <w:szCs w:val="18"/>
          <w:lang w:val="de-DE"/>
        </w:rPr>
        <w:t xml:space="preserve">. </w:t>
      </w:r>
      <w:r w:rsidRPr="00571807">
        <w:rPr>
          <w:rFonts w:cs="Tahoma"/>
          <w:bCs/>
          <w:color w:val="000000"/>
          <w:szCs w:val="18"/>
          <w:lang w:val="de-DE"/>
        </w:rPr>
        <w:t>Dezember 2015 erworben werden</w:t>
      </w:r>
      <w:r w:rsidR="006257A7">
        <w:rPr>
          <w:rFonts w:cs="Tahoma"/>
          <w:bCs/>
          <w:color w:val="000000"/>
          <w:szCs w:val="18"/>
          <w:lang w:val="de-DE"/>
        </w:rPr>
        <w:t xml:space="preserve">. </w:t>
      </w:r>
      <w:r w:rsidRPr="00571807">
        <w:rPr>
          <w:rFonts w:cs="Tahoma"/>
          <w:bCs/>
          <w:color w:val="000000"/>
          <w:szCs w:val="18"/>
          <w:lang w:val="de-DE"/>
        </w:rPr>
        <w:t>Die fortgesetzte Verwendung der Komponenten-Onlinedienste unterliegt weiterhin den Bestimmungen des Volumenlizenzvertrages des Kunden, den Produktbenutzungsrechten für die Onlinedienste und den hierin enthaltenen Bestimmungen</w:t>
      </w:r>
      <w:r w:rsidR="006257A7">
        <w:rPr>
          <w:rFonts w:cs="Tahoma"/>
          <w:bCs/>
          <w:color w:val="000000"/>
          <w:szCs w:val="18"/>
          <w:lang w:val="de-DE"/>
        </w:rPr>
        <w:t xml:space="preserve">. </w:t>
      </w:r>
    </w:p>
    <w:p w:rsidR="00E73313" w:rsidRPr="00571807" w:rsidRDefault="00E73313" w:rsidP="00E73313">
      <w:pPr>
        <w:spacing w:after="60"/>
        <w:ind w:left="720"/>
        <w:rPr>
          <w:lang w:val="de-DE"/>
        </w:rPr>
      </w:pPr>
      <w:r w:rsidRPr="00571807">
        <w:rPr>
          <w:rFonts w:cs="Tahoma"/>
          <w:b/>
          <w:color w:val="000000"/>
          <w:szCs w:val="20"/>
          <w:lang w:val="de-DE"/>
        </w:rPr>
        <w:t xml:space="preserve">Forefront Protection Suite </w:t>
      </w:r>
    </w:p>
    <w:p w:rsidR="00E73313" w:rsidRPr="00571807" w:rsidRDefault="00E73313" w:rsidP="00E73313">
      <w:pPr>
        <w:ind w:left="720"/>
        <w:rPr>
          <w:lang w:val="de-DE"/>
        </w:rPr>
      </w:pPr>
      <w:r w:rsidRPr="00571807">
        <w:rPr>
          <w:rFonts w:cs="Tahoma"/>
          <w:color w:val="000000"/>
          <w:szCs w:val="20"/>
          <w:lang w:val="de-DE"/>
        </w:rPr>
        <w:t>Das Forefront Protection Suite-Abonnement umfasst die folgenden Onlinedienste:</w:t>
      </w:r>
      <w:r w:rsidR="003002D3">
        <w:rPr>
          <w:rFonts w:cs="Tahoma"/>
          <w:color w:val="000000"/>
          <w:szCs w:val="20"/>
          <w:lang w:val="de-DE"/>
        </w:rPr>
        <w:t xml:space="preserve"> </w:t>
      </w:r>
      <w:r w:rsidRPr="00571807">
        <w:rPr>
          <w:rFonts w:cs="Tahoma"/>
          <w:color w:val="000000"/>
          <w:szCs w:val="20"/>
          <w:lang w:val="de-DE"/>
        </w:rPr>
        <w:t>System enter 2012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w:t>
      </w:r>
      <w:r w:rsidR="006257A7">
        <w:rPr>
          <w:rFonts w:cs="Tahoma"/>
          <w:color w:val="000000"/>
          <w:szCs w:val="20"/>
          <w:lang w:val="de-DE"/>
        </w:rPr>
        <w:t xml:space="preserve">. </w:t>
      </w:r>
    </w:p>
    <w:p w:rsidR="00E73313" w:rsidRPr="00963942" w:rsidRDefault="00E73313" w:rsidP="00963942">
      <w:pPr>
        <w:spacing w:line="216" w:lineRule="auto"/>
        <w:ind w:left="720"/>
        <w:rPr>
          <w:szCs w:val="18"/>
          <w:lang w:val="de-DE"/>
        </w:rPr>
      </w:pPr>
    </w:p>
    <w:p w:rsidR="00E73313" w:rsidRPr="00571807" w:rsidRDefault="00E73313" w:rsidP="00E73313">
      <w:pPr>
        <w:spacing w:after="60"/>
        <w:ind w:left="720"/>
        <w:rPr>
          <w:lang w:val="de-DE"/>
        </w:rPr>
      </w:pPr>
      <w:r w:rsidRPr="00571807">
        <w:rPr>
          <w:rFonts w:cs="Tahoma"/>
          <w:b/>
          <w:color w:val="000000"/>
          <w:szCs w:val="20"/>
          <w:lang w:val="de-DE"/>
        </w:rPr>
        <w:t>CALs für Studenten (Open- und Select-Lizenz für Forschung &amp; Lehre)</w:t>
      </w:r>
    </w:p>
    <w:p w:rsidR="00E73313" w:rsidRPr="00571807" w:rsidRDefault="00E73313" w:rsidP="00963942">
      <w:pPr>
        <w:ind w:left="720"/>
        <w:rPr>
          <w:lang w:val="de-DE"/>
        </w:rPr>
      </w:pPr>
      <w:r w:rsidRPr="00571807">
        <w:rPr>
          <w:rFonts w:cs="Tahoma"/>
          <w:szCs w:val="20"/>
          <w:lang w:val="de-DE"/>
        </w:rPr>
        <w:t>CALs für Studenten dienen nur der Lizenzierung von PCs, die Studenten oder Einrichtungen gehören und die</w:t>
      </w:r>
      <w:r w:rsidR="00963942">
        <w:rPr>
          <w:rFonts w:cs="Tahoma"/>
          <w:szCs w:val="20"/>
          <w:lang w:val="de-DE"/>
        </w:rPr>
        <w:t> </w:t>
      </w:r>
      <w:r w:rsidRPr="00571807">
        <w:rPr>
          <w:rFonts w:cs="Tahoma"/>
          <w:szCs w:val="20"/>
          <w:lang w:val="de-DE"/>
        </w:rPr>
        <w:t>ausschließlich für die individuelle studentische Nutzung und NICHT für die Nutzung in einem Labor oder Hörsaal bestimmt sind</w:t>
      </w:r>
      <w:r w:rsidR="006257A7">
        <w:rPr>
          <w:rFonts w:cs="Tahoma"/>
          <w:szCs w:val="20"/>
          <w:lang w:val="de-DE"/>
        </w:rPr>
        <w:t xml:space="preserve">. </w:t>
      </w:r>
    </w:p>
    <w:p w:rsidR="00E73313" w:rsidRPr="00963942" w:rsidRDefault="00E73313" w:rsidP="00963942">
      <w:pPr>
        <w:spacing w:line="216" w:lineRule="auto"/>
        <w:ind w:left="720"/>
        <w:rPr>
          <w:szCs w:val="18"/>
          <w:lang w:val="de-DE"/>
        </w:rPr>
      </w:pPr>
    </w:p>
    <w:p w:rsidR="00E73313" w:rsidRPr="00963942" w:rsidRDefault="00E73313" w:rsidP="00963942">
      <w:pPr>
        <w:spacing w:line="216" w:lineRule="auto"/>
        <w:ind w:left="720"/>
        <w:rPr>
          <w:szCs w:val="18"/>
          <w:lang w:val="de-DE"/>
        </w:rPr>
      </w:pPr>
    </w:p>
    <w:p w:rsidR="00E73313" w:rsidRPr="00571807" w:rsidRDefault="00E73313" w:rsidP="00E73313">
      <w:pPr>
        <w:pStyle w:val="Heading3"/>
        <w:rPr>
          <w:lang w:val="de-DE"/>
        </w:rPr>
      </w:pPr>
      <w:bookmarkStart w:id="1233" w:name="_45_Exchange_Enterprise"/>
      <w:bookmarkStart w:id="1234" w:name="_48_Exchange_Enterprise"/>
      <w:bookmarkStart w:id="1235" w:name="_49_Exchange_Enterprise"/>
      <w:bookmarkStart w:id="1236" w:name="_Toc363999046"/>
      <w:bookmarkEnd w:id="1233"/>
      <w:bookmarkEnd w:id="1234"/>
      <w:bookmarkEnd w:id="1235"/>
      <w:r w:rsidRPr="00571807">
        <w:rPr>
          <w:rFonts w:ascii="Tahoma" w:hAnsi="Tahoma"/>
          <w:caps/>
          <w:color w:val="F66400"/>
          <w:sz w:val="22"/>
          <w:vertAlign w:val="superscript"/>
          <w:lang w:val="de-DE"/>
        </w:rPr>
        <w:t>49</w:t>
      </w:r>
      <w:r w:rsidRPr="00571807">
        <w:rPr>
          <w:rFonts w:ascii="Tahoma" w:hAnsi="Tahoma"/>
          <w:color w:val="F66400"/>
          <w:sz w:val="22"/>
          <w:lang w:val="de-DE"/>
        </w:rPr>
        <w:t xml:space="preserve"> Exchange Enterprise CAL mit Diensten 2013</w:t>
      </w:r>
      <w:bookmarkEnd w:id="1236"/>
      <w:r w:rsidRPr="00571807">
        <w:rPr>
          <w:rFonts w:ascii="Tahoma" w:hAnsi="Tahoma"/>
          <w:color w:val="F66400"/>
          <w:sz w:val="22"/>
          <w:lang w:val="de-DE"/>
        </w:rPr>
        <w:t xml:space="preserve"> </w:t>
      </w:r>
    </w:p>
    <w:p w:rsidR="00E73313" w:rsidRPr="00963942" w:rsidRDefault="00E73313" w:rsidP="00963942">
      <w:pPr>
        <w:spacing w:line="216" w:lineRule="auto"/>
        <w:rPr>
          <w:szCs w:val="18"/>
          <w:lang w:val="de-DE"/>
        </w:rPr>
      </w:pPr>
    </w:p>
    <w:p w:rsidR="00E73313" w:rsidRPr="00571807" w:rsidRDefault="00E73313" w:rsidP="00E73313">
      <w:pPr>
        <w:ind w:left="720"/>
        <w:rPr>
          <w:lang w:val="de-DE"/>
        </w:rPr>
      </w:pPr>
      <w:r w:rsidRPr="00571807">
        <w:rPr>
          <w:rFonts w:cs="Tahoma"/>
          <w:b/>
          <w:szCs w:val="20"/>
          <w:lang w:val="de-DE"/>
        </w:rPr>
        <w:t>In Exchange Enterprise CAL mit Diensten 2013 enthaltene Onlinedienste</w:t>
      </w:r>
    </w:p>
    <w:p w:rsidR="00E73313" w:rsidRPr="00571807" w:rsidRDefault="00E73313" w:rsidP="00E73313">
      <w:pPr>
        <w:ind w:left="720"/>
        <w:rPr>
          <w:lang w:val="de-DE"/>
        </w:rPr>
      </w:pPr>
      <w:r w:rsidRPr="00571807">
        <w:rPr>
          <w:rFonts w:cs="Tahoma"/>
          <w:szCs w:val="20"/>
          <w:lang w:val="de-DE"/>
        </w:rPr>
        <w:t>Zum 1</w:t>
      </w:r>
      <w:r w:rsidR="006257A7">
        <w:rPr>
          <w:rFonts w:cs="Tahoma"/>
          <w:szCs w:val="20"/>
          <w:lang w:val="de-DE"/>
        </w:rPr>
        <w:t xml:space="preserve">. </w:t>
      </w:r>
      <w:r w:rsidRPr="00571807">
        <w:rPr>
          <w:rFonts w:cs="Tahoma"/>
          <w:szCs w:val="20"/>
          <w:lang w:val="de-DE"/>
        </w:rPr>
        <w:t>April 2013 beinhaltet eine Lizenz für Exchange Enterprise CAL mit Diensten 2013 mit aktiver Software Assurance die Rechte zur Vermeidung von Datenverlusten und Exchange Online Protection</w:t>
      </w:r>
      <w:r w:rsidR="006257A7">
        <w:rPr>
          <w:rFonts w:cs="Tahoma"/>
          <w:szCs w:val="20"/>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cs="Tahoma"/>
          <w:szCs w:val="20"/>
          <w:u w:val="single"/>
          <w:lang w:val="de-DE"/>
        </w:rPr>
        <w:t>Erbringung</w:t>
      </w:r>
      <w:r w:rsidR="006257A7">
        <w:rPr>
          <w:rFonts w:cs="Tahoma"/>
          <w:szCs w:val="20"/>
          <w:lang w:val="de-DE"/>
        </w:rPr>
        <w:t xml:space="preserve">. </w:t>
      </w:r>
      <w:r w:rsidRPr="00571807">
        <w:rPr>
          <w:rFonts w:cs="Tahoma"/>
          <w:szCs w:val="20"/>
          <w:lang w:val="de-DE"/>
        </w:rPr>
        <w:t>Kunden können die Inanspruchnahme dieser Dienste aufnehmen, indem sie ihren Microsoft-Partner kontaktieren, der den für die Aktivierung eines jeden Dienstes erforderlichen Erbringungsprozess anstoßen kann</w:t>
      </w:r>
      <w:r w:rsidR="006257A7">
        <w:rPr>
          <w:rFonts w:cs="Tahoma"/>
          <w:szCs w:val="20"/>
          <w:lang w:val="de-DE"/>
        </w:rPr>
        <w:t xml:space="preserve">. </w:t>
      </w:r>
    </w:p>
    <w:p w:rsidR="00E73313" w:rsidRPr="00963942" w:rsidRDefault="00E73313" w:rsidP="00963942">
      <w:pPr>
        <w:spacing w:line="216" w:lineRule="auto"/>
        <w:ind w:left="720"/>
        <w:rPr>
          <w:szCs w:val="18"/>
          <w:lang w:val="de-DE"/>
        </w:rPr>
      </w:pPr>
    </w:p>
    <w:p w:rsidR="00E73313" w:rsidRPr="00571807" w:rsidRDefault="00E73313" w:rsidP="00E73313">
      <w:pPr>
        <w:ind w:left="720"/>
        <w:rPr>
          <w:lang w:val="de-DE"/>
        </w:rPr>
      </w:pPr>
      <w:r w:rsidRPr="00571807">
        <w:rPr>
          <w:rFonts w:cs="Tahoma"/>
          <w:szCs w:val="20"/>
          <w:u w:val="single"/>
          <w:lang w:val="de-DE"/>
        </w:rPr>
        <w:t>Ergänzende Bestimmungen</w:t>
      </w:r>
      <w:r w:rsidR="006257A7">
        <w:rPr>
          <w:rFonts w:cs="Tahoma"/>
          <w:szCs w:val="20"/>
          <w:lang w:val="de-DE"/>
        </w:rPr>
        <w:t xml:space="preserve">. </w:t>
      </w:r>
      <w:r w:rsidRPr="00571807">
        <w:rPr>
          <w:rFonts w:cs="Tahoma"/>
          <w:szCs w:val="20"/>
          <w:lang w:val="de-DE"/>
        </w:rPr>
        <w:t xml:space="preserve">Die Ergänzenden Bestimmungen („Ergänzende Bestimmungen“) in </w:t>
      </w:r>
      <w:hyperlink w:anchor="_Section_10_–" w:history="1">
        <w:r w:rsidRPr="00571807">
          <w:rPr>
            <w:rStyle w:val="Hyperlink"/>
            <w:rFonts w:cs="Tahoma"/>
            <w:szCs w:val="20"/>
            <w:lang w:val="de-DE"/>
          </w:rPr>
          <w:t>Abschnitt 10</w:t>
        </w:r>
      </w:hyperlink>
      <w:r w:rsidRPr="00571807">
        <w:rPr>
          <w:rFonts w:cs="Tahoma"/>
          <w:szCs w:val="20"/>
          <w:lang w:val="de-DE"/>
        </w:rPr>
        <w:t xml:space="preserve"> gelten für </w:t>
      </w:r>
      <w:r w:rsidRPr="00571807">
        <w:rPr>
          <w:snapToGrid w:val="0"/>
          <w:lang w:val="de-DE"/>
        </w:rPr>
        <w:t>den Erwerb und die Nutzung der in Exchange Enterprise CAL mit Diensten 2013 enthaltenen Onlinedienste durch die Kunden</w:t>
      </w:r>
      <w:r w:rsidR="006257A7">
        <w:rPr>
          <w:snapToGrid w:val="0"/>
          <w:lang w:val="de-DE"/>
        </w:rPr>
        <w:t xml:space="preserve">. </w:t>
      </w:r>
    </w:p>
    <w:p w:rsidR="00E73313" w:rsidRPr="00963942" w:rsidRDefault="00E73313" w:rsidP="00963942">
      <w:pPr>
        <w:spacing w:line="216" w:lineRule="auto"/>
        <w:ind w:left="540"/>
        <w:rPr>
          <w:szCs w:val="18"/>
          <w:lang w:val="de-DE"/>
        </w:rPr>
      </w:pPr>
    </w:p>
    <w:p w:rsidR="00E73313" w:rsidRPr="00963942" w:rsidRDefault="00E73313" w:rsidP="00963942">
      <w:pPr>
        <w:spacing w:line="216" w:lineRule="auto"/>
        <w:ind w:left="540"/>
        <w:rPr>
          <w:szCs w:val="18"/>
          <w:lang w:val="de-DE"/>
        </w:rPr>
      </w:pPr>
    </w:p>
    <w:p w:rsidR="00E73313" w:rsidRPr="00571807" w:rsidRDefault="00E73313" w:rsidP="00E73313">
      <w:pPr>
        <w:pStyle w:val="Heading2"/>
        <w:ind w:left="270" w:hanging="270"/>
        <w:rPr>
          <w:lang w:val="de-DE"/>
        </w:rPr>
      </w:pPr>
      <w:bookmarkStart w:id="1237" w:name="_43_Exchange_Enterprise"/>
      <w:bookmarkStart w:id="1238" w:name="_44_Exchange_Online"/>
      <w:bookmarkStart w:id="1239" w:name="_50_Exchange_Online-Archivierung"/>
      <w:bookmarkStart w:id="1240" w:name="_Toc336338305"/>
      <w:bookmarkStart w:id="1241" w:name="_Toc363999047"/>
      <w:bookmarkStart w:id="1242" w:name="Srv_45ExchOnlineArchivingUserSL"/>
      <w:bookmarkEnd w:id="1237"/>
      <w:bookmarkEnd w:id="1238"/>
      <w:bookmarkEnd w:id="1239"/>
      <w:r w:rsidRPr="00571807">
        <w:rPr>
          <w:rFonts w:ascii="Tahoma" w:hAnsi="Tahoma" w:cs="Tahoma"/>
          <w:color w:val="F26200"/>
          <w:sz w:val="20"/>
          <w:vertAlign w:val="superscript"/>
          <w:lang w:val="de-DE"/>
        </w:rPr>
        <w:t>50</w:t>
      </w:r>
      <w:r w:rsidRPr="00571807">
        <w:rPr>
          <w:rFonts w:ascii="Tahoma" w:hAnsi="Tahoma" w:cs="Tahoma"/>
          <w:color w:val="F26200"/>
          <w:lang w:val="de-DE"/>
        </w:rPr>
        <w:t xml:space="preserve"> </w:t>
      </w:r>
      <w:r w:rsidRPr="00571807">
        <w:rPr>
          <w:rFonts w:ascii="Tahoma" w:hAnsi="Tahoma" w:cs="Tahoma"/>
          <w:color w:val="F26200"/>
          <w:sz w:val="22"/>
          <w:lang w:val="de-DE"/>
        </w:rPr>
        <w:t>Exchange Online-Archivierung für Exchange Server (Nutzer-AL)</w:t>
      </w:r>
      <w:bookmarkEnd w:id="1240"/>
      <w:bookmarkEnd w:id="1241"/>
    </w:p>
    <w:bookmarkEnd w:id="1242"/>
    <w:p w:rsidR="00E73313" w:rsidRPr="00963942" w:rsidRDefault="00E73313" w:rsidP="00963942">
      <w:pPr>
        <w:spacing w:line="216" w:lineRule="auto"/>
        <w:ind w:left="900"/>
        <w:rPr>
          <w:szCs w:val="18"/>
          <w:lang w:val="de-DE"/>
        </w:rPr>
      </w:pPr>
    </w:p>
    <w:p w:rsidR="00E73313" w:rsidRPr="00571807" w:rsidRDefault="00E73313" w:rsidP="00E73313">
      <w:pPr>
        <w:pStyle w:val="ListParagraph"/>
        <w:rPr>
          <w:lang w:val="de-DE"/>
        </w:rPr>
      </w:pPr>
      <w:r w:rsidRPr="00571807">
        <w:rPr>
          <w:rFonts w:ascii="Tahoma" w:hAnsi="Tahoma" w:cs="Tahoma"/>
          <w:color w:val="000000"/>
          <w:sz w:val="18"/>
          <w:szCs w:val="18"/>
          <w:lang w:val="de-DE"/>
        </w:rPr>
        <w:t>Exchange Online-Archivierung für Exchange Server ist ein Folge-Onlinedienst für Exchange Hosted Archive</w:t>
      </w:r>
      <w:r w:rsidR="006257A7">
        <w:rPr>
          <w:rFonts w:ascii="Tahoma" w:hAnsi="Tahoma" w:cs="Tahoma"/>
          <w:color w:val="000000"/>
          <w:sz w:val="18"/>
          <w:szCs w:val="18"/>
          <w:lang w:val="de-DE"/>
        </w:rPr>
        <w:t xml:space="preserve">. </w:t>
      </w:r>
    </w:p>
    <w:p w:rsidR="00E73313" w:rsidRPr="00963942" w:rsidRDefault="00E73313" w:rsidP="00963942">
      <w:pPr>
        <w:pStyle w:val="ListParagraph"/>
        <w:spacing w:line="216" w:lineRule="auto"/>
        <w:rPr>
          <w:sz w:val="18"/>
          <w:szCs w:val="18"/>
          <w:lang w:val="de-DE"/>
        </w:rPr>
      </w:pPr>
    </w:p>
    <w:p w:rsidR="00E73313" w:rsidRPr="00571807" w:rsidRDefault="00E73313" w:rsidP="00E73313">
      <w:pPr>
        <w:ind w:left="720"/>
        <w:rPr>
          <w:lang w:val="de-DE"/>
        </w:rPr>
      </w:pPr>
      <w:r w:rsidRPr="00571807">
        <w:rPr>
          <w:rFonts w:cs="Tahoma"/>
          <w:color w:val="000000"/>
          <w:szCs w:val="18"/>
          <w:lang w:val="de-DE"/>
        </w:rPr>
        <w:t>Wenn Sie von Exchange Hosted Archive auf Exchange Online-Archivierung für Exchange Server verlängern und noch nicht auf Exchange Online-</w:t>
      </w:r>
      <w:r w:rsidRPr="00571807">
        <w:rPr>
          <w:color w:val="000000"/>
          <w:lang w:val="de-DE"/>
        </w:rPr>
        <w:t>Archivierung für Exchange Server migriert haben, sind Ihre lizenzierte Nutzer berechtigt, den Exchange Hosted Archive-Dienst weiterhin unter den Bestimmungen der Produktbenutzungsrechte (PUR) von März 2011 zu verwenden, bis Sie auf Exchange Online-Archivierung für Exchange Server migrieren oder bis Ihr Abonnement für Exchange Online-Archivierung für Exchange Server abläuft, wobei das frühere Datum maßgeblich ist</w:t>
      </w:r>
      <w:r w:rsidR="006257A7">
        <w:rPr>
          <w:color w:val="000000"/>
          <w:lang w:val="de-DE"/>
        </w:rPr>
        <w:t xml:space="preserve">. </w:t>
      </w:r>
    </w:p>
    <w:p w:rsidR="00E73313" w:rsidRPr="00963942" w:rsidRDefault="00E73313" w:rsidP="00963942">
      <w:pPr>
        <w:spacing w:line="216" w:lineRule="auto"/>
        <w:ind w:left="720"/>
        <w:rPr>
          <w:szCs w:val="18"/>
          <w:lang w:val="de-DE"/>
        </w:rPr>
      </w:pPr>
    </w:p>
    <w:p w:rsidR="00E73313" w:rsidRPr="0062435A" w:rsidRDefault="00E73313" w:rsidP="00E73313">
      <w:pPr>
        <w:spacing w:after="60"/>
        <w:ind w:left="720"/>
      </w:pPr>
      <w:r>
        <w:rPr>
          <w:rFonts w:eastAsia="Calibri" w:cs="Tahoma"/>
          <w:b/>
          <w:color w:val="000000"/>
          <w:szCs w:val="18"/>
        </w:rPr>
        <w:t>Government Community Cloud (nur USA)</w:t>
      </w:r>
    </w:p>
    <w:p w:rsidR="00E73313" w:rsidRDefault="00E73313" w:rsidP="00E73313">
      <w:pPr>
        <w:ind w:left="720"/>
        <w:rPr>
          <w:rFonts w:eastAsia="Calibri" w:cs="Tahoma"/>
          <w:color w:val="000000"/>
          <w:szCs w:val="18"/>
          <w:lang w:val="de-DE"/>
        </w:rPr>
      </w:pPr>
      <w:r>
        <w:rPr>
          <w:rFonts w:eastAsia="Calibri" w:cs="Tahoma"/>
          <w:color w:val="000000"/>
          <w:szCs w:val="18"/>
        </w:rPr>
        <w:t>Einige Onlinedienste in der Office 365-Produktfamilie (darunter Exchange Online-Archivierung für Exchange Server) werden als Government Community Cloud-Dienste und Non-Government Community Cloud-Dienste angeboten</w:t>
      </w:r>
      <w:r w:rsidR="006257A7">
        <w:rPr>
          <w:rFonts w:eastAsia="Calibri" w:cs="Tahoma"/>
          <w:color w:val="000000"/>
          <w:szCs w:val="18"/>
        </w:rPr>
        <w:t xml:space="preserve">. </w:t>
      </w:r>
      <w:r w:rsidRPr="00571807">
        <w:rPr>
          <w:rFonts w:eastAsia="Calibri" w:cs="Tahoma"/>
          <w:color w:val="000000"/>
          <w:szCs w:val="18"/>
          <w:lang w:val="de-DE"/>
        </w:rPr>
        <w:t>Die Bereitstellung an Kunden kann in der einen oder anderen Form erfolgen, jedoch nicht als Kombination aus beidem</w:t>
      </w:r>
      <w:r w:rsidR="006257A7">
        <w:rPr>
          <w:rFonts w:eastAsia="Calibri" w:cs="Tahoma"/>
          <w:color w:val="000000"/>
          <w:szCs w:val="18"/>
          <w:lang w:val="de-DE"/>
        </w:rPr>
        <w:t xml:space="preserve">. </w:t>
      </w:r>
      <w:r w:rsidRPr="00571807">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6257A7">
        <w:rPr>
          <w:rFonts w:eastAsia="Calibri" w:cs="Tahoma"/>
          <w:color w:val="000000"/>
          <w:szCs w:val="18"/>
          <w:lang w:val="de-DE"/>
        </w:rPr>
        <w:t xml:space="preserve">. </w:t>
      </w:r>
      <w:r w:rsidRPr="00571807">
        <w:rPr>
          <w:rFonts w:eastAsia="Calibri" w:cs="Tahoma"/>
          <w:color w:val="000000"/>
          <w:szCs w:val="18"/>
          <w:lang w:val="de-DE"/>
        </w:rPr>
        <w:t>Diese Beschränkung gilt für alle Onlinedienste, die zur Office 365-Produktfamilie gehören, darunter Exchange Online, SharePoint Online und Lync Online</w:t>
      </w:r>
      <w:r w:rsidR="00A97F63">
        <w:rPr>
          <w:rFonts w:eastAsia="Calibri" w:cs="Tahoma"/>
          <w:color w:val="000000"/>
          <w:szCs w:val="18"/>
          <w:lang w:val="de-DE"/>
        </w:rPr>
        <w:t>.</w:t>
      </w:r>
    </w:p>
    <w:p w:rsidR="00A97F63" w:rsidRPr="00571807" w:rsidRDefault="00A97F63" w:rsidP="00E73313">
      <w:pPr>
        <w:ind w:left="720"/>
        <w:rPr>
          <w:lang w:val="de-DE"/>
        </w:rPr>
      </w:pPr>
    </w:p>
    <w:p w:rsidR="00E73313" w:rsidRPr="00571807" w:rsidRDefault="00E73313" w:rsidP="00963942">
      <w:pPr>
        <w:ind w:left="720"/>
        <w:rPr>
          <w:lang w:val="de-DE"/>
        </w:rPr>
      </w:pPr>
      <w:r w:rsidRPr="00571807">
        <w:rPr>
          <w:rFonts w:eastAsia="Calibri" w:cs="Tahoma"/>
          <w:color w:val="000000"/>
          <w:szCs w:val="18"/>
          <w:lang w:val="de-DE"/>
        </w:rPr>
        <w:t>Wenn ein Onlinedienst in der Government Community Cloud bereitgestellt wird, bleibt er für die Dauer der</w:t>
      </w:r>
      <w:r w:rsidR="00963942">
        <w:rPr>
          <w:rFonts w:eastAsia="Calibri" w:cs="Tahoma"/>
          <w:color w:val="000000"/>
          <w:szCs w:val="18"/>
          <w:lang w:val="de-DE"/>
        </w:rPr>
        <w:t> </w:t>
      </w:r>
      <w:r w:rsidRPr="00571807">
        <w:rPr>
          <w:rFonts w:eastAsia="Calibri" w:cs="Tahoma"/>
          <w:color w:val="000000"/>
          <w:szCs w:val="18"/>
          <w:lang w:val="de-DE"/>
        </w:rPr>
        <w:t>Abonnementlaufzeit dort</w:t>
      </w:r>
      <w:r w:rsidR="006257A7">
        <w:rPr>
          <w:rFonts w:eastAsia="Calibri" w:cs="Tahoma"/>
          <w:color w:val="000000"/>
          <w:szCs w:val="18"/>
          <w:lang w:val="de-DE"/>
        </w:rPr>
        <w:t xml:space="preserve">. </w:t>
      </w:r>
      <w:r w:rsidRPr="00571807">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6257A7">
        <w:rPr>
          <w:rFonts w:eastAsia="Calibri" w:cs="Tahoma"/>
          <w:color w:val="000000"/>
          <w:szCs w:val="18"/>
          <w:lang w:val="de-DE"/>
        </w:rPr>
        <w:t xml:space="preserve">. </w:t>
      </w:r>
      <w:r w:rsidRPr="00571807">
        <w:rPr>
          <w:rFonts w:eastAsia="Calibri" w:cs="Tahoma"/>
          <w:color w:val="000000"/>
          <w:szCs w:val="18"/>
          <w:lang w:val="de-DE"/>
        </w:rPr>
        <w:t>Die</w:t>
      </w:r>
      <w:r w:rsidR="00963942">
        <w:rPr>
          <w:rFonts w:eastAsia="Calibri" w:cs="Tahoma"/>
          <w:color w:val="000000"/>
          <w:szCs w:val="18"/>
          <w:lang w:val="de-DE"/>
        </w:rPr>
        <w:t> </w:t>
      </w:r>
      <w:r w:rsidRPr="00571807">
        <w:rPr>
          <w:rFonts w:eastAsia="Calibri" w:cs="Tahoma"/>
          <w:color w:val="000000"/>
          <w:szCs w:val="18"/>
          <w:lang w:val="de-DE"/>
        </w:rPr>
        <w:t>Nutzungsrechte für Government Community Cloud-Dienste entsprechen den Nutzungsrechten ihrer</w:t>
      </w:r>
      <w:r w:rsidR="00963942">
        <w:rPr>
          <w:rFonts w:eastAsia="Calibri" w:cs="Tahoma"/>
          <w:color w:val="000000"/>
          <w:szCs w:val="18"/>
          <w:lang w:val="de-DE"/>
        </w:rPr>
        <w:t> </w:t>
      </w:r>
      <w:r w:rsidRPr="00571807">
        <w:rPr>
          <w:rFonts w:eastAsia="Calibri" w:cs="Tahoma"/>
          <w:color w:val="000000"/>
          <w:szCs w:val="18"/>
          <w:lang w:val="de-DE"/>
        </w:rPr>
        <w:t>mehrinstanzenfähigen Standardäquivalente</w:t>
      </w:r>
      <w:r w:rsidR="006257A7">
        <w:rPr>
          <w:rFonts w:eastAsia="Calibri" w:cs="Tahoma"/>
          <w:color w:val="000000"/>
          <w:szCs w:val="18"/>
          <w:lang w:val="de-DE"/>
        </w:rPr>
        <w:t xml:space="preserve">. </w:t>
      </w:r>
      <w:r w:rsidRPr="00571807">
        <w:rPr>
          <w:rFonts w:eastAsia="Calibri" w:cs="Tahoma"/>
          <w:color w:val="000000"/>
          <w:szCs w:val="18"/>
          <w:lang w:val="de-DE"/>
        </w:rPr>
        <w:t>Government Community Cloud-Dienste sind zum jetzigen</w:t>
      </w:r>
      <w:r w:rsidR="00963942">
        <w:rPr>
          <w:rFonts w:eastAsia="Calibri" w:cs="Tahoma"/>
          <w:color w:val="000000"/>
          <w:szCs w:val="18"/>
          <w:lang w:val="de-DE"/>
        </w:rPr>
        <w:t> </w:t>
      </w:r>
      <w:r w:rsidRPr="00571807">
        <w:rPr>
          <w:rFonts w:eastAsia="Calibri" w:cs="Tahoma"/>
          <w:color w:val="000000"/>
          <w:szCs w:val="18"/>
          <w:lang w:val="de-DE"/>
        </w:rPr>
        <w:t>Zeitpunkt nicht zur Lizenzreservierung und Übergängen berechtigt</w:t>
      </w:r>
      <w:r w:rsidR="006257A7">
        <w:rPr>
          <w:rFonts w:eastAsia="Calibri" w:cs="Tahoma"/>
          <w:color w:val="000000"/>
          <w:szCs w:val="18"/>
          <w:lang w:val="de-DE"/>
        </w:rPr>
        <w:t xml:space="preserve">. </w:t>
      </w:r>
    </w:p>
    <w:p w:rsidR="00E73313" w:rsidRDefault="00E73313" w:rsidP="00E73313">
      <w:pPr>
        <w:rPr>
          <w:lang w:val="de-DE"/>
        </w:rPr>
      </w:pPr>
    </w:p>
    <w:p w:rsidR="00A97F63" w:rsidRPr="00571807" w:rsidRDefault="00A97F63" w:rsidP="00E73313">
      <w:pPr>
        <w:rPr>
          <w:lang w:val="de-DE"/>
        </w:rPr>
      </w:pPr>
    </w:p>
    <w:p w:rsidR="00E73313" w:rsidRPr="00571807" w:rsidRDefault="00E73313" w:rsidP="00E73313">
      <w:pPr>
        <w:rPr>
          <w:lang w:val="de-DE"/>
        </w:rPr>
      </w:pPr>
    </w:p>
    <w:p w:rsidR="00E73313" w:rsidRPr="00571807" w:rsidRDefault="00E73313" w:rsidP="00E73313">
      <w:pPr>
        <w:pStyle w:val="Heading2"/>
        <w:ind w:left="270" w:hanging="270"/>
        <w:rPr>
          <w:lang w:val="de-DE"/>
        </w:rPr>
      </w:pPr>
      <w:bookmarkStart w:id="1243" w:name="_47__Exchange"/>
      <w:bookmarkStart w:id="1244" w:name="_50__Exchange"/>
      <w:bookmarkStart w:id="1245" w:name="_51_Exchange_Online-Archivierung"/>
      <w:bookmarkStart w:id="1246" w:name="_Toc363999048"/>
      <w:bookmarkEnd w:id="1243"/>
      <w:bookmarkEnd w:id="1244"/>
      <w:bookmarkEnd w:id="1245"/>
      <w:r w:rsidRPr="00571807">
        <w:rPr>
          <w:rFonts w:ascii="Tahoma" w:hAnsi="Tahoma" w:cs="Tahoma"/>
          <w:color w:val="F26200"/>
          <w:sz w:val="20"/>
          <w:vertAlign w:val="superscript"/>
          <w:lang w:val="de-DE"/>
        </w:rPr>
        <w:t>51</w:t>
      </w:r>
      <w:r w:rsidR="003002D3" w:rsidRPr="00963942">
        <w:rPr>
          <w:rFonts w:ascii="Tahoma" w:hAnsi="Tahoma" w:cs="Tahoma"/>
          <w:color w:val="F26200"/>
          <w:sz w:val="20"/>
          <w:lang w:val="de-DE"/>
        </w:rPr>
        <w:t xml:space="preserve"> </w:t>
      </w:r>
      <w:r w:rsidRPr="00571807">
        <w:rPr>
          <w:rFonts w:ascii="Tahoma" w:hAnsi="Tahoma" w:cs="Tahoma"/>
          <w:color w:val="F26200"/>
          <w:sz w:val="22"/>
          <w:lang w:val="de-DE"/>
        </w:rPr>
        <w:t>Exchange Online-Archivierung für Exchange Server A (Nutzer-AL)</w:t>
      </w:r>
      <w:bookmarkEnd w:id="1246"/>
    </w:p>
    <w:p w:rsidR="00E73313" w:rsidRPr="00571807" w:rsidRDefault="00E73313" w:rsidP="00E73313">
      <w:pPr>
        <w:ind w:left="900"/>
        <w:rPr>
          <w:lang w:val="de-DE"/>
        </w:rPr>
      </w:pPr>
    </w:p>
    <w:p w:rsidR="00E73313" w:rsidRPr="00571807" w:rsidRDefault="00E73313" w:rsidP="00E73313">
      <w:pPr>
        <w:ind w:left="720"/>
        <w:rPr>
          <w:lang w:val="de-DE"/>
        </w:rPr>
      </w:pPr>
      <w:r w:rsidRPr="00571807">
        <w:rPr>
          <w:rFonts w:cs="Tahoma"/>
          <w:szCs w:val="18"/>
          <w:lang w:val="de-DE"/>
        </w:rPr>
        <w:t>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gedeckt sind</w:t>
      </w:r>
      <w:r w:rsidR="006257A7">
        <w:rPr>
          <w:rFonts w:cs="Tahoma"/>
          <w:szCs w:val="18"/>
          <w:lang w:val="de-DE"/>
        </w:rPr>
        <w:t xml:space="preserve">. </w:t>
      </w:r>
      <w:r w:rsidRPr="00571807">
        <w:rPr>
          <w:rFonts w:cs="Tahoma"/>
          <w:szCs w:val="18"/>
          <w:lang w:val="de-DE"/>
        </w:rPr>
        <w:t>Anweisungen für die Bereitstellung entnehmen Sie dem Produkthinweis für Enterprise CAL Suite</w:t>
      </w:r>
      <w:r w:rsidR="006257A7">
        <w:rPr>
          <w:rFonts w:cs="Tahoma"/>
          <w:szCs w:val="18"/>
          <w:lang w:val="de-DE"/>
        </w:rPr>
        <w:t xml:space="preserve">. </w:t>
      </w:r>
    </w:p>
    <w:p w:rsidR="00E73313" w:rsidRPr="00571807" w:rsidRDefault="00E73313" w:rsidP="00A97F63">
      <w:pPr>
        <w:rPr>
          <w:lang w:val="de-DE"/>
        </w:rPr>
      </w:pPr>
    </w:p>
    <w:p w:rsidR="00E73313" w:rsidRPr="00571807" w:rsidRDefault="00E73313" w:rsidP="00A97F63">
      <w:pPr>
        <w:rPr>
          <w:lang w:val="de-DE"/>
        </w:rPr>
      </w:pPr>
    </w:p>
    <w:p w:rsidR="00E73313" w:rsidRPr="0062435A" w:rsidRDefault="00E73313" w:rsidP="00963942">
      <w:pPr>
        <w:pStyle w:val="Heading2"/>
        <w:ind w:left="216" w:hanging="216"/>
      </w:pPr>
      <w:bookmarkStart w:id="1247" w:name="_45_Exchange_Hosted"/>
      <w:bookmarkStart w:id="1248" w:name="_51_Exchange_Hosted"/>
      <w:bookmarkStart w:id="1249" w:name="_Toc336338306"/>
      <w:bookmarkStart w:id="1250" w:name="_Toc363999049"/>
      <w:bookmarkStart w:id="1251" w:name="Srv_44ExchHostArchiveandStorage"/>
      <w:bookmarkEnd w:id="1247"/>
      <w:bookmarkEnd w:id="1248"/>
      <w:r>
        <w:rPr>
          <w:rFonts w:ascii="Tahoma" w:hAnsi="Tahoma" w:cs="Tahoma"/>
          <w:color w:val="F26200"/>
          <w:sz w:val="20"/>
          <w:vertAlign w:val="superscript"/>
        </w:rPr>
        <w:t>52</w:t>
      </w:r>
      <w:r>
        <w:rPr>
          <w:rFonts w:ascii="Tahoma" w:hAnsi="Tahoma" w:cs="Tahoma"/>
          <w:color w:val="F26200"/>
        </w:rPr>
        <w:t xml:space="preserve"> </w:t>
      </w:r>
      <w:r>
        <w:rPr>
          <w:rFonts w:ascii="Tahoma" w:hAnsi="Tahoma" w:cs="Tahoma"/>
          <w:color w:val="F26200"/>
          <w:sz w:val="22"/>
        </w:rPr>
        <w:t>Exchange Hosted Archive (Nutzer-AL), Exchange Hosted Archive Extra Storage (Add-on-AL)</w:t>
      </w:r>
      <w:bookmarkEnd w:id="1249"/>
      <w:bookmarkEnd w:id="1250"/>
      <w:r>
        <w:rPr>
          <w:rFonts w:ascii="Tahoma" w:hAnsi="Tahoma" w:cs="Tahoma"/>
          <w:color w:val="F26200"/>
          <w:sz w:val="22"/>
        </w:rPr>
        <w:t xml:space="preserve"> </w:t>
      </w:r>
      <w:bookmarkEnd w:id="1251"/>
    </w:p>
    <w:p w:rsidR="00E73313" w:rsidRPr="0062435A" w:rsidRDefault="00E73313" w:rsidP="00E73313">
      <w:pPr>
        <w:ind w:left="900"/>
      </w:pPr>
    </w:p>
    <w:p w:rsidR="00E73313" w:rsidRPr="00571807" w:rsidRDefault="00E73313" w:rsidP="00E73313">
      <w:pPr>
        <w:spacing w:after="60"/>
        <w:ind w:left="720"/>
        <w:rPr>
          <w:lang w:val="de-DE"/>
        </w:rPr>
      </w:pPr>
      <w:r w:rsidRPr="00571807">
        <w:rPr>
          <w:rFonts w:eastAsia="Calibri" w:cs="Tahoma"/>
          <w:b/>
          <w:bCs/>
          <w:iCs/>
          <w:color w:val="000000"/>
          <w:lang w:val="de-DE"/>
        </w:rPr>
        <w:t>1</w:t>
      </w:r>
      <w:r w:rsidR="006257A7">
        <w:rPr>
          <w:rFonts w:eastAsia="Calibri" w:cs="Tahoma"/>
          <w:b/>
          <w:bCs/>
          <w:iCs/>
          <w:color w:val="000000"/>
          <w:lang w:val="de-DE"/>
        </w:rPr>
        <w:t xml:space="preserve">. </w:t>
      </w:r>
      <w:r w:rsidRPr="00571807">
        <w:rPr>
          <w:rFonts w:eastAsia="Calibri" w:cs="Tahoma"/>
          <w:b/>
          <w:bCs/>
          <w:iCs/>
          <w:color w:val="000000"/>
          <w:lang w:val="de-DE"/>
        </w:rPr>
        <w:t>Mai 2011 Lizenzgewährung für Exchange Hosted Archive-Kunden</w:t>
      </w:r>
      <w:r w:rsidRPr="00571807">
        <w:rPr>
          <w:rFonts w:eastAsia="Calibri" w:cs="Tahoma"/>
          <w:b/>
          <w:iCs/>
          <w:color w:val="000000"/>
          <w:lang w:val="de-DE"/>
        </w:rPr>
        <w:t xml:space="preserve"> </w:t>
      </w:r>
    </w:p>
    <w:p w:rsidR="00E73313" w:rsidRPr="00571807" w:rsidRDefault="00E73313" w:rsidP="00963942">
      <w:pPr>
        <w:ind w:left="720"/>
        <w:rPr>
          <w:lang w:val="de-DE"/>
        </w:rPr>
      </w:pPr>
      <w:r w:rsidRPr="00571807">
        <w:rPr>
          <w:rFonts w:eastAsia="Calibri" w:cs="Tahoma"/>
          <w:iCs/>
          <w:color w:val="000000"/>
          <w:lang w:val="de-DE"/>
        </w:rPr>
        <w:t>Kunden wird eine zusätzliche Anzahl von Lizenzen („zusätzliche Lizenzen“) gewährt, die 15 % der Anzahl</w:t>
      </w:r>
      <w:r w:rsidR="00963942">
        <w:rPr>
          <w:rFonts w:eastAsia="Calibri" w:cs="Tahoma"/>
          <w:iCs/>
          <w:color w:val="000000"/>
          <w:lang w:val="de-DE"/>
        </w:rPr>
        <w:t> </w:t>
      </w:r>
      <w:r w:rsidRPr="00571807">
        <w:rPr>
          <w:rFonts w:eastAsia="Calibri" w:cs="Tahoma"/>
          <w:iCs/>
          <w:color w:val="000000"/>
          <w:lang w:val="de-DE"/>
        </w:rPr>
        <w:t>von Lizenzen für Exchange Hosted Archive (EHA) entspricht, die sie erworben haben und die am 1</w:t>
      </w:r>
      <w:r w:rsidR="006257A7">
        <w:rPr>
          <w:rFonts w:eastAsia="Calibri" w:cs="Tahoma"/>
          <w:iCs/>
          <w:color w:val="000000"/>
          <w:lang w:val="de-DE"/>
        </w:rPr>
        <w:t xml:space="preserve">. </w:t>
      </w:r>
      <w:r w:rsidRPr="00571807">
        <w:rPr>
          <w:rFonts w:eastAsia="Calibri" w:cs="Tahoma"/>
          <w:iCs/>
          <w:color w:val="000000"/>
          <w:lang w:val="de-DE"/>
        </w:rPr>
        <w:t>Mai 2011 aktiv sind („qualifizierende Lizenzen“)</w:t>
      </w:r>
      <w:r w:rsidR="006257A7">
        <w:rPr>
          <w:rFonts w:eastAsia="Calibri" w:cs="Tahoma"/>
          <w:iCs/>
          <w:color w:val="000000"/>
          <w:lang w:val="de-DE"/>
        </w:rPr>
        <w:t xml:space="preserve">. </w:t>
      </w:r>
      <w:r w:rsidRPr="00571807">
        <w:rPr>
          <w:rFonts w:eastAsia="Calibri" w:cs="Tahoma"/>
          <w:iCs/>
          <w:color w:val="000000"/>
          <w:lang w:val="de-DE"/>
        </w:rPr>
        <w:t>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w:t>
      </w:r>
      <w:r w:rsidR="006257A7">
        <w:rPr>
          <w:rFonts w:eastAsia="Calibri" w:cs="Tahoma"/>
          <w:iCs/>
          <w:color w:val="000000"/>
          <w:lang w:val="de-DE"/>
        </w:rPr>
        <w:t xml:space="preserve">. </w:t>
      </w:r>
      <w:r w:rsidRPr="00571807">
        <w:rPr>
          <w:rFonts w:eastAsia="Calibri" w:cs="Tahoma"/>
          <w:iCs/>
          <w:color w:val="000000"/>
          <w:lang w:val="de-DE"/>
        </w:rPr>
        <w:t>Kunden, die den Folge-Onlinedienst nach Ablauf ihrer zusätzlichen Lizenzen weiterhin nutzen möchten, müssen eine Anzahl von Lizenzen bestellen, die der Gesamtzahl der Nutzer entspricht, die</w:t>
      </w:r>
      <w:r w:rsidR="00963942">
        <w:rPr>
          <w:rFonts w:eastAsia="Calibri" w:cs="Tahoma"/>
          <w:iCs/>
          <w:color w:val="000000"/>
          <w:lang w:val="de-DE"/>
        </w:rPr>
        <w:t> </w:t>
      </w:r>
      <w:r w:rsidRPr="00571807">
        <w:rPr>
          <w:rFonts w:eastAsia="Calibri" w:cs="Tahoma"/>
          <w:iCs/>
          <w:color w:val="000000"/>
          <w:lang w:val="de-DE"/>
        </w:rPr>
        <w:t>auf diesen Onlinedienst zugreifen oder ihn nutzen werden</w:t>
      </w:r>
      <w:r w:rsidR="006257A7">
        <w:rPr>
          <w:rFonts w:eastAsia="Calibri" w:cs="Tahoma"/>
          <w:iCs/>
          <w:color w:val="000000"/>
          <w:lang w:val="de-DE"/>
        </w:rPr>
        <w:t xml:space="preserve">. </w:t>
      </w:r>
    </w:p>
    <w:p w:rsidR="00E73313" w:rsidRPr="00571807" w:rsidRDefault="00E73313" w:rsidP="00E73313">
      <w:pPr>
        <w:rPr>
          <w:lang w:val="de-DE"/>
        </w:rPr>
      </w:pPr>
    </w:p>
    <w:p w:rsidR="00E73313" w:rsidRPr="00571807" w:rsidRDefault="00E73313" w:rsidP="00E73313">
      <w:pPr>
        <w:spacing w:after="60"/>
        <w:ind w:left="720"/>
        <w:rPr>
          <w:lang w:val="de-DE"/>
        </w:rPr>
      </w:pPr>
      <w:r w:rsidRPr="00571807">
        <w:rPr>
          <w:rFonts w:eastAsia="Calibri" w:cs="Tahoma"/>
          <w:b/>
          <w:bCs/>
          <w:iCs/>
          <w:color w:val="000000"/>
          <w:lang w:val="de-DE"/>
        </w:rPr>
        <w:t>Migrationslizenzgewährung für Exchange Hosted Archive-Kunden</w:t>
      </w:r>
    </w:p>
    <w:p w:rsidR="00E73313" w:rsidRPr="00571807" w:rsidRDefault="00E73313" w:rsidP="00E73313">
      <w:pPr>
        <w:ind w:left="720"/>
        <w:rPr>
          <w:lang w:val="de-DE"/>
        </w:rPr>
      </w:pPr>
      <w:r w:rsidRPr="00571807">
        <w:rPr>
          <w:rFonts w:eastAsia="Calibri" w:cs="Tahoma"/>
          <w:iCs/>
          <w:color w:val="000000"/>
          <w:lang w:val="de-DE"/>
        </w:rPr>
        <w:t>EHA-Kunden, die auf Folge-Onlinedienste migrieren, wird eine Gesamtzahl von Ersatzlizenzen für die Folge-Onlinedienste gewährt, die ihrer Gesamtzahl von qualifizierenden und zusätzlichen EHA-Lizenzen wie in der Tabelle unten dargestellt entspricht</w:t>
      </w:r>
      <w:r w:rsidR="006257A7">
        <w:rPr>
          <w:rFonts w:eastAsia="Calibri" w:cs="Tahoma"/>
          <w:iCs/>
          <w:color w:val="000000"/>
          <w:lang w:val="de-DE"/>
        </w:rPr>
        <w:t xml:space="preserve">. </w:t>
      </w:r>
      <w:r w:rsidRPr="00571807">
        <w:rPr>
          <w:rFonts w:eastAsia="Calibri" w:cs="Tahoma"/>
          <w:iCs/>
          <w:color w:val="000000"/>
          <w:lang w:val="de-DE"/>
        </w:rPr>
        <w:t>Diese Ersatzlizenzen laufen am Ende der Abonnementlaufzeit ab, das mit dem Datum der Migration des Kunden von EHA auf die Folge-Onlinedienste übereinstimmt</w:t>
      </w:r>
      <w:r w:rsidR="006257A7">
        <w:rPr>
          <w:rFonts w:eastAsia="Calibri" w:cs="Tahoma"/>
          <w:iCs/>
          <w:color w:val="000000"/>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eastAsia="Calibri" w:cs="Tahoma"/>
          <w:iCs/>
          <w:color w:val="000000"/>
          <w:lang w:val="de-DE"/>
        </w:rPr>
        <w:t>Nutzer-ALs für Exchange Online Plan 2 unter diesem Migrationsangebot müssen dem Nutzer zugewiesen werden, dem die entsprechende Nutzer-AL für Exchange Online Standard, Exchange Online Plan 2, BPOS Standard, Office 365 Enterprise E1, BPOS Deskless, Exchange Online Deskless oder Exchange Online Kiosk zugewiesen ist</w:t>
      </w:r>
      <w:r w:rsidR="006257A7">
        <w:rPr>
          <w:rFonts w:eastAsia="Calibri" w:cs="Tahoma"/>
          <w:iCs/>
          <w:color w:val="000000"/>
          <w:lang w:val="de-DE"/>
        </w:rPr>
        <w:t xml:space="preserve">. </w:t>
      </w:r>
      <w:r w:rsidRPr="00571807">
        <w:rPr>
          <w:rFonts w:eastAsia="Calibri" w:cs="Tahoma"/>
          <w:iCs/>
          <w:color w:val="000000"/>
          <w:lang w:val="de-DE"/>
        </w:rPr>
        <w:t>Wenn die entsprechende Nutzer-AL einem neuen Nutzer neu zugewiesen wird, dann muss auch der Exchange Online Plan 2 diesem neuen Nutzer neu zugewiesen werden</w:t>
      </w:r>
      <w:r w:rsidR="006257A7">
        <w:rPr>
          <w:rFonts w:eastAsia="Calibri" w:cs="Tahoma"/>
          <w:iCs/>
          <w:color w:val="000000"/>
          <w:lang w:val="de-DE"/>
        </w:rPr>
        <w:t xml:space="preserve">. </w:t>
      </w:r>
    </w:p>
    <w:p w:rsidR="00E73313" w:rsidRPr="00571807" w:rsidRDefault="00E73313" w:rsidP="00E73313">
      <w:pPr>
        <w:rPr>
          <w:lang w:val="de-D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75"/>
      </w:tblGrid>
      <w:tr w:rsidR="00E73313" w:rsidRPr="00022FBE" w:rsidTr="00945FA5">
        <w:trPr>
          <w:jc w:val="center"/>
        </w:trPr>
        <w:tc>
          <w:tcPr>
            <w:tcW w:w="8235" w:type="dxa"/>
            <w:gridSpan w:val="2"/>
            <w:shd w:val="clear" w:color="auto" w:fill="FABF8F"/>
          </w:tcPr>
          <w:p w:rsidR="00E73313" w:rsidRPr="00022FBE" w:rsidRDefault="00E73313" w:rsidP="00E328C3">
            <w:pPr>
              <w:jc w:val="center"/>
              <w:rPr>
                <w:rFonts w:eastAsia="Calibri" w:cs="Tahoma"/>
                <w:b/>
                <w:iCs/>
                <w:color w:val="000000"/>
              </w:rPr>
            </w:pPr>
            <w:r>
              <w:rPr>
                <w:rFonts w:eastAsia="Calibri" w:cs="Tahoma"/>
                <w:b/>
                <w:iCs/>
                <w:color w:val="000000"/>
              </w:rPr>
              <w:t>Migrationslizenzgewährung</w:t>
            </w:r>
          </w:p>
        </w:tc>
      </w:tr>
      <w:tr w:rsidR="00E73313" w:rsidRPr="00022FBE" w:rsidTr="00945FA5">
        <w:trPr>
          <w:jc w:val="center"/>
        </w:trPr>
        <w:tc>
          <w:tcPr>
            <w:tcW w:w="3960" w:type="dxa"/>
            <w:shd w:val="clear" w:color="auto" w:fill="auto"/>
          </w:tcPr>
          <w:p w:rsidR="00E73313" w:rsidRPr="00022FBE" w:rsidRDefault="00E73313" w:rsidP="00E328C3">
            <w:pPr>
              <w:jc w:val="center"/>
              <w:rPr>
                <w:rFonts w:eastAsia="Calibri" w:cs="Tahoma"/>
                <w:iCs/>
                <w:color w:val="000000"/>
              </w:rPr>
            </w:pPr>
            <w:r>
              <w:rPr>
                <w:rFonts w:eastAsia="Calibri" w:cs="Tahoma"/>
                <w:iCs/>
                <w:color w:val="000000"/>
              </w:rPr>
              <w:t>Qualifizierende Lizenzposition</w:t>
            </w:r>
          </w:p>
        </w:tc>
        <w:tc>
          <w:tcPr>
            <w:tcW w:w="4275" w:type="dxa"/>
            <w:shd w:val="clear" w:color="auto" w:fill="auto"/>
          </w:tcPr>
          <w:p w:rsidR="00E73313" w:rsidRPr="00022FBE" w:rsidRDefault="00E73313" w:rsidP="00E328C3">
            <w:pPr>
              <w:jc w:val="center"/>
              <w:rPr>
                <w:rFonts w:eastAsia="Calibri" w:cs="Tahoma"/>
                <w:iCs/>
                <w:color w:val="000000"/>
              </w:rPr>
            </w:pPr>
            <w:r>
              <w:rPr>
                <w:rFonts w:eastAsia="Calibri" w:cs="Tahoma"/>
                <w:iCs/>
                <w:color w:val="000000"/>
              </w:rPr>
              <w:t>Lizenzgewährung</w:t>
            </w:r>
          </w:p>
        </w:tc>
      </w:tr>
      <w:tr w:rsidR="00E73313" w:rsidRPr="001B6F67" w:rsidTr="00945FA5">
        <w:trPr>
          <w:jc w:val="center"/>
        </w:trPr>
        <w:tc>
          <w:tcPr>
            <w:tcW w:w="3960" w:type="dxa"/>
            <w:shd w:val="clear" w:color="auto" w:fill="auto"/>
          </w:tcPr>
          <w:p w:rsidR="00E73313" w:rsidRPr="00571807" w:rsidRDefault="00E73313" w:rsidP="00E328C3">
            <w:pPr>
              <w:spacing w:before="60" w:after="60"/>
              <w:ind w:left="158" w:right="346"/>
              <w:rPr>
                <w:lang w:val="de-DE"/>
              </w:rPr>
            </w:pPr>
            <w:r w:rsidRPr="00571807">
              <w:rPr>
                <w:rFonts w:eastAsia="Calibri" w:cs="Tahoma"/>
                <w:iCs/>
                <w:color w:val="000000"/>
                <w:lang w:val="de-DE"/>
              </w:rPr>
              <w:t>EHA-Nutzer-AL (in Verbindung mit einer lokalen Exchange-CAL genutzt)</w:t>
            </w:r>
          </w:p>
          <w:p w:rsidR="00E73313" w:rsidRPr="00571807" w:rsidRDefault="00E73313" w:rsidP="00E328C3">
            <w:pPr>
              <w:spacing w:before="60" w:after="60"/>
              <w:ind w:left="158" w:right="346"/>
              <w:rPr>
                <w:lang w:val="de-DE"/>
              </w:rPr>
            </w:pPr>
            <w:r w:rsidRPr="00571807">
              <w:rPr>
                <w:rFonts w:eastAsia="Calibri" w:cs="Tahoma"/>
                <w:iCs/>
                <w:color w:val="000000"/>
                <w:lang w:val="de-DE"/>
              </w:rPr>
              <w:t>EHA-Nutzer-AL (in Verbindung mit Nutzer-ALs für Exchange Online Standard, Exchange Online Plan</w:t>
            </w:r>
          </w:p>
          <w:p w:rsidR="00E73313" w:rsidRPr="00571807" w:rsidRDefault="00E73313" w:rsidP="00E328C3">
            <w:pPr>
              <w:spacing w:before="60" w:after="60"/>
              <w:ind w:left="158" w:right="346"/>
              <w:rPr>
                <w:rFonts w:eastAsia="Calibri" w:cs="Tahoma"/>
                <w:iCs/>
                <w:color w:val="000000"/>
                <w:lang w:val="de-DE"/>
              </w:rPr>
            </w:pPr>
            <w:r w:rsidRPr="00571807">
              <w:rPr>
                <w:rFonts w:eastAsia="Calibri" w:cs="Tahoma"/>
                <w:iCs/>
                <w:color w:val="000000"/>
                <w:lang w:val="de-DE"/>
              </w:rPr>
              <w:t>2, BPOS Standard, Office 365 E1, BPOS Deskless, Exchange Online Deskless oder Exchange Online Kiosk genutzt)</w:t>
            </w:r>
          </w:p>
        </w:tc>
        <w:tc>
          <w:tcPr>
            <w:tcW w:w="4275" w:type="dxa"/>
            <w:shd w:val="clear" w:color="auto" w:fill="auto"/>
          </w:tcPr>
          <w:p w:rsidR="00E73313" w:rsidRPr="00571807" w:rsidRDefault="00E73313" w:rsidP="00E328C3">
            <w:pPr>
              <w:numPr>
                <w:ilvl w:val="0"/>
                <w:numId w:val="46"/>
              </w:numPr>
              <w:spacing w:before="60" w:after="60"/>
              <w:ind w:right="342"/>
              <w:rPr>
                <w:rFonts w:eastAsia="Calibri" w:cs="Tahoma"/>
                <w:iCs/>
                <w:color w:val="000000"/>
                <w:lang w:val="de-DE"/>
              </w:rPr>
            </w:pPr>
            <w:r w:rsidRPr="00571807">
              <w:rPr>
                <w:rFonts w:eastAsia="Calibri" w:cs="Tahoma"/>
                <w:iCs/>
                <w:color w:val="000000"/>
                <w:lang w:val="de-DE"/>
              </w:rPr>
              <w:t>Nutzer-AL für Exchange Online Plan 2</w:t>
            </w:r>
          </w:p>
        </w:tc>
      </w:tr>
    </w:tbl>
    <w:p w:rsidR="00E73313" w:rsidRDefault="00E73313" w:rsidP="00E73313">
      <w:pPr>
        <w:rPr>
          <w:lang w:val="de-DE"/>
        </w:rPr>
      </w:pPr>
    </w:p>
    <w:p w:rsidR="00E73313" w:rsidRPr="00571807" w:rsidRDefault="00E73313" w:rsidP="00963942">
      <w:pPr>
        <w:spacing w:after="60"/>
        <w:ind w:left="720"/>
        <w:rPr>
          <w:lang w:val="de-DE"/>
        </w:rPr>
      </w:pPr>
      <w:r w:rsidRPr="00571807">
        <w:rPr>
          <w:b/>
          <w:color w:val="000000"/>
          <w:lang w:val="de-DE"/>
        </w:rPr>
        <w:t>Kontinuierliche Verwendung von Exchange Hosted Archive (EHA) mit aktiven Abonnements für</w:t>
      </w:r>
      <w:r w:rsidR="00963942">
        <w:rPr>
          <w:b/>
          <w:color w:val="000000"/>
          <w:lang w:val="de-DE"/>
        </w:rPr>
        <w:t> </w:t>
      </w:r>
      <w:r w:rsidRPr="00571807">
        <w:rPr>
          <w:b/>
          <w:color w:val="000000"/>
          <w:lang w:val="de-DE"/>
        </w:rPr>
        <w:t>Business Productivity Online Subscription (BPOS) und Exchange Online Standard</w:t>
      </w:r>
    </w:p>
    <w:p w:rsidR="00E73313" w:rsidRPr="00571807" w:rsidRDefault="00E73313" w:rsidP="00963942">
      <w:pPr>
        <w:ind w:left="720"/>
        <w:rPr>
          <w:lang w:val="de-DE"/>
        </w:rPr>
      </w:pPr>
      <w:r w:rsidRPr="00571807">
        <w:rPr>
          <w:iCs/>
          <w:color w:val="000000"/>
          <w:lang w:val="de-DE"/>
        </w:rPr>
        <w:t>Kunden mit ablaufenden EHA-Abonnements, die noch nicht auf Office 365 migriert wurden und derzeit auf BPOS oder Exchange Online Standard bereitgestellt sind, sind berechtigt, EHA nach Ablauf ihres EHA-Abonnements und bis (i) zu ihrer Migration auf Office 365 oder (ii) zum Ablauf ihres Abonnements für BPOS</w:t>
      </w:r>
      <w:r w:rsidR="00963942">
        <w:rPr>
          <w:iCs/>
          <w:color w:val="000000"/>
          <w:lang w:val="de-DE"/>
        </w:rPr>
        <w:t> </w:t>
      </w:r>
      <w:r w:rsidRPr="00571807">
        <w:rPr>
          <w:iCs/>
          <w:color w:val="000000"/>
          <w:lang w:val="de-DE"/>
        </w:rPr>
        <w:t>oder Exchange Online Standard zu verwenden, wobei das frühere Datum maßgeblich ist</w:t>
      </w:r>
      <w:r w:rsidR="006257A7">
        <w:rPr>
          <w:iCs/>
          <w:color w:val="000000"/>
          <w:lang w:val="de-DE"/>
        </w:rPr>
        <w:t xml:space="preserve">. </w:t>
      </w:r>
      <w:r w:rsidRPr="00571807">
        <w:rPr>
          <w:iCs/>
          <w:color w:val="000000"/>
          <w:lang w:val="de-DE"/>
        </w:rPr>
        <w:t>Die</w:t>
      </w:r>
      <w:r w:rsidR="00963942">
        <w:rPr>
          <w:iCs/>
          <w:color w:val="000000"/>
          <w:lang w:val="de-DE"/>
        </w:rPr>
        <w:t> </w:t>
      </w:r>
      <w:r w:rsidRPr="00571807">
        <w:rPr>
          <w:iCs/>
          <w:color w:val="000000"/>
          <w:lang w:val="de-DE"/>
        </w:rPr>
        <w:t>Verwendung von EHA im Rahmen dieses Angebots durch Kunden unterliegt den Bestimmungen ihres</w:t>
      </w:r>
      <w:r w:rsidR="00963942">
        <w:rPr>
          <w:iCs/>
          <w:color w:val="000000"/>
          <w:lang w:val="de-DE"/>
        </w:rPr>
        <w:t> </w:t>
      </w:r>
      <w:r w:rsidRPr="00571807">
        <w:rPr>
          <w:iCs/>
          <w:color w:val="000000"/>
          <w:lang w:val="de-DE"/>
        </w:rPr>
        <w:t>Volumenlizenzvertrages und den EHA-Lizenzbestimmungen in den Produktbenutzungsrechten für Januar 2011</w:t>
      </w:r>
      <w:r w:rsidR="006257A7">
        <w:rPr>
          <w:iCs/>
          <w:color w:val="000000"/>
          <w:lang w:val="de-DE"/>
        </w:rPr>
        <w:t xml:space="preserve">. </w:t>
      </w:r>
      <w:r w:rsidRPr="00571807">
        <w:rPr>
          <w:iCs/>
          <w:color w:val="000000"/>
          <w:lang w:val="de-DE"/>
        </w:rPr>
        <w:t>Kunden verfügen über eine zeitlich beschränkte EHA-Nutzer- oder -Geräte-Abonnementlizenz für jede ihrer ablaufenden EHA-Nutzer- oder -Geräte-Abonnementlizenzen</w:t>
      </w:r>
      <w:r w:rsidR="006257A7">
        <w:rPr>
          <w:iCs/>
          <w:color w:val="000000"/>
          <w:lang w:val="de-DE"/>
        </w:rPr>
        <w:t xml:space="preserve">. </w:t>
      </w:r>
      <w:r w:rsidRPr="00571807">
        <w:rPr>
          <w:iCs/>
          <w:color w:val="000000"/>
          <w:lang w:val="de-DE"/>
        </w:rPr>
        <w:t>Diese zeitlich beschränkten EHA-Nutzer- und -Geräte-Abonnementlizenzen dürfen nur Nutzern und Geräten zugewiesen werden, denen BPOS- oder Exchange Online Standard-Lizenzen zugewiesen wurden</w:t>
      </w:r>
      <w:r w:rsidR="006257A7">
        <w:rPr>
          <w:iCs/>
          <w:color w:val="000000"/>
          <w:lang w:val="de-DE"/>
        </w:rPr>
        <w:t xml:space="preserve">. </w:t>
      </w:r>
      <w:r w:rsidRPr="00571807">
        <w:rPr>
          <w:iCs/>
          <w:color w:val="000000"/>
          <w:lang w:val="de-DE"/>
        </w:rPr>
        <w:t>EHA wird wie besehen und ohne Gewährleistung jeglicher Art lizenziert</w:t>
      </w:r>
      <w:r w:rsidR="006257A7">
        <w:rPr>
          <w:iCs/>
          <w:color w:val="000000"/>
          <w:lang w:val="de-DE"/>
        </w:rPr>
        <w:t xml:space="preserve">. </w:t>
      </w:r>
    </w:p>
    <w:p w:rsidR="00E73313" w:rsidRPr="00571807" w:rsidRDefault="00E73313" w:rsidP="00E73313">
      <w:pPr>
        <w:ind w:left="720"/>
        <w:rPr>
          <w:lang w:val="de-DE"/>
        </w:rPr>
      </w:pPr>
    </w:p>
    <w:p w:rsidR="00E73313" w:rsidRPr="00945FA5" w:rsidRDefault="00E73313" w:rsidP="00E73313">
      <w:pPr>
        <w:pStyle w:val="Heading2"/>
        <w:rPr>
          <w:rFonts w:ascii="Tahoma" w:hAnsi="Tahoma" w:cs="Tahoma"/>
          <w:sz w:val="18"/>
          <w:szCs w:val="18"/>
          <w:lang w:val="de-DE"/>
        </w:rPr>
      </w:pPr>
    </w:p>
    <w:p w:rsidR="00E73313" w:rsidRPr="00571807" w:rsidRDefault="00E73313" w:rsidP="00963942">
      <w:pPr>
        <w:pStyle w:val="Heading2"/>
        <w:ind w:left="0"/>
        <w:rPr>
          <w:lang w:val="de-DE"/>
        </w:rPr>
      </w:pPr>
      <w:bookmarkStart w:id="1252" w:name="_46_Exchange_Hosted"/>
      <w:bookmarkStart w:id="1253" w:name="_52_Exchange_Hosted"/>
      <w:bookmarkStart w:id="1254" w:name="_53_Exchange_Hosted"/>
      <w:bookmarkStart w:id="1255" w:name="_Toc336338307"/>
      <w:bookmarkStart w:id="1256" w:name="_Toc363999050"/>
      <w:bookmarkStart w:id="1257" w:name="Srv_39ExchangeOnDeskWork"/>
      <w:bookmarkEnd w:id="1252"/>
      <w:bookmarkEnd w:id="1253"/>
      <w:bookmarkEnd w:id="1254"/>
      <w:r w:rsidRPr="00571807">
        <w:rPr>
          <w:rFonts w:ascii="Tahoma" w:hAnsi="Tahoma" w:cs="Tahoma"/>
          <w:color w:val="E25B00"/>
          <w:sz w:val="22"/>
          <w:szCs w:val="22"/>
          <w:vertAlign w:val="superscript"/>
          <w:lang w:val="de-DE"/>
        </w:rPr>
        <w:t>53</w:t>
      </w:r>
      <w:r w:rsidR="00963942" w:rsidRPr="00571807">
        <w:rPr>
          <w:rFonts w:ascii="Tahoma" w:hAnsi="Tahoma"/>
          <w:color w:val="F66400"/>
          <w:sz w:val="22"/>
          <w:lang w:val="de-DE"/>
        </w:rPr>
        <w:t xml:space="preserve"> </w:t>
      </w:r>
      <w:r w:rsidRPr="00571807">
        <w:rPr>
          <w:rFonts w:ascii="Tahoma" w:hAnsi="Tahoma" w:cs="Tahoma"/>
          <w:color w:val="F66400"/>
          <w:sz w:val="22"/>
          <w:szCs w:val="22"/>
          <w:lang w:val="de-DE"/>
        </w:rPr>
        <w:t>Exchange Hosted Encryption (Nutzer-AL)</w:t>
      </w:r>
      <w:bookmarkEnd w:id="1255"/>
      <w:bookmarkEnd w:id="1256"/>
    </w:p>
    <w:p w:rsidR="00E73313" w:rsidRPr="00571807" w:rsidRDefault="00E73313" w:rsidP="00E73313">
      <w:pPr>
        <w:ind w:left="900"/>
        <w:rPr>
          <w:lang w:val="de-DE"/>
        </w:rPr>
      </w:pPr>
    </w:p>
    <w:p w:rsidR="00E73313" w:rsidRPr="00571807" w:rsidRDefault="00E73313" w:rsidP="00E73313">
      <w:pPr>
        <w:ind w:left="720"/>
        <w:rPr>
          <w:lang w:val="de-DE"/>
        </w:rPr>
      </w:pPr>
      <w:r w:rsidRPr="00571807">
        <w:rPr>
          <w:lang w:val="de-DE"/>
        </w:rPr>
        <w:t>Kunden verwenden für weitere Bestellungen denselben aktiven Select-Vertrag, Konzernvertrag oder Open Value-Vertrag wie bei der Anfangsbestellung</w:t>
      </w:r>
      <w:r w:rsidR="006257A7">
        <w:rPr>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r w:rsidRPr="00571807">
        <w:rPr>
          <w:lang w:val="de-DE"/>
        </w:rPr>
        <w:t xml:space="preserve">Preise und Zahlungsbestimmungen für Onlinedienste finden Sie in </w:t>
      </w:r>
      <w:hyperlink w:anchor="_Section_10_–" w:history="1">
        <w:r w:rsidRPr="00571807">
          <w:rPr>
            <w:rStyle w:val="Hyperlink"/>
            <w:lang w:val="de-DE"/>
          </w:rPr>
          <w:t>Abschnitt 10</w:t>
        </w:r>
      </w:hyperlink>
      <w:r w:rsidR="006257A7">
        <w:rPr>
          <w:lang w:val="de-DE"/>
        </w:rPr>
        <w:t xml:space="preserve">. </w:t>
      </w:r>
    </w:p>
    <w:p w:rsidR="00E73313" w:rsidRPr="00571807" w:rsidRDefault="00E73313" w:rsidP="00E73313">
      <w:pPr>
        <w:ind w:left="900"/>
        <w:rPr>
          <w:lang w:val="de-DE"/>
        </w:rPr>
      </w:pPr>
    </w:p>
    <w:p w:rsidR="00E73313" w:rsidRPr="00571807" w:rsidRDefault="00E73313" w:rsidP="00E73313">
      <w:pPr>
        <w:ind w:left="900"/>
        <w:rPr>
          <w:lang w:val="de-DE"/>
        </w:rPr>
      </w:pPr>
    </w:p>
    <w:p w:rsidR="00E73313" w:rsidRPr="00571807" w:rsidRDefault="00E73313" w:rsidP="00E73313">
      <w:pPr>
        <w:pStyle w:val="Heading3"/>
        <w:rPr>
          <w:lang w:val="de-DE"/>
        </w:rPr>
      </w:pPr>
      <w:bookmarkStart w:id="1258" w:name="_50_Exchange_Online"/>
      <w:bookmarkStart w:id="1259" w:name="_53_Exchange_Online"/>
      <w:bookmarkStart w:id="1260" w:name="_Toc336338308"/>
      <w:bookmarkStart w:id="1261" w:name="_Toc363999051"/>
      <w:bookmarkStart w:id="1262" w:name="Srv_40ExchangeOnDeskWork"/>
      <w:bookmarkStart w:id="1263" w:name="Srv_45ExchangeOnDeskWork"/>
      <w:bookmarkEnd w:id="1258"/>
      <w:bookmarkEnd w:id="1259"/>
      <w:r w:rsidRPr="00571807">
        <w:rPr>
          <w:rFonts w:ascii="Tahoma" w:hAnsi="Tahoma"/>
          <w:caps/>
          <w:color w:val="F66400"/>
          <w:sz w:val="22"/>
          <w:vertAlign w:val="superscript"/>
          <w:lang w:val="de-DE"/>
        </w:rPr>
        <w:t>54</w:t>
      </w:r>
      <w:r w:rsidRPr="00571807">
        <w:rPr>
          <w:rFonts w:ascii="Tahoma" w:hAnsi="Tahoma"/>
          <w:color w:val="F66400"/>
          <w:sz w:val="22"/>
          <w:lang w:val="de-DE"/>
        </w:rPr>
        <w:t xml:space="preserve"> Exchange Online Kiosk (Nutzer-AL)</w:t>
      </w:r>
      <w:bookmarkEnd w:id="1260"/>
      <w:bookmarkEnd w:id="1261"/>
    </w:p>
    <w:bookmarkEnd w:id="1257"/>
    <w:bookmarkEnd w:id="1262"/>
    <w:bookmarkEnd w:id="1263"/>
    <w:p w:rsidR="00E73313" w:rsidRPr="00571807" w:rsidRDefault="00E73313" w:rsidP="00E73313">
      <w:pPr>
        <w:pStyle w:val="EndnoteText"/>
        <w:rPr>
          <w:lang w:val="de-DE"/>
        </w:rPr>
      </w:pPr>
    </w:p>
    <w:p w:rsidR="00E73313" w:rsidRPr="00571807" w:rsidRDefault="00E73313" w:rsidP="00E73313">
      <w:pPr>
        <w:ind w:left="720"/>
        <w:rPr>
          <w:lang w:val="de-DE"/>
        </w:rPr>
      </w:pPr>
      <w:r w:rsidRPr="00571807">
        <w:rPr>
          <w:rFonts w:cs="Tahoma"/>
          <w:color w:val="000000"/>
          <w:szCs w:val="18"/>
          <w:lang w:val="de-DE"/>
        </w:rPr>
        <w:t>Ungeachtet gegenteiliger Bestimmungen in den Lizenzverträgen von Kunden umfassen qualifizierte Nutzer keine Nutzer mit Lizenzen für Exchange Online Kiosk</w:t>
      </w:r>
      <w:r w:rsidR="006257A7">
        <w:rPr>
          <w:rFonts w:cs="Tahoma"/>
          <w:color w:val="000000"/>
          <w:szCs w:val="18"/>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cs="Tahoma"/>
          <w:color w:val="000000"/>
          <w:szCs w:val="18"/>
          <w:lang w:val="de-DE"/>
        </w:rPr>
        <w:t>Exchange Online Kiosk hieß zuvor Exchange Online Deskless Worker</w:t>
      </w:r>
      <w:r w:rsidR="006257A7">
        <w:rPr>
          <w:rFonts w:cs="Tahoma"/>
          <w:color w:val="000000"/>
          <w:szCs w:val="18"/>
          <w:lang w:val="de-DE"/>
        </w:rPr>
        <w:t xml:space="preserve">. </w:t>
      </w:r>
    </w:p>
    <w:p w:rsidR="00E73313" w:rsidRPr="00571807" w:rsidRDefault="00E73313" w:rsidP="00E73313">
      <w:pPr>
        <w:ind w:left="720"/>
        <w:rPr>
          <w:lang w:val="de-DE"/>
        </w:rPr>
      </w:pPr>
    </w:p>
    <w:p w:rsidR="00E73313" w:rsidRPr="0062435A" w:rsidRDefault="00E73313" w:rsidP="00E73313">
      <w:pPr>
        <w:spacing w:after="60"/>
        <w:ind w:left="720"/>
      </w:pPr>
      <w:r>
        <w:rPr>
          <w:rFonts w:eastAsia="Calibri" w:cs="Tahoma"/>
          <w:b/>
          <w:color w:val="000000"/>
          <w:szCs w:val="18"/>
        </w:rPr>
        <w:t>Government Community Cloud (nur USA)</w:t>
      </w:r>
    </w:p>
    <w:p w:rsidR="00E73313" w:rsidRPr="00571807" w:rsidRDefault="00E73313" w:rsidP="00963942">
      <w:pPr>
        <w:ind w:left="720"/>
        <w:rPr>
          <w:lang w:val="de-DE"/>
        </w:rPr>
      </w:pPr>
      <w:r>
        <w:rPr>
          <w:rFonts w:eastAsia="Calibri" w:cs="Tahoma"/>
          <w:color w:val="000000"/>
          <w:szCs w:val="18"/>
        </w:rPr>
        <w:t>Einige Onlinedienste in der Office 365-Produktfamilie (darunter Exchange Online Kiosk) werden als Government Community Cloud-Dienste und Non-Government Community Cloud-Dienste angeboten</w:t>
      </w:r>
      <w:r w:rsidR="006257A7">
        <w:rPr>
          <w:rFonts w:eastAsia="Calibri" w:cs="Tahoma"/>
          <w:color w:val="000000"/>
          <w:szCs w:val="18"/>
        </w:rPr>
        <w:t xml:space="preserve">. </w:t>
      </w:r>
      <w:r w:rsidRPr="00571807">
        <w:rPr>
          <w:rFonts w:eastAsia="Calibri" w:cs="Tahoma"/>
          <w:color w:val="000000"/>
          <w:szCs w:val="18"/>
          <w:lang w:val="de-DE"/>
        </w:rPr>
        <w:t>Die</w:t>
      </w:r>
      <w:r w:rsidR="00963942">
        <w:rPr>
          <w:rFonts w:eastAsia="Calibri" w:cs="Tahoma"/>
          <w:color w:val="000000"/>
          <w:szCs w:val="18"/>
          <w:lang w:val="de-DE"/>
        </w:rPr>
        <w:t> </w:t>
      </w:r>
      <w:r w:rsidRPr="00571807">
        <w:rPr>
          <w:rFonts w:eastAsia="Calibri" w:cs="Tahoma"/>
          <w:color w:val="000000"/>
          <w:szCs w:val="18"/>
          <w:lang w:val="de-DE"/>
        </w:rPr>
        <w:t>Bereitstellung an Kunden kann in der einen oder anderen Form erfolgen, jedoch nicht als Kombination aus beidem</w:t>
      </w:r>
      <w:r w:rsidR="006257A7">
        <w:rPr>
          <w:rFonts w:eastAsia="Calibri" w:cs="Tahoma"/>
          <w:color w:val="000000"/>
          <w:szCs w:val="18"/>
          <w:lang w:val="de-DE"/>
        </w:rPr>
        <w:t xml:space="preserve">. </w:t>
      </w:r>
      <w:r w:rsidRPr="00571807">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6257A7">
        <w:rPr>
          <w:rFonts w:eastAsia="Calibri" w:cs="Tahoma"/>
          <w:color w:val="000000"/>
          <w:szCs w:val="18"/>
          <w:lang w:val="de-DE"/>
        </w:rPr>
        <w:t xml:space="preserve">. </w:t>
      </w:r>
      <w:r w:rsidRPr="00571807">
        <w:rPr>
          <w:rFonts w:eastAsia="Calibri" w:cs="Tahoma"/>
          <w:color w:val="000000"/>
          <w:szCs w:val="18"/>
          <w:lang w:val="de-DE"/>
        </w:rPr>
        <w:t>Diese</w:t>
      </w:r>
      <w:r w:rsidR="00963942">
        <w:rPr>
          <w:rFonts w:eastAsia="Calibri" w:cs="Tahoma"/>
          <w:color w:val="000000"/>
          <w:szCs w:val="18"/>
          <w:lang w:val="de-DE"/>
        </w:rPr>
        <w:t> </w:t>
      </w:r>
      <w:r w:rsidRPr="00571807">
        <w:rPr>
          <w:rFonts w:eastAsia="Calibri" w:cs="Tahoma"/>
          <w:color w:val="000000"/>
          <w:szCs w:val="18"/>
          <w:lang w:val="de-DE"/>
        </w:rPr>
        <w:t>Beschränkung gilt für alle Onlinedienste, die zur Office 365-Produktfamilie gehören, darunter Exchange Online, SharePoint Online und Lync Online</w:t>
      </w:r>
      <w:r w:rsidR="006257A7">
        <w:rPr>
          <w:rFonts w:eastAsia="Calibri" w:cs="Tahoma"/>
          <w:color w:val="000000"/>
          <w:szCs w:val="18"/>
          <w:lang w:val="de-DE"/>
        </w:rPr>
        <w:t xml:space="preserve">. </w:t>
      </w:r>
    </w:p>
    <w:p w:rsidR="00E73313" w:rsidRPr="00571807" w:rsidRDefault="00E73313" w:rsidP="00E73313">
      <w:pPr>
        <w:ind w:left="720"/>
        <w:rPr>
          <w:lang w:val="de-DE"/>
        </w:rPr>
      </w:pPr>
    </w:p>
    <w:p w:rsidR="00E73313" w:rsidRPr="00571807" w:rsidRDefault="00E73313" w:rsidP="00963942">
      <w:pPr>
        <w:ind w:left="720"/>
        <w:rPr>
          <w:lang w:val="de-DE"/>
        </w:rPr>
      </w:pPr>
      <w:r w:rsidRPr="00571807">
        <w:rPr>
          <w:rFonts w:eastAsia="Calibri" w:cs="Tahoma"/>
          <w:color w:val="000000"/>
          <w:szCs w:val="18"/>
          <w:lang w:val="de-DE"/>
        </w:rPr>
        <w:t>Wenn ein Onlinedienst in der Government Community Cloud bereitgestellt wird, bleibt er für die Dauer der</w:t>
      </w:r>
      <w:r w:rsidR="00963942">
        <w:rPr>
          <w:rFonts w:eastAsia="Calibri" w:cs="Tahoma"/>
          <w:color w:val="000000"/>
          <w:szCs w:val="18"/>
          <w:lang w:val="de-DE"/>
        </w:rPr>
        <w:t> </w:t>
      </w:r>
      <w:r w:rsidRPr="00571807">
        <w:rPr>
          <w:rFonts w:eastAsia="Calibri" w:cs="Tahoma"/>
          <w:color w:val="000000"/>
          <w:szCs w:val="18"/>
          <w:lang w:val="de-DE"/>
        </w:rPr>
        <w:t>Abonnementlaufzeit dort</w:t>
      </w:r>
      <w:r w:rsidR="006257A7">
        <w:rPr>
          <w:rFonts w:eastAsia="Calibri" w:cs="Tahoma"/>
          <w:color w:val="000000"/>
          <w:szCs w:val="18"/>
          <w:lang w:val="de-DE"/>
        </w:rPr>
        <w:t xml:space="preserve">. </w:t>
      </w:r>
      <w:r w:rsidRPr="00571807">
        <w:rPr>
          <w:rFonts w:eastAsia="Calibri" w:cs="Tahoma"/>
          <w:color w:val="000000"/>
          <w:szCs w:val="18"/>
          <w:lang w:val="de-DE"/>
        </w:rPr>
        <w:t>Kunden, bei denen es sich um US-amerikanische Verwaltungseinrichtungen auf nationaler, einzelstaatlicher, kommunaler oder Stammesebene handelt, müssen Vertragspartei eines</w:t>
      </w:r>
      <w:r w:rsidR="00963942">
        <w:rPr>
          <w:rFonts w:eastAsia="Calibri" w:cs="Tahoma"/>
          <w:color w:val="000000"/>
          <w:szCs w:val="18"/>
          <w:lang w:val="de-DE"/>
        </w:rPr>
        <w:t> </w:t>
      </w:r>
      <w:r w:rsidRPr="00571807">
        <w:rPr>
          <w:rFonts w:eastAsia="Calibri" w:cs="Tahoma"/>
          <w:color w:val="000000"/>
          <w:szCs w:val="18"/>
          <w:lang w:val="de-DE"/>
        </w:rPr>
        <w:t>Konzernbeitritts oder Konzern-Abonnement-Beitritts für US-Behörden sein, um zum Erwerb von</w:t>
      </w:r>
      <w:r w:rsidR="00963942">
        <w:rPr>
          <w:rFonts w:eastAsia="Calibri" w:cs="Tahoma"/>
          <w:color w:val="000000"/>
          <w:szCs w:val="18"/>
          <w:lang w:val="de-DE"/>
        </w:rPr>
        <w:t> </w:t>
      </w:r>
      <w:r w:rsidRPr="00571807">
        <w:rPr>
          <w:rFonts w:eastAsia="Calibri" w:cs="Tahoma"/>
          <w:color w:val="000000"/>
          <w:szCs w:val="18"/>
          <w:lang w:val="de-DE"/>
        </w:rPr>
        <w:t>Onlinediensten, die als Government Community Cloud bezeichnet werden, berechtigt zu sein</w:t>
      </w:r>
      <w:r w:rsidR="006257A7">
        <w:rPr>
          <w:rFonts w:eastAsia="Calibri" w:cs="Tahoma"/>
          <w:color w:val="000000"/>
          <w:szCs w:val="18"/>
          <w:lang w:val="de-DE"/>
        </w:rPr>
        <w:t xml:space="preserve">. </w:t>
      </w:r>
      <w:r w:rsidRPr="00571807">
        <w:rPr>
          <w:rFonts w:eastAsia="Calibri" w:cs="Tahoma"/>
          <w:color w:val="000000"/>
          <w:szCs w:val="18"/>
          <w:lang w:val="de-DE"/>
        </w:rPr>
        <w:t>Die</w:t>
      </w:r>
      <w:r w:rsidR="00963942">
        <w:rPr>
          <w:rFonts w:eastAsia="Calibri" w:cs="Tahoma"/>
          <w:color w:val="000000"/>
          <w:szCs w:val="18"/>
          <w:lang w:val="de-DE"/>
        </w:rPr>
        <w:t> </w:t>
      </w:r>
      <w:r w:rsidRPr="00571807">
        <w:rPr>
          <w:rFonts w:eastAsia="Calibri" w:cs="Tahoma"/>
          <w:color w:val="000000"/>
          <w:szCs w:val="18"/>
          <w:lang w:val="de-DE"/>
        </w:rPr>
        <w:t>Nutzungsrechte für Government Community Cloud-Dienste entsprechen den Nutzungsrechten ihrer</w:t>
      </w:r>
      <w:r w:rsidR="00963942">
        <w:rPr>
          <w:rFonts w:eastAsia="Calibri" w:cs="Tahoma"/>
          <w:color w:val="000000"/>
          <w:szCs w:val="18"/>
          <w:lang w:val="de-DE"/>
        </w:rPr>
        <w:t> </w:t>
      </w:r>
      <w:r w:rsidRPr="00571807">
        <w:rPr>
          <w:rFonts w:eastAsia="Calibri" w:cs="Tahoma"/>
          <w:color w:val="000000"/>
          <w:szCs w:val="18"/>
          <w:lang w:val="de-DE"/>
        </w:rPr>
        <w:t>mehrinstanzenfähigen Standardäquivalente</w:t>
      </w:r>
      <w:r w:rsidR="006257A7">
        <w:rPr>
          <w:rFonts w:eastAsia="Calibri" w:cs="Tahoma"/>
          <w:color w:val="000000"/>
          <w:szCs w:val="18"/>
          <w:lang w:val="de-DE"/>
        </w:rPr>
        <w:t xml:space="preserve">. </w:t>
      </w:r>
    </w:p>
    <w:p w:rsidR="00E73313" w:rsidRPr="00945FA5" w:rsidRDefault="00E73313" w:rsidP="00E73313">
      <w:pPr>
        <w:pStyle w:val="Heading2"/>
        <w:rPr>
          <w:rFonts w:ascii="Tahoma" w:hAnsi="Tahoma" w:cs="Tahoma"/>
          <w:b w:val="0"/>
          <w:bCs/>
          <w:sz w:val="18"/>
          <w:szCs w:val="18"/>
          <w:lang w:val="de-DE"/>
        </w:rPr>
      </w:pPr>
      <w:bookmarkStart w:id="1264" w:name="Srv_41ExchangeSvr07EntCAL"/>
    </w:p>
    <w:p w:rsidR="00E73313" w:rsidRPr="00571807" w:rsidRDefault="00E73313" w:rsidP="00E73313">
      <w:pPr>
        <w:ind w:left="720"/>
        <w:rPr>
          <w:lang w:val="de-DE"/>
        </w:rPr>
      </w:pPr>
    </w:p>
    <w:p w:rsidR="00E73313" w:rsidRPr="00571807" w:rsidRDefault="00E73313" w:rsidP="00E73313">
      <w:pPr>
        <w:pStyle w:val="Heading3"/>
        <w:rPr>
          <w:lang w:val="de-DE"/>
        </w:rPr>
      </w:pPr>
      <w:bookmarkStart w:id="1265" w:name="_48_Exchange_Online"/>
      <w:bookmarkStart w:id="1266" w:name="_54_Exchange_Online"/>
      <w:bookmarkStart w:id="1267" w:name="_Toc336338309"/>
      <w:bookmarkStart w:id="1268" w:name="_Toc363999052"/>
      <w:bookmarkStart w:id="1269" w:name="Srv_46ExhangeOnlinePlan1"/>
      <w:bookmarkStart w:id="1270" w:name="Srv_42ExchangeSvr2010EntCAL"/>
      <w:bookmarkStart w:id="1271" w:name="Srv_47ExchangeSvr2010EntCAL"/>
      <w:bookmarkEnd w:id="1265"/>
      <w:bookmarkEnd w:id="1266"/>
      <w:r w:rsidRPr="00571807">
        <w:rPr>
          <w:rFonts w:ascii="Tahoma" w:hAnsi="Tahoma" w:cs="Tahoma"/>
          <w:caps/>
          <w:color w:val="F66400"/>
          <w:sz w:val="22"/>
          <w:szCs w:val="22"/>
          <w:vertAlign w:val="superscript"/>
          <w:lang w:val="de-DE"/>
        </w:rPr>
        <w:t>55</w:t>
      </w:r>
      <w:r w:rsidR="00963942" w:rsidRPr="00963942">
        <w:rPr>
          <w:rFonts w:ascii="Tahoma" w:hAnsi="Tahoma" w:cs="Tahoma"/>
          <w:caps/>
          <w:color w:val="F66400"/>
          <w:sz w:val="22"/>
          <w:szCs w:val="22"/>
          <w:lang w:val="de-DE"/>
        </w:rPr>
        <w:t xml:space="preserve"> </w:t>
      </w:r>
      <w:r w:rsidRPr="00571807">
        <w:rPr>
          <w:rFonts w:ascii="Tahoma" w:hAnsi="Tahoma" w:cs="Tahoma"/>
          <w:color w:val="F66400"/>
          <w:sz w:val="22"/>
          <w:szCs w:val="22"/>
          <w:lang w:val="de-DE"/>
        </w:rPr>
        <w:t>Exchange Online Plan 1</w:t>
      </w:r>
      <w:bookmarkEnd w:id="1267"/>
      <w:bookmarkEnd w:id="1268"/>
    </w:p>
    <w:bookmarkEnd w:id="1269"/>
    <w:p w:rsidR="00E73313" w:rsidRPr="00571807" w:rsidRDefault="00E73313" w:rsidP="00E73313">
      <w:pPr>
        <w:outlineLvl w:val="2"/>
        <w:rPr>
          <w:lang w:val="de-DE"/>
        </w:rPr>
      </w:pPr>
    </w:p>
    <w:p w:rsidR="00E73313" w:rsidRPr="00571807" w:rsidRDefault="00E73313" w:rsidP="00E73313">
      <w:pPr>
        <w:ind w:left="720"/>
        <w:contextualSpacing/>
        <w:rPr>
          <w:lang w:val="de-DE"/>
        </w:rPr>
      </w:pPr>
      <w:r w:rsidRPr="00571807">
        <w:rPr>
          <w:rFonts w:cs="Tahoma"/>
          <w:szCs w:val="20"/>
          <w:lang w:val="de-DE"/>
        </w:rPr>
        <w:t>Exchange Online Plan 1 hieß zuvor Exchange Online Standard</w:t>
      </w:r>
      <w:r w:rsidR="006257A7">
        <w:rPr>
          <w:rFonts w:cs="Tahoma"/>
          <w:szCs w:val="20"/>
          <w:lang w:val="de-DE"/>
        </w:rPr>
        <w:t xml:space="preserve">. </w:t>
      </w:r>
    </w:p>
    <w:p w:rsidR="00E73313" w:rsidRPr="00571807" w:rsidRDefault="00E73313" w:rsidP="00E73313">
      <w:pPr>
        <w:ind w:left="720"/>
        <w:contextualSpacing/>
        <w:rPr>
          <w:lang w:val="de-DE"/>
        </w:rPr>
      </w:pPr>
    </w:p>
    <w:p w:rsidR="00E73313" w:rsidRPr="00963942" w:rsidRDefault="00E73313" w:rsidP="00E73313">
      <w:pPr>
        <w:ind w:left="720"/>
        <w:rPr>
          <w:rFonts w:cs="Tahoma"/>
          <w:lang w:val="de-DE"/>
        </w:rPr>
      </w:pPr>
      <w:r w:rsidRPr="00963942">
        <w:rPr>
          <w:rFonts w:eastAsia="Calibri" w:cs="Tahoma"/>
          <w:color w:val="000000"/>
          <w:szCs w:val="18"/>
          <w:lang w:val="de-DE"/>
        </w:rPr>
        <w:t>Ungeachtet gegenteiliger Bestimmungen in den Produktbenutzungsre</w:t>
      </w:r>
      <w:r w:rsidR="00963942" w:rsidRPr="00963942">
        <w:rPr>
          <w:rFonts w:eastAsia="Calibri" w:cs="Tahoma"/>
          <w:color w:val="000000"/>
          <w:szCs w:val="18"/>
          <w:lang w:val="de-DE"/>
        </w:rPr>
        <w:t xml:space="preserve">chten ermöglicht eine Nutzer-AL </w:t>
      </w:r>
      <w:r w:rsidRPr="00963942">
        <w:rPr>
          <w:rFonts w:eastAsia="Calibri" w:cs="Tahoma"/>
          <w:color w:val="000000"/>
          <w:szCs w:val="18"/>
          <w:lang w:val="de-DE"/>
        </w:rPr>
        <w:t>für Exchange Online Plan 1, die unter einem Campus- und School-Vertrag erworben wurde, keinen Zugriff auf Exchange Server</w:t>
      </w:r>
      <w:r w:rsidR="006257A7">
        <w:rPr>
          <w:rFonts w:eastAsia="Calibri" w:cs="Tahoma"/>
          <w:color w:val="000000"/>
          <w:szCs w:val="18"/>
          <w:lang w:val="de-DE"/>
        </w:rPr>
        <w:t xml:space="preserve">. </w:t>
      </w:r>
    </w:p>
    <w:p w:rsidR="00E73313" w:rsidRDefault="00E73313" w:rsidP="00E73313">
      <w:pPr>
        <w:ind w:left="720"/>
        <w:rPr>
          <w:lang w:val="de-DE"/>
        </w:rPr>
      </w:pPr>
    </w:p>
    <w:p w:rsidR="00F81961" w:rsidRDefault="00F81961" w:rsidP="00E73313">
      <w:pPr>
        <w:ind w:left="720"/>
        <w:rPr>
          <w:lang w:val="de-DE"/>
        </w:rPr>
      </w:pPr>
    </w:p>
    <w:p w:rsidR="00E73313" w:rsidRPr="0062435A" w:rsidRDefault="00E73313" w:rsidP="00E73313">
      <w:pPr>
        <w:spacing w:after="60"/>
        <w:ind w:left="720"/>
      </w:pPr>
      <w:r>
        <w:rPr>
          <w:rFonts w:eastAsia="Calibri" w:cs="Tahoma"/>
          <w:b/>
          <w:color w:val="000000"/>
          <w:szCs w:val="18"/>
        </w:rPr>
        <w:t>Government Community Cloud (nur USA)</w:t>
      </w:r>
    </w:p>
    <w:p w:rsidR="00E73313" w:rsidRPr="00571807" w:rsidRDefault="00E73313" w:rsidP="00963942">
      <w:pPr>
        <w:ind w:left="720"/>
        <w:rPr>
          <w:lang w:val="de-DE"/>
        </w:rPr>
      </w:pPr>
      <w:r>
        <w:rPr>
          <w:rFonts w:eastAsia="Calibri" w:cs="Tahoma"/>
          <w:color w:val="000000"/>
          <w:szCs w:val="18"/>
        </w:rPr>
        <w:t>Einige Onlinedienste in der Office 365-Produktfamilie (darunter Exchange Online Plan 1) werden als Government Community Cloud-Dienste und Non-Government Community Cloud-Dienste angeboten</w:t>
      </w:r>
      <w:r w:rsidR="006257A7">
        <w:rPr>
          <w:rFonts w:eastAsia="Calibri" w:cs="Tahoma"/>
          <w:color w:val="000000"/>
          <w:szCs w:val="18"/>
        </w:rPr>
        <w:t xml:space="preserve">. </w:t>
      </w:r>
      <w:r w:rsidRPr="00571807">
        <w:rPr>
          <w:rFonts w:eastAsia="Calibri" w:cs="Tahoma"/>
          <w:color w:val="000000"/>
          <w:szCs w:val="18"/>
          <w:lang w:val="de-DE"/>
        </w:rPr>
        <w:t>Die</w:t>
      </w:r>
      <w:r w:rsidR="00963942">
        <w:rPr>
          <w:rFonts w:eastAsia="Calibri" w:cs="Tahoma"/>
          <w:color w:val="000000"/>
          <w:szCs w:val="18"/>
          <w:lang w:val="de-DE"/>
        </w:rPr>
        <w:t> </w:t>
      </w:r>
      <w:r w:rsidRPr="00571807">
        <w:rPr>
          <w:rFonts w:eastAsia="Calibri" w:cs="Tahoma"/>
          <w:color w:val="000000"/>
          <w:szCs w:val="18"/>
          <w:lang w:val="de-DE"/>
        </w:rPr>
        <w:t>Bereitstellung an Kunden kann in der einen oder anderen Form erfolgen, jedoch nicht als Kombination aus beidem</w:t>
      </w:r>
      <w:r w:rsidR="006257A7">
        <w:rPr>
          <w:rFonts w:eastAsia="Calibri" w:cs="Tahoma"/>
          <w:color w:val="000000"/>
          <w:szCs w:val="18"/>
          <w:lang w:val="de-DE"/>
        </w:rPr>
        <w:t xml:space="preserve">. </w:t>
      </w:r>
      <w:r w:rsidRPr="00571807">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6257A7">
        <w:rPr>
          <w:rFonts w:eastAsia="Calibri" w:cs="Tahoma"/>
          <w:color w:val="000000"/>
          <w:szCs w:val="18"/>
          <w:lang w:val="de-DE"/>
        </w:rPr>
        <w:t xml:space="preserve">. </w:t>
      </w:r>
      <w:r w:rsidRPr="00571807">
        <w:rPr>
          <w:rFonts w:eastAsia="Calibri" w:cs="Tahoma"/>
          <w:color w:val="000000"/>
          <w:szCs w:val="18"/>
          <w:lang w:val="de-DE"/>
        </w:rPr>
        <w:t>Diese</w:t>
      </w:r>
      <w:r w:rsidR="00963942">
        <w:rPr>
          <w:rFonts w:eastAsia="Calibri" w:cs="Tahoma"/>
          <w:color w:val="000000"/>
          <w:szCs w:val="18"/>
          <w:lang w:val="de-DE"/>
        </w:rPr>
        <w:t> </w:t>
      </w:r>
      <w:r w:rsidRPr="00571807">
        <w:rPr>
          <w:rFonts w:eastAsia="Calibri" w:cs="Tahoma"/>
          <w:color w:val="000000"/>
          <w:szCs w:val="18"/>
          <w:lang w:val="de-DE"/>
        </w:rPr>
        <w:t>Beschränkung gilt für alle Onlinedienste, die zur Office 365-Produktfamilie gehören, darunter Exchange Online, SharePoint Online und Lync Online</w:t>
      </w:r>
      <w:r w:rsidR="006257A7">
        <w:rPr>
          <w:rFonts w:eastAsia="Calibri" w:cs="Tahoma"/>
          <w:color w:val="000000"/>
          <w:szCs w:val="18"/>
          <w:lang w:val="de-DE"/>
        </w:rPr>
        <w:t xml:space="preserve">. </w:t>
      </w:r>
    </w:p>
    <w:p w:rsidR="00E73313" w:rsidRDefault="00E73313" w:rsidP="00E73313">
      <w:pPr>
        <w:ind w:left="720"/>
        <w:rPr>
          <w:lang w:val="de-DE"/>
        </w:rPr>
      </w:pPr>
    </w:p>
    <w:p w:rsidR="00945FA5" w:rsidRPr="00571807" w:rsidRDefault="00945FA5" w:rsidP="00E73313">
      <w:pPr>
        <w:ind w:left="720"/>
        <w:rPr>
          <w:lang w:val="de-DE"/>
        </w:rPr>
      </w:pPr>
    </w:p>
    <w:p w:rsidR="00E73313" w:rsidRPr="00571807" w:rsidRDefault="00E73313" w:rsidP="00963942">
      <w:pPr>
        <w:ind w:left="720"/>
        <w:rPr>
          <w:lang w:val="de-DE"/>
        </w:rPr>
      </w:pPr>
      <w:r w:rsidRPr="00571807">
        <w:rPr>
          <w:rFonts w:eastAsia="Calibri" w:cs="Tahoma"/>
          <w:color w:val="000000"/>
          <w:szCs w:val="18"/>
          <w:lang w:val="de-DE"/>
        </w:rPr>
        <w:t>Wenn ein Onlinedienst in der Government Community Cloud bereitgestellt wird, bleibt er für die Dauer der</w:t>
      </w:r>
      <w:r w:rsidR="00963942">
        <w:rPr>
          <w:rFonts w:eastAsia="Calibri" w:cs="Tahoma"/>
          <w:color w:val="000000"/>
          <w:szCs w:val="18"/>
          <w:lang w:val="de-DE"/>
        </w:rPr>
        <w:t> </w:t>
      </w:r>
      <w:r w:rsidRPr="00571807">
        <w:rPr>
          <w:rFonts w:eastAsia="Calibri" w:cs="Tahoma"/>
          <w:color w:val="000000"/>
          <w:szCs w:val="18"/>
          <w:lang w:val="de-DE"/>
        </w:rPr>
        <w:t>Abonnementlaufzeit dort</w:t>
      </w:r>
      <w:r w:rsidR="006257A7">
        <w:rPr>
          <w:rFonts w:eastAsia="Calibri" w:cs="Tahoma"/>
          <w:color w:val="000000"/>
          <w:szCs w:val="18"/>
          <w:lang w:val="de-DE"/>
        </w:rPr>
        <w:t xml:space="preserve">. </w:t>
      </w:r>
      <w:r w:rsidRPr="00571807">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6257A7">
        <w:rPr>
          <w:rFonts w:eastAsia="Calibri" w:cs="Tahoma"/>
          <w:color w:val="000000"/>
          <w:szCs w:val="18"/>
          <w:lang w:val="de-DE"/>
        </w:rPr>
        <w:t xml:space="preserve">. </w:t>
      </w:r>
      <w:r w:rsidRPr="00571807">
        <w:rPr>
          <w:rFonts w:eastAsia="Calibri" w:cs="Tahoma"/>
          <w:color w:val="000000"/>
          <w:szCs w:val="18"/>
          <w:lang w:val="de-DE"/>
        </w:rPr>
        <w:t>Die</w:t>
      </w:r>
      <w:r w:rsidR="00963942">
        <w:rPr>
          <w:rFonts w:eastAsia="Calibri" w:cs="Tahoma"/>
          <w:color w:val="000000"/>
          <w:szCs w:val="18"/>
          <w:lang w:val="de-DE"/>
        </w:rPr>
        <w:t> </w:t>
      </w:r>
      <w:r w:rsidRPr="00571807">
        <w:rPr>
          <w:rFonts w:eastAsia="Calibri" w:cs="Tahoma"/>
          <w:color w:val="000000"/>
          <w:szCs w:val="18"/>
          <w:lang w:val="de-DE"/>
        </w:rPr>
        <w:t>Nutzungsrechte für Government Community Cloud-Dienste entsprechen den Nutzungsrechten ihrer</w:t>
      </w:r>
      <w:r w:rsidR="00963942">
        <w:rPr>
          <w:rFonts w:eastAsia="Calibri" w:cs="Tahoma"/>
          <w:color w:val="000000"/>
          <w:szCs w:val="18"/>
          <w:lang w:val="de-DE"/>
        </w:rPr>
        <w:t> </w:t>
      </w:r>
      <w:r w:rsidRPr="00571807">
        <w:rPr>
          <w:rFonts w:eastAsia="Calibri" w:cs="Tahoma"/>
          <w:color w:val="000000"/>
          <w:szCs w:val="18"/>
          <w:lang w:val="de-DE"/>
        </w:rPr>
        <w:t>mehrinstanzenfähigen Standardäquivalente</w:t>
      </w:r>
      <w:r w:rsidR="006257A7">
        <w:rPr>
          <w:rFonts w:eastAsia="Calibri" w:cs="Tahoma"/>
          <w:color w:val="000000"/>
          <w:szCs w:val="18"/>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p>
    <w:p w:rsidR="00E73313" w:rsidRPr="00571807" w:rsidRDefault="00E73313" w:rsidP="00E73313">
      <w:pPr>
        <w:pStyle w:val="Heading2"/>
        <w:ind w:left="0"/>
        <w:rPr>
          <w:lang w:val="de-DE"/>
        </w:rPr>
      </w:pPr>
      <w:bookmarkStart w:id="1272" w:name="_49_Exchange_Online"/>
      <w:bookmarkStart w:id="1273" w:name="_55_Exchange_Online"/>
      <w:bookmarkStart w:id="1274" w:name="_Toc363999053"/>
      <w:bookmarkStart w:id="1275" w:name="Srv_50ExchangeOnlinePlan2"/>
      <w:bookmarkEnd w:id="1272"/>
      <w:bookmarkEnd w:id="1273"/>
      <w:r w:rsidRPr="00571807">
        <w:rPr>
          <w:rFonts w:ascii="Tahoma" w:hAnsi="Tahoma" w:cs="Tahoma"/>
          <w:caps/>
          <w:color w:val="F66400"/>
          <w:sz w:val="22"/>
          <w:szCs w:val="20"/>
          <w:vertAlign w:val="superscript"/>
          <w:lang w:val="de-DE"/>
        </w:rPr>
        <w:t>56</w:t>
      </w:r>
      <w:r w:rsidRPr="00571807">
        <w:rPr>
          <w:rFonts w:ascii="Tahoma" w:hAnsi="Tahoma" w:cs="Tahoma"/>
          <w:color w:val="F66400"/>
          <w:sz w:val="22"/>
          <w:szCs w:val="20"/>
          <w:lang w:val="de-DE"/>
        </w:rPr>
        <w:t xml:space="preserve"> Exchange Online Plan 2</w:t>
      </w:r>
      <w:bookmarkEnd w:id="1274"/>
    </w:p>
    <w:bookmarkEnd w:id="1275"/>
    <w:p w:rsidR="00E73313" w:rsidRPr="00571807" w:rsidRDefault="00E73313" w:rsidP="00E73313">
      <w:pPr>
        <w:outlineLvl w:val="2"/>
        <w:rPr>
          <w:lang w:val="de-DE"/>
        </w:rPr>
      </w:pPr>
    </w:p>
    <w:p w:rsidR="00E73313" w:rsidRPr="00571807" w:rsidRDefault="00E73313" w:rsidP="00E73313">
      <w:pPr>
        <w:pStyle w:val="ListParagraph"/>
        <w:rPr>
          <w:lang w:val="de-DE"/>
        </w:rPr>
      </w:pPr>
      <w:r w:rsidRPr="00571807">
        <w:rPr>
          <w:rFonts w:ascii="Tahoma" w:hAnsi="Tahoma" w:cs="Tahoma"/>
          <w:color w:val="000000"/>
          <w:sz w:val="18"/>
          <w:szCs w:val="18"/>
          <w:lang w:val="de-DE"/>
        </w:rPr>
        <w:t>Exchange Online Plan 2 ist ein Folge-Onlinedienst für Exchange Hosted Archive</w:t>
      </w:r>
      <w:r w:rsidR="006257A7">
        <w:rPr>
          <w:rFonts w:ascii="Tahoma" w:hAnsi="Tahoma" w:cs="Tahoma"/>
          <w:color w:val="000000"/>
          <w:sz w:val="18"/>
          <w:szCs w:val="18"/>
          <w:lang w:val="de-DE"/>
        </w:rPr>
        <w:t xml:space="preserve">. </w:t>
      </w:r>
    </w:p>
    <w:p w:rsidR="00E73313" w:rsidRPr="00571807" w:rsidRDefault="00E73313" w:rsidP="00E73313">
      <w:pPr>
        <w:pStyle w:val="ListParagraph"/>
        <w:rPr>
          <w:lang w:val="de-DE"/>
        </w:rPr>
      </w:pPr>
    </w:p>
    <w:p w:rsidR="00E73313" w:rsidRPr="00571807" w:rsidRDefault="00E73313" w:rsidP="00E73313">
      <w:pPr>
        <w:ind w:left="720"/>
        <w:rPr>
          <w:lang w:val="de-DE"/>
        </w:rPr>
      </w:pPr>
      <w:r w:rsidRPr="00571807">
        <w:rPr>
          <w:rFonts w:cs="Tahoma"/>
          <w:color w:val="000000"/>
          <w:szCs w:val="18"/>
          <w:lang w:val="de-DE"/>
        </w:rPr>
        <w:t>Wenn Sie von Exchange Hosted Archive auf Exchange Online Plan 2 verlängern und noch nicht auf Exchange Online Plan 2 migriert haben,</w:t>
      </w:r>
      <w:r w:rsidRPr="00571807">
        <w:rPr>
          <w:color w:val="000000"/>
          <w:lang w:val="de-DE"/>
        </w:rPr>
        <w:t xml:space="preserve"> sind Ihre lizenzierte Nutzer berechtigt, den Exchange Hosted Archive-Dienst weiterhin unter den Bestimmungen der Produktbenutzungsrechte (PUR) von März 2011 zu verwenden, bis Sie auf Exchange Online Plan 2 migrieren oder bis Ihr Abonnement für Exchange Online Plan 2 abläuft, wobei das frühere Datum maßgeblich ist</w:t>
      </w:r>
      <w:r w:rsidR="006257A7">
        <w:rPr>
          <w:color w:val="000000"/>
          <w:lang w:val="de-DE"/>
        </w:rPr>
        <w:t xml:space="preserve">. </w:t>
      </w:r>
    </w:p>
    <w:p w:rsidR="00E73313" w:rsidRPr="00571807" w:rsidRDefault="00E73313" w:rsidP="00E73313">
      <w:pPr>
        <w:ind w:left="720"/>
        <w:rPr>
          <w:lang w:val="de-DE"/>
        </w:rPr>
      </w:pPr>
    </w:p>
    <w:p w:rsidR="00E73313" w:rsidRPr="0062435A" w:rsidRDefault="00E73313" w:rsidP="00E73313">
      <w:pPr>
        <w:spacing w:after="60"/>
        <w:ind w:left="720"/>
      </w:pPr>
      <w:r>
        <w:rPr>
          <w:rFonts w:eastAsia="Calibri" w:cs="Tahoma"/>
          <w:b/>
          <w:color w:val="000000"/>
          <w:szCs w:val="18"/>
        </w:rPr>
        <w:t>Government Community Cloud (nur USA)</w:t>
      </w:r>
    </w:p>
    <w:p w:rsidR="00E73313" w:rsidRPr="00571807" w:rsidRDefault="00E73313" w:rsidP="00963942">
      <w:pPr>
        <w:ind w:left="720"/>
        <w:rPr>
          <w:lang w:val="de-DE"/>
        </w:rPr>
      </w:pPr>
      <w:r>
        <w:rPr>
          <w:rFonts w:eastAsia="Calibri" w:cs="Tahoma"/>
          <w:color w:val="000000"/>
          <w:szCs w:val="18"/>
        </w:rPr>
        <w:t>Einige Onlinedienste in der Office 365-Produktfamilie (darunter Exchange Online Plan 2) werden als Government Community Cloud-Dienste und Non-Government Community Cloud-Dienste angeboten</w:t>
      </w:r>
      <w:r w:rsidR="006257A7">
        <w:rPr>
          <w:rFonts w:eastAsia="Calibri" w:cs="Tahoma"/>
          <w:color w:val="000000"/>
          <w:szCs w:val="18"/>
        </w:rPr>
        <w:t xml:space="preserve">. </w:t>
      </w:r>
      <w:r w:rsidRPr="00571807">
        <w:rPr>
          <w:rFonts w:eastAsia="Calibri" w:cs="Tahoma"/>
          <w:color w:val="000000"/>
          <w:szCs w:val="18"/>
          <w:lang w:val="de-DE"/>
        </w:rPr>
        <w:t>Die</w:t>
      </w:r>
      <w:r w:rsidR="00963942">
        <w:rPr>
          <w:rFonts w:eastAsia="Calibri" w:cs="Tahoma"/>
          <w:color w:val="000000"/>
          <w:szCs w:val="18"/>
          <w:lang w:val="de-DE"/>
        </w:rPr>
        <w:t> </w:t>
      </w:r>
      <w:r w:rsidRPr="00571807">
        <w:rPr>
          <w:rFonts w:eastAsia="Calibri" w:cs="Tahoma"/>
          <w:color w:val="000000"/>
          <w:szCs w:val="18"/>
          <w:lang w:val="de-DE"/>
        </w:rPr>
        <w:t>Bereitstellung an Kunden kann in der einen oder anderen Form erfolgen, jedoch nicht als Kombination aus beidem</w:t>
      </w:r>
      <w:r w:rsidR="006257A7">
        <w:rPr>
          <w:rFonts w:eastAsia="Calibri" w:cs="Tahoma"/>
          <w:color w:val="000000"/>
          <w:szCs w:val="18"/>
          <w:lang w:val="de-DE"/>
        </w:rPr>
        <w:t xml:space="preserve">. </w:t>
      </w:r>
      <w:r w:rsidRPr="00571807">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6257A7">
        <w:rPr>
          <w:rFonts w:eastAsia="Calibri" w:cs="Tahoma"/>
          <w:color w:val="000000"/>
          <w:szCs w:val="18"/>
          <w:lang w:val="de-DE"/>
        </w:rPr>
        <w:t xml:space="preserve">. </w:t>
      </w:r>
      <w:r w:rsidRPr="00571807">
        <w:rPr>
          <w:rFonts w:eastAsia="Calibri" w:cs="Tahoma"/>
          <w:color w:val="000000"/>
          <w:szCs w:val="18"/>
          <w:lang w:val="de-DE"/>
        </w:rPr>
        <w:t>Diese</w:t>
      </w:r>
      <w:r w:rsidR="00963942">
        <w:rPr>
          <w:rFonts w:eastAsia="Calibri" w:cs="Tahoma"/>
          <w:color w:val="000000"/>
          <w:szCs w:val="18"/>
          <w:lang w:val="de-DE"/>
        </w:rPr>
        <w:t> </w:t>
      </w:r>
      <w:r w:rsidRPr="00571807">
        <w:rPr>
          <w:rFonts w:eastAsia="Calibri" w:cs="Tahoma"/>
          <w:color w:val="000000"/>
          <w:szCs w:val="18"/>
          <w:lang w:val="de-DE"/>
        </w:rPr>
        <w:t>Beschränkung gilt für alle Onlinedienste, die zur Office 365-Produktfamilie gehören, darunter Exchange Online, SharePoint Online und Lync Online</w:t>
      </w:r>
      <w:r w:rsidR="006257A7">
        <w:rPr>
          <w:rFonts w:eastAsia="Calibri" w:cs="Tahoma"/>
          <w:color w:val="000000"/>
          <w:szCs w:val="18"/>
          <w:lang w:val="de-DE"/>
        </w:rPr>
        <w:t xml:space="preserve">. </w:t>
      </w:r>
    </w:p>
    <w:p w:rsidR="00E73313" w:rsidRPr="00571807" w:rsidRDefault="00E73313" w:rsidP="00E73313">
      <w:pPr>
        <w:ind w:left="720"/>
        <w:rPr>
          <w:lang w:val="de-DE"/>
        </w:rPr>
      </w:pPr>
    </w:p>
    <w:p w:rsidR="00E73313" w:rsidRPr="00571807" w:rsidRDefault="00E73313" w:rsidP="00963942">
      <w:pPr>
        <w:ind w:left="720"/>
        <w:rPr>
          <w:lang w:val="de-DE"/>
        </w:rPr>
      </w:pPr>
      <w:r w:rsidRPr="00571807">
        <w:rPr>
          <w:rFonts w:eastAsia="Calibri" w:cs="Tahoma"/>
          <w:color w:val="000000"/>
          <w:szCs w:val="18"/>
          <w:lang w:val="de-DE"/>
        </w:rPr>
        <w:t>Wenn ein Onlinedienst in der Government Community Cloud bereitgestellt wird, bleibt er für die Dauer der</w:t>
      </w:r>
      <w:r w:rsidR="00963942">
        <w:rPr>
          <w:rFonts w:eastAsia="Calibri" w:cs="Tahoma"/>
          <w:color w:val="000000"/>
          <w:szCs w:val="18"/>
          <w:lang w:val="de-DE"/>
        </w:rPr>
        <w:t> </w:t>
      </w:r>
      <w:r w:rsidRPr="00571807">
        <w:rPr>
          <w:rFonts w:eastAsia="Calibri" w:cs="Tahoma"/>
          <w:color w:val="000000"/>
          <w:szCs w:val="18"/>
          <w:lang w:val="de-DE"/>
        </w:rPr>
        <w:t>Abonnementlaufzeit dort</w:t>
      </w:r>
      <w:r w:rsidR="006257A7">
        <w:rPr>
          <w:rFonts w:eastAsia="Calibri" w:cs="Tahoma"/>
          <w:color w:val="000000"/>
          <w:szCs w:val="18"/>
          <w:lang w:val="de-DE"/>
        </w:rPr>
        <w:t xml:space="preserve">. </w:t>
      </w:r>
      <w:r w:rsidRPr="00571807">
        <w:rPr>
          <w:rFonts w:eastAsia="Calibri" w:cs="Tahoma"/>
          <w:color w:val="000000"/>
          <w:szCs w:val="18"/>
          <w:lang w:val="de-DE"/>
        </w:rPr>
        <w:t>Kunden, bei denen es sich um US-amerikanische Verwaltungseinrichtungen auf nationaler, einzelstaatlicher, kommunaler oder Stammesebene handelt, müssen Vertragspartei eines</w:t>
      </w:r>
      <w:r w:rsidR="00963942">
        <w:rPr>
          <w:rFonts w:eastAsia="Calibri" w:cs="Tahoma"/>
          <w:color w:val="000000"/>
          <w:szCs w:val="18"/>
          <w:lang w:val="de-DE"/>
        </w:rPr>
        <w:t> </w:t>
      </w:r>
      <w:r w:rsidRPr="00571807">
        <w:rPr>
          <w:rFonts w:eastAsia="Calibri" w:cs="Tahoma"/>
          <w:color w:val="000000"/>
          <w:szCs w:val="18"/>
          <w:lang w:val="de-DE"/>
        </w:rPr>
        <w:t>Konzernbeitritts oder Konzern-Abonnement-Beitritts für US-Behörden sein, um zum Erwerb von</w:t>
      </w:r>
      <w:r w:rsidR="00963942">
        <w:rPr>
          <w:rFonts w:eastAsia="Calibri" w:cs="Tahoma"/>
          <w:color w:val="000000"/>
          <w:szCs w:val="18"/>
          <w:lang w:val="de-DE"/>
        </w:rPr>
        <w:t> </w:t>
      </w:r>
      <w:r w:rsidRPr="00571807">
        <w:rPr>
          <w:rFonts w:eastAsia="Calibri" w:cs="Tahoma"/>
          <w:color w:val="000000"/>
          <w:szCs w:val="18"/>
          <w:lang w:val="de-DE"/>
        </w:rPr>
        <w:t>Onlinediensten, die als Government Community Cloud bezeichnet werden, berechtigt zu sein</w:t>
      </w:r>
      <w:r w:rsidR="006257A7">
        <w:rPr>
          <w:rFonts w:eastAsia="Calibri" w:cs="Tahoma"/>
          <w:color w:val="000000"/>
          <w:szCs w:val="18"/>
          <w:lang w:val="de-DE"/>
        </w:rPr>
        <w:t xml:space="preserve">. </w:t>
      </w:r>
      <w:r w:rsidRPr="00571807">
        <w:rPr>
          <w:rFonts w:eastAsia="Calibri" w:cs="Tahoma"/>
          <w:color w:val="000000"/>
          <w:szCs w:val="18"/>
          <w:lang w:val="de-DE"/>
        </w:rPr>
        <w:t>Die</w:t>
      </w:r>
      <w:r w:rsidR="00963942">
        <w:rPr>
          <w:rFonts w:eastAsia="Calibri" w:cs="Tahoma"/>
          <w:color w:val="000000"/>
          <w:szCs w:val="18"/>
          <w:lang w:val="de-DE"/>
        </w:rPr>
        <w:t> </w:t>
      </w:r>
      <w:r w:rsidRPr="00571807">
        <w:rPr>
          <w:rFonts w:eastAsia="Calibri" w:cs="Tahoma"/>
          <w:color w:val="000000"/>
          <w:szCs w:val="18"/>
          <w:lang w:val="de-DE"/>
        </w:rPr>
        <w:t>Nutzungsrechte für Government Community Cloud-Dienste entsprechen den Nutzungsrechten ihrer</w:t>
      </w:r>
      <w:r w:rsidR="00963942">
        <w:rPr>
          <w:rFonts w:eastAsia="Calibri" w:cs="Tahoma"/>
          <w:color w:val="000000"/>
          <w:szCs w:val="18"/>
          <w:lang w:val="de-DE"/>
        </w:rPr>
        <w:t> </w:t>
      </w:r>
      <w:r w:rsidRPr="00571807">
        <w:rPr>
          <w:rFonts w:eastAsia="Calibri" w:cs="Tahoma"/>
          <w:color w:val="000000"/>
          <w:szCs w:val="18"/>
          <w:lang w:val="de-DE"/>
        </w:rPr>
        <w:t>mehrinstanzenfähigen Standardäquivalente</w:t>
      </w:r>
      <w:r w:rsidR="006257A7">
        <w:rPr>
          <w:rFonts w:eastAsia="Calibri" w:cs="Tahoma"/>
          <w:color w:val="000000"/>
          <w:szCs w:val="18"/>
          <w:lang w:val="de-DE"/>
        </w:rPr>
        <w:t xml:space="preserve">. </w:t>
      </w:r>
      <w:bookmarkStart w:id="1276" w:name="_51_Exchange_Server"/>
      <w:bookmarkEnd w:id="1264"/>
      <w:bookmarkEnd w:id="1270"/>
      <w:bookmarkEnd w:id="1271"/>
      <w:bookmarkEnd w:id="1276"/>
    </w:p>
    <w:p w:rsidR="00E73313" w:rsidRPr="00571807" w:rsidRDefault="00E73313" w:rsidP="00E73313">
      <w:pPr>
        <w:pStyle w:val="EndnoteText"/>
        <w:ind w:left="1620" w:hanging="900"/>
        <w:rPr>
          <w:lang w:val="de-DE"/>
        </w:rPr>
      </w:pPr>
      <w:bookmarkStart w:id="1277" w:name="Srv_43ExchangeSvr2010"/>
    </w:p>
    <w:p w:rsidR="00E73313" w:rsidRPr="00571807" w:rsidRDefault="00E73313" w:rsidP="00E73313">
      <w:pPr>
        <w:pStyle w:val="EndnoteText"/>
        <w:ind w:left="1620" w:hanging="900"/>
        <w:rPr>
          <w:lang w:val="de-DE"/>
        </w:rPr>
      </w:pPr>
    </w:p>
    <w:p w:rsidR="00E73313" w:rsidRPr="00571807" w:rsidRDefault="00E73313" w:rsidP="00E73313">
      <w:pPr>
        <w:pStyle w:val="Heading2"/>
        <w:ind w:left="0"/>
        <w:rPr>
          <w:lang w:val="de-DE"/>
        </w:rPr>
      </w:pPr>
      <w:bookmarkStart w:id="1278" w:name="_49_Exchange_Server"/>
      <w:bookmarkStart w:id="1279" w:name="_51_50_Exchange"/>
      <w:bookmarkStart w:id="1280" w:name="_56_Exchange_Online"/>
      <w:bookmarkStart w:id="1281" w:name="_57_Exchange_Online"/>
      <w:bookmarkStart w:id="1282" w:name="_Toc363999054"/>
      <w:bookmarkStart w:id="1283" w:name="_Toc336338311"/>
      <w:bookmarkStart w:id="1284" w:name="Srv_50ExchangeServer2010StdCAL"/>
      <w:bookmarkEnd w:id="1277"/>
      <w:bookmarkEnd w:id="1278"/>
      <w:bookmarkEnd w:id="1279"/>
      <w:bookmarkEnd w:id="1280"/>
      <w:bookmarkEnd w:id="1281"/>
      <w:r w:rsidRPr="00571807">
        <w:rPr>
          <w:rFonts w:ascii="Tahoma" w:hAnsi="Tahoma" w:cs="Tahoma"/>
          <w:caps/>
          <w:color w:val="FA6500"/>
          <w:sz w:val="22"/>
          <w:vertAlign w:val="superscript"/>
          <w:lang w:val="de-DE"/>
        </w:rPr>
        <w:t>57</w:t>
      </w:r>
      <w:r w:rsidRPr="00963942">
        <w:rPr>
          <w:rFonts w:ascii="Tahoma" w:hAnsi="Tahoma" w:cs="Tahoma"/>
          <w:caps/>
          <w:color w:val="FA6500"/>
          <w:sz w:val="22"/>
          <w:lang w:val="de-DE"/>
        </w:rPr>
        <w:t xml:space="preserve"> </w:t>
      </w:r>
      <w:r w:rsidRPr="00571807">
        <w:rPr>
          <w:rFonts w:ascii="Tahoma" w:hAnsi="Tahoma" w:cs="Tahoma"/>
          <w:color w:val="F66400"/>
          <w:sz w:val="22"/>
          <w:szCs w:val="20"/>
          <w:lang w:val="de-DE"/>
        </w:rPr>
        <w:t>Exchange Online Protection (Nutzer-AL)</w:t>
      </w:r>
      <w:bookmarkEnd w:id="1282"/>
    </w:p>
    <w:p w:rsidR="00E73313" w:rsidRPr="00571807" w:rsidRDefault="00E73313" w:rsidP="00E73313">
      <w:pPr>
        <w:ind w:left="720"/>
        <w:rPr>
          <w:lang w:val="de-DE"/>
        </w:rPr>
      </w:pPr>
    </w:p>
    <w:p w:rsidR="00E73313" w:rsidRPr="00963942" w:rsidRDefault="00E73313" w:rsidP="00E73313">
      <w:pPr>
        <w:ind w:left="720"/>
        <w:rPr>
          <w:rFonts w:cs="Tahoma"/>
          <w:szCs w:val="18"/>
          <w:lang w:val="de-DE"/>
        </w:rPr>
      </w:pPr>
      <w:r w:rsidRPr="00963942">
        <w:rPr>
          <w:rFonts w:cs="Tahoma"/>
          <w:szCs w:val="18"/>
          <w:lang w:val="de-DE"/>
        </w:rPr>
        <w:t>Da dieser Onlinedienst nach Domäne bereitgestellt wird, benötigen alle Nutzer in einer Domäne Nutzer-ALs</w:t>
      </w:r>
      <w:r w:rsidR="006257A7">
        <w:rPr>
          <w:rFonts w:cs="Tahoma"/>
          <w:szCs w:val="18"/>
          <w:lang w:val="de-DE"/>
        </w:rPr>
        <w:t xml:space="preserve">. </w:t>
      </w:r>
      <w:r w:rsidRPr="00963942">
        <w:rPr>
          <w:rFonts w:cs="Tahoma"/>
          <w:szCs w:val="18"/>
          <w:lang w:val="de-DE"/>
        </w:rPr>
        <w:t>Kunden, die den Dienst für eine Untergruppe ihrer Nutzerbasis anbieten möchten, können für eine gezieltere Bereitstellung Unterdomänen erstellen</w:t>
      </w:r>
      <w:r w:rsidR="006257A7">
        <w:rPr>
          <w:rFonts w:cs="Tahoma"/>
          <w:szCs w:val="18"/>
          <w:lang w:val="de-DE"/>
        </w:rPr>
        <w:t xml:space="preserve">. </w:t>
      </w:r>
      <w:r w:rsidRPr="00963942">
        <w:rPr>
          <w:rFonts w:cs="Tahoma"/>
          <w:szCs w:val="18"/>
          <w:lang w:val="de-DE"/>
        </w:rPr>
        <w:t>Nur die Nutzer innerhalb dieser Unterdomäne benötigen Nutzer-ALs</w:t>
      </w:r>
      <w:r w:rsidR="006257A7">
        <w:rPr>
          <w:rFonts w:cs="Tahoma"/>
          <w:szCs w:val="18"/>
          <w:lang w:val="de-DE"/>
        </w:rPr>
        <w:t xml:space="preserve">. </w:t>
      </w:r>
    </w:p>
    <w:p w:rsidR="00E73313" w:rsidRPr="00571807" w:rsidRDefault="00E73313" w:rsidP="00E73313">
      <w:pPr>
        <w:ind w:left="720"/>
        <w:rPr>
          <w:lang w:val="de-DE"/>
        </w:rPr>
      </w:pPr>
    </w:p>
    <w:p w:rsidR="00E73313" w:rsidRDefault="00E73313" w:rsidP="00F81961">
      <w:pPr>
        <w:ind w:left="720"/>
        <w:rPr>
          <w:rFonts w:cs="Tahoma"/>
          <w:szCs w:val="18"/>
          <w:lang w:val="de-DE"/>
        </w:rPr>
      </w:pPr>
      <w:r w:rsidRPr="00571807">
        <w:rPr>
          <w:rFonts w:cs="Tahoma"/>
          <w:szCs w:val="18"/>
          <w:lang w:val="de-DE"/>
        </w:rPr>
        <w:t>Akademische Einrichtungen mit Beitritt für Bildungslösungen oder Open Value-Abonnement-Vertrag für Bildungslösungen, die für Enterprise CAL Suite oder Exchange Enterprise CAL mit Diensten lizenziert sind und aktive Software Assurance haben, sind vollständig für Exchange Online Protection lizenziert, unabhängig von der Anzahl der Lizenzen für Enterprise CAL Suite oder Exchange Enterprise CAL mit Diensten</w:t>
      </w:r>
      <w:r w:rsidR="006257A7">
        <w:rPr>
          <w:rFonts w:cs="Tahoma"/>
          <w:szCs w:val="18"/>
          <w:lang w:val="de-DE"/>
        </w:rPr>
        <w:t xml:space="preserve">. </w:t>
      </w:r>
      <w:r w:rsidRPr="00571807">
        <w:rPr>
          <w:rFonts w:cs="Tahoma"/>
          <w:szCs w:val="18"/>
          <w:lang w:val="de-DE"/>
        </w:rPr>
        <w:t>Anweisungen zur Bereitstellung finden Sie in den Produkthinweisen für Enterprise CAL Suite bzw</w:t>
      </w:r>
      <w:r w:rsidR="006257A7">
        <w:rPr>
          <w:rFonts w:cs="Tahoma"/>
          <w:szCs w:val="18"/>
          <w:lang w:val="de-DE"/>
        </w:rPr>
        <w:t xml:space="preserve">. </w:t>
      </w:r>
      <w:r w:rsidRPr="00571807">
        <w:rPr>
          <w:rFonts w:cs="Tahoma"/>
          <w:szCs w:val="18"/>
          <w:lang w:val="de-DE"/>
        </w:rPr>
        <w:t>Exchange</w:t>
      </w:r>
      <w:r w:rsidR="00F81961">
        <w:rPr>
          <w:rFonts w:cs="Tahoma"/>
          <w:szCs w:val="18"/>
          <w:lang w:val="de-DE"/>
        </w:rPr>
        <w:t> </w:t>
      </w:r>
      <w:r w:rsidRPr="00571807">
        <w:rPr>
          <w:rFonts w:cs="Tahoma"/>
          <w:szCs w:val="18"/>
          <w:lang w:val="de-DE"/>
        </w:rPr>
        <w:t>Enterprise CAL mit Diensten</w:t>
      </w:r>
      <w:r w:rsidR="00A97F63">
        <w:rPr>
          <w:rFonts w:cs="Tahoma"/>
          <w:szCs w:val="18"/>
          <w:lang w:val="de-DE"/>
        </w:rPr>
        <w:t>.</w:t>
      </w:r>
    </w:p>
    <w:p w:rsidR="00A97F63" w:rsidRDefault="00A97F63" w:rsidP="00F81961">
      <w:pPr>
        <w:ind w:left="720"/>
        <w:rPr>
          <w:rFonts w:cs="Tahoma"/>
          <w:szCs w:val="18"/>
          <w:lang w:val="de-DE"/>
        </w:rPr>
      </w:pPr>
    </w:p>
    <w:p w:rsidR="00A97F63" w:rsidRDefault="00A97F63" w:rsidP="00F81961">
      <w:pPr>
        <w:ind w:left="720"/>
        <w:rPr>
          <w:rFonts w:cs="Tahoma"/>
          <w:szCs w:val="18"/>
          <w:lang w:val="de-DE"/>
        </w:rPr>
      </w:pPr>
    </w:p>
    <w:p w:rsidR="00A97F63" w:rsidRDefault="00A97F63" w:rsidP="00F81961">
      <w:pPr>
        <w:ind w:left="720"/>
        <w:rPr>
          <w:rFonts w:cs="Tahoma"/>
          <w:szCs w:val="18"/>
          <w:lang w:val="de-DE"/>
        </w:rPr>
      </w:pPr>
    </w:p>
    <w:p w:rsidR="00A97F63" w:rsidRDefault="00A97F63" w:rsidP="00F81961">
      <w:pPr>
        <w:ind w:left="720"/>
        <w:rPr>
          <w:rFonts w:cs="Tahoma"/>
          <w:szCs w:val="18"/>
          <w:lang w:val="de-DE"/>
        </w:rPr>
      </w:pPr>
    </w:p>
    <w:p w:rsidR="00A97F63" w:rsidRDefault="00A97F63" w:rsidP="00F81961">
      <w:pPr>
        <w:ind w:left="720"/>
        <w:rPr>
          <w:rFonts w:cs="Tahoma"/>
          <w:szCs w:val="18"/>
          <w:lang w:val="de-DE"/>
        </w:rPr>
      </w:pPr>
    </w:p>
    <w:p w:rsidR="00A97F63" w:rsidRDefault="00A97F63" w:rsidP="00F81961">
      <w:pPr>
        <w:ind w:left="720"/>
        <w:rPr>
          <w:rFonts w:cs="Tahoma"/>
          <w:szCs w:val="18"/>
          <w:lang w:val="de-DE"/>
        </w:rPr>
      </w:pPr>
    </w:p>
    <w:p w:rsidR="00A97F63" w:rsidRDefault="00A97F63" w:rsidP="00F81961">
      <w:pPr>
        <w:ind w:left="720"/>
        <w:rPr>
          <w:rFonts w:cs="Tahoma"/>
          <w:szCs w:val="18"/>
          <w:lang w:val="de-DE"/>
        </w:rPr>
      </w:pPr>
    </w:p>
    <w:p w:rsidR="00A97F63" w:rsidRDefault="00A97F63" w:rsidP="00F81961">
      <w:pPr>
        <w:ind w:left="720"/>
        <w:rPr>
          <w:rFonts w:cs="Tahoma"/>
          <w:szCs w:val="18"/>
          <w:lang w:val="de-DE"/>
        </w:rPr>
      </w:pPr>
    </w:p>
    <w:p w:rsidR="00A97F63" w:rsidRDefault="00A97F63" w:rsidP="00F81961">
      <w:pPr>
        <w:ind w:left="720"/>
        <w:rPr>
          <w:rFonts w:cs="Tahoma"/>
          <w:szCs w:val="18"/>
          <w:lang w:val="de-DE"/>
        </w:rPr>
      </w:pPr>
    </w:p>
    <w:p w:rsidR="00E73313" w:rsidRPr="00571807" w:rsidRDefault="00E73313" w:rsidP="00E73313">
      <w:pPr>
        <w:pStyle w:val="Heading2"/>
        <w:ind w:left="0"/>
        <w:rPr>
          <w:lang w:val="de-DE"/>
        </w:rPr>
      </w:pPr>
      <w:bookmarkStart w:id="1285" w:name="_52_51_Exchange"/>
      <w:bookmarkStart w:id="1286" w:name="_57_Exchange_Server"/>
      <w:bookmarkStart w:id="1287" w:name="_Toc363999055"/>
      <w:bookmarkEnd w:id="1285"/>
      <w:bookmarkEnd w:id="1286"/>
      <w:r w:rsidRPr="00571807">
        <w:rPr>
          <w:rFonts w:ascii="Tahoma" w:hAnsi="Tahoma" w:cs="Tahoma"/>
          <w:caps/>
          <w:color w:val="FA6500"/>
          <w:sz w:val="22"/>
          <w:vertAlign w:val="superscript"/>
          <w:lang w:val="de-DE"/>
        </w:rPr>
        <w:t>58</w:t>
      </w:r>
      <w:r w:rsidRPr="00963942">
        <w:rPr>
          <w:rFonts w:ascii="Tahoma" w:hAnsi="Tahoma" w:cs="Tahoma"/>
          <w:caps/>
          <w:color w:val="FA6500"/>
          <w:sz w:val="22"/>
          <w:lang w:val="de-DE"/>
        </w:rPr>
        <w:t xml:space="preserve"> </w:t>
      </w:r>
      <w:r w:rsidRPr="00571807">
        <w:rPr>
          <w:rFonts w:ascii="Tahoma" w:hAnsi="Tahoma" w:cs="Tahoma"/>
          <w:color w:val="FA6500"/>
          <w:sz w:val="22"/>
          <w:lang w:val="de-DE"/>
        </w:rPr>
        <w:t xml:space="preserve">Exchange Server 2013 Enterprise und </w:t>
      </w:r>
      <w:bookmarkEnd w:id="1283"/>
      <w:r w:rsidRPr="00571807">
        <w:rPr>
          <w:rFonts w:ascii="Tahoma" w:hAnsi="Tahoma" w:cs="Tahoma"/>
          <w:color w:val="FA6500"/>
          <w:sz w:val="22"/>
          <w:lang w:val="de-DE"/>
        </w:rPr>
        <w:t>Standard Editions</w:t>
      </w:r>
      <w:bookmarkEnd w:id="1287"/>
    </w:p>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cs="Tahoma"/>
          <w:color w:val="000000"/>
          <w:szCs w:val="18"/>
          <w:lang w:val="de-DE"/>
        </w:rPr>
        <w:t>Exchange Server 2013 ist die neueste Version von Exchange Server</w:t>
      </w:r>
      <w:r w:rsidR="006257A7">
        <w:rPr>
          <w:rFonts w:cs="Tahoma"/>
          <w:color w:val="000000"/>
          <w:szCs w:val="18"/>
          <w:lang w:val="de-DE"/>
        </w:rPr>
        <w:t xml:space="preserve">. </w:t>
      </w:r>
    </w:p>
    <w:p w:rsidR="00E73313" w:rsidRPr="00571807" w:rsidRDefault="00E73313" w:rsidP="00E73313">
      <w:pPr>
        <w:rPr>
          <w:lang w:val="de-DE"/>
        </w:rPr>
      </w:pPr>
    </w:p>
    <w:p w:rsidR="00E73313" w:rsidRPr="00571807" w:rsidRDefault="00E73313" w:rsidP="00E73313">
      <w:pPr>
        <w:spacing w:after="60"/>
        <w:ind w:left="720"/>
        <w:rPr>
          <w:lang w:val="de-DE"/>
        </w:rPr>
      </w:pPr>
      <w:r w:rsidRPr="00571807">
        <w:rPr>
          <w:rFonts w:cs="Tahoma"/>
          <w:b/>
          <w:color w:val="000000"/>
          <w:szCs w:val="18"/>
          <w:lang w:val="de-DE"/>
        </w:rPr>
        <w:t>Lizenzgewährung für Kunden mit Externer Connector für Exchange Server 2010</w:t>
      </w:r>
    </w:p>
    <w:p w:rsidR="00E73313" w:rsidRPr="00963942" w:rsidRDefault="00E73313" w:rsidP="00963942">
      <w:pPr>
        <w:ind w:left="720"/>
        <w:rPr>
          <w:lang w:val="de-DE"/>
        </w:rPr>
      </w:pPr>
      <w:r w:rsidRPr="00571807">
        <w:rPr>
          <w:rFonts w:cs="Tahoma"/>
          <w:color w:val="000000"/>
          <w:szCs w:val="18"/>
          <w:lang w:val="de-DE"/>
        </w:rPr>
        <w:t xml:space="preserve">Die 2010-Version der </w:t>
      </w:r>
      <w:bookmarkStart w:id="1288" w:name="Srv_42ExchangeSvr07"/>
      <w:bookmarkStart w:id="1289" w:name="Srv_48ExchangeSvr2010"/>
      <w:r w:rsidRPr="00571807">
        <w:rPr>
          <w:rFonts w:cs="Tahoma"/>
          <w:color w:val="000000"/>
          <w:szCs w:val="18"/>
          <w:lang w:val="de-DE"/>
        </w:rPr>
        <w:t>External Connector</w:t>
      </w:r>
      <w:bookmarkEnd w:id="1288"/>
      <w:bookmarkEnd w:id="1289"/>
      <w:r w:rsidRPr="00571807">
        <w:rPr>
          <w:rFonts w:cs="Tahoma"/>
          <w:color w:val="000000"/>
          <w:szCs w:val="18"/>
          <w:lang w:val="de-DE"/>
        </w:rPr>
        <w:t>-Lizenz für Exchange Server 2010 ist die letzte Version dieser Lizenz</w:t>
      </w:r>
      <w:r w:rsidR="006257A7">
        <w:rPr>
          <w:rFonts w:cs="Tahoma"/>
          <w:color w:val="000000"/>
          <w:szCs w:val="18"/>
          <w:lang w:val="de-DE"/>
        </w:rPr>
        <w:t xml:space="preserve">. </w:t>
      </w:r>
      <w:r w:rsidRPr="00571807">
        <w:rPr>
          <w:rFonts w:cs="Tahoma"/>
          <w:color w:val="000000"/>
          <w:szCs w:val="18"/>
          <w:lang w:val="de-DE"/>
        </w:rPr>
        <w:t>In Anbetracht dessen haben Kunden mit Externen Connector-Lizenzen für Exchange Server 2010 mit</w:t>
      </w:r>
      <w:r w:rsidR="00963942">
        <w:rPr>
          <w:rFonts w:cs="Tahoma"/>
          <w:color w:val="000000"/>
          <w:szCs w:val="18"/>
          <w:lang w:val="de-DE"/>
        </w:rPr>
        <w:t> </w:t>
      </w:r>
      <w:r w:rsidRPr="00571807">
        <w:rPr>
          <w:rFonts w:cs="Tahoma"/>
          <w:color w:val="000000"/>
          <w:szCs w:val="18"/>
          <w:lang w:val="de-DE"/>
        </w:rPr>
        <w:t>aktiver Software Assurance zum 1</w:t>
      </w:r>
      <w:r w:rsidR="006257A7">
        <w:rPr>
          <w:rFonts w:cs="Tahoma"/>
          <w:color w:val="000000"/>
          <w:szCs w:val="18"/>
          <w:lang w:val="de-DE"/>
        </w:rPr>
        <w:t xml:space="preserve">. </w:t>
      </w:r>
      <w:r w:rsidRPr="00963942">
        <w:rPr>
          <w:rFonts w:cs="Tahoma"/>
          <w:color w:val="000000"/>
          <w:szCs w:val="18"/>
          <w:lang w:val="de-DE"/>
        </w:rPr>
        <w:t>Oktober 2012 Anspruch auf die folgende Lizenzgewährung</w:t>
      </w:r>
      <w:r w:rsidR="006257A7">
        <w:rPr>
          <w:rFonts w:cs="Tahoma"/>
          <w:color w:val="000000"/>
          <w:szCs w:val="18"/>
          <w:lang w:val="de-DE"/>
        </w:rPr>
        <w:t xml:space="preserve">. </w:t>
      </w:r>
    </w:p>
    <w:p w:rsidR="00E73313" w:rsidRPr="00963942" w:rsidRDefault="00E73313" w:rsidP="00E73313">
      <w:pPr>
        <w:ind w:left="90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E73313" w:rsidRPr="00F6565C" w:rsidTr="00E328C3">
        <w:trPr>
          <w:trHeight w:val="332"/>
        </w:trPr>
        <w:tc>
          <w:tcPr>
            <w:tcW w:w="4500" w:type="dxa"/>
            <w:shd w:val="clear" w:color="auto" w:fill="FABF8F"/>
          </w:tcPr>
          <w:p w:rsidR="00E73313" w:rsidRPr="002065C2" w:rsidRDefault="00E73313" w:rsidP="00E328C3">
            <w:pPr>
              <w:rPr>
                <w:rFonts w:cs="Tahoma"/>
                <w:b/>
                <w:color w:val="000000"/>
                <w:szCs w:val="18"/>
              </w:rPr>
            </w:pPr>
            <w:r>
              <w:rPr>
                <w:rFonts w:cs="Tahoma"/>
                <w:b/>
                <w:color w:val="000000"/>
                <w:szCs w:val="18"/>
              </w:rPr>
              <w:t>Kriterien für qualifizierende Lizenzen</w:t>
            </w:r>
          </w:p>
        </w:tc>
        <w:tc>
          <w:tcPr>
            <w:tcW w:w="3600" w:type="dxa"/>
            <w:shd w:val="clear" w:color="auto" w:fill="FABF8F"/>
          </w:tcPr>
          <w:p w:rsidR="00E73313" w:rsidRPr="002065C2" w:rsidRDefault="00E73313" w:rsidP="00E328C3">
            <w:pPr>
              <w:rPr>
                <w:rFonts w:cs="Tahoma"/>
                <w:b/>
                <w:color w:val="000000"/>
                <w:szCs w:val="18"/>
              </w:rPr>
            </w:pPr>
            <w:r>
              <w:rPr>
                <w:rFonts w:cs="Tahoma"/>
                <w:b/>
                <w:color w:val="000000"/>
                <w:szCs w:val="18"/>
              </w:rPr>
              <w:t>Zusätzliche Lizenzen und Vergünstigungen</w:t>
            </w:r>
          </w:p>
        </w:tc>
      </w:tr>
      <w:tr w:rsidR="00E73313" w:rsidRPr="001B6F67" w:rsidTr="00E328C3">
        <w:trPr>
          <w:trHeight w:val="70"/>
        </w:trPr>
        <w:tc>
          <w:tcPr>
            <w:tcW w:w="4500" w:type="dxa"/>
            <w:shd w:val="clear" w:color="auto" w:fill="auto"/>
          </w:tcPr>
          <w:p w:rsidR="00E73313" w:rsidRPr="002065C2" w:rsidRDefault="00E73313" w:rsidP="00E328C3">
            <w:pPr>
              <w:rPr>
                <w:rFonts w:cs="Tahoma"/>
                <w:color w:val="000000"/>
                <w:szCs w:val="18"/>
              </w:rPr>
            </w:pPr>
            <w:r w:rsidRPr="00571807">
              <w:rPr>
                <w:rFonts w:cs="Tahoma"/>
                <w:color w:val="000000"/>
                <w:szCs w:val="18"/>
                <w:lang w:val="de-DE"/>
              </w:rPr>
              <w:t>Externer Connector für Exchange Server 2010 mit aktiver Software Assurance zum 1</w:t>
            </w:r>
            <w:r w:rsidR="006257A7">
              <w:rPr>
                <w:rFonts w:cs="Tahoma"/>
                <w:color w:val="000000"/>
                <w:szCs w:val="18"/>
                <w:lang w:val="de-DE"/>
              </w:rPr>
              <w:t xml:space="preserve">. </w:t>
            </w:r>
            <w:r>
              <w:rPr>
                <w:rFonts w:cs="Tahoma"/>
                <w:color w:val="000000"/>
                <w:szCs w:val="18"/>
              </w:rPr>
              <w:t>Oktober 2012</w:t>
            </w:r>
          </w:p>
        </w:tc>
        <w:tc>
          <w:tcPr>
            <w:tcW w:w="3600" w:type="dxa"/>
            <w:shd w:val="clear" w:color="auto" w:fill="auto"/>
          </w:tcPr>
          <w:p w:rsidR="00E73313" w:rsidRPr="00571807" w:rsidRDefault="00E73313" w:rsidP="00E328C3">
            <w:pPr>
              <w:rPr>
                <w:rFonts w:cs="Tahoma"/>
                <w:color w:val="000000"/>
                <w:szCs w:val="18"/>
                <w:lang w:val="de-DE"/>
              </w:rPr>
            </w:pPr>
            <w:r w:rsidRPr="00571807">
              <w:rPr>
                <w:rFonts w:cs="Tahoma"/>
                <w:color w:val="000000"/>
                <w:szCs w:val="18"/>
                <w:lang w:val="de-DE"/>
              </w:rPr>
              <w:t>Lizenz für Exchange Server 2013 Enterprise</w:t>
            </w:r>
          </w:p>
        </w:tc>
      </w:tr>
    </w:tbl>
    <w:p w:rsidR="00E73313" w:rsidRPr="00571807" w:rsidRDefault="00E73313" w:rsidP="00E73313">
      <w:pPr>
        <w:rPr>
          <w:lang w:val="de-DE"/>
        </w:rPr>
      </w:pPr>
    </w:p>
    <w:p w:rsidR="00E73313" w:rsidRPr="00571807" w:rsidRDefault="00E73313" w:rsidP="00E73313">
      <w:pPr>
        <w:ind w:left="720"/>
        <w:rPr>
          <w:lang w:val="de-DE"/>
        </w:rPr>
      </w:pPr>
      <w:r w:rsidRPr="00571807">
        <w:rPr>
          <w:rFonts w:cs="Tahoma"/>
          <w:color w:val="000000"/>
          <w:szCs w:val="18"/>
          <w:lang w:val="de-DE"/>
        </w:rPr>
        <w:t>Die folgenden Bestimmungen gelten für die Lizenzgewährung oben:</w:t>
      </w:r>
    </w:p>
    <w:p w:rsidR="00E73313" w:rsidRPr="00571807" w:rsidRDefault="00E73313" w:rsidP="00E73313">
      <w:pPr>
        <w:ind w:left="720"/>
        <w:rPr>
          <w:lang w:val="de-DE"/>
        </w:rPr>
      </w:pPr>
    </w:p>
    <w:p w:rsidR="00E73313" w:rsidRPr="00571807" w:rsidRDefault="00E73313" w:rsidP="00963942">
      <w:pPr>
        <w:numPr>
          <w:ilvl w:val="0"/>
          <w:numId w:val="101"/>
        </w:numPr>
        <w:spacing w:after="60"/>
        <w:ind w:left="1440"/>
        <w:rPr>
          <w:lang w:val="de-DE"/>
        </w:rPr>
      </w:pPr>
      <w:r w:rsidRPr="00571807">
        <w:rPr>
          <w:rFonts w:cs="Tahoma"/>
          <w:bCs/>
          <w:color w:val="000000"/>
          <w:szCs w:val="18"/>
          <w:lang w:val="de-DE"/>
        </w:rPr>
        <w:t>Migrationspfad</w:t>
      </w:r>
      <w:r w:rsidRPr="00571807">
        <w:rPr>
          <w:rFonts w:cs="Tahoma"/>
          <w:color w:val="000000"/>
          <w:szCs w:val="18"/>
          <w:lang w:val="de-DE"/>
        </w:rPr>
        <w:t>: Kunden mit aktiver Software Assurance für eine bestimmte Qualifizierende Lizenz</w:t>
      </w:r>
      <w:r w:rsidR="00963942">
        <w:rPr>
          <w:rFonts w:cs="Tahoma"/>
          <w:color w:val="000000"/>
          <w:szCs w:val="18"/>
          <w:lang w:val="de-DE"/>
        </w:rPr>
        <w:t> </w:t>
      </w:r>
      <w:r w:rsidRPr="00571807">
        <w:rPr>
          <w:rFonts w:cs="Tahoma"/>
          <w:color w:val="000000"/>
          <w:szCs w:val="18"/>
          <w:lang w:val="de-DE"/>
        </w:rPr>
        <w:t>zum 1</w:t>
      </w:r>
      <w:r w:rsidR="006257A7">
        <w:rPr>
          <w:rFonts w:cs="Tahoma"/>
          <w:color w:val="000000"/>
          <w:szCs w:val="18"/>
          <w:lang w:val="de-DE"/>
        </w:rPr>
        <w:t xml:space="preserve">. </w:t>
      </w:r>
      <w:r w:rsidRPr="00571807">
        <w:rPr>
          <w:rFonts w:cs="Tahoma"/>
          <w:color w:val="000000"/>
          <w:szCs w:val="18"/>
          <w:lang w:val="de-DE"/>
        </w:rPr>
        <w:t>Oktober 2012 sind bei Freigabe von Exchange Server 2013 berechtigt, unter der Zusätzlichen Lizenz auf die Software Exchange Server 2013 upzugraden und sie anstelle der Software Exchange Server 2010 unter der jeweiligen qualifizierenden Externen Connector-Lizenz zu</w:t>
      </w:r>
      <w:r w:rsidR="00963942">
        <w:rPr>
          <w:rFonts w:cs="Tahoma"/>
          <w:color w:val="000000"/>
          <w:szCs w:val="18"/>
          <w:lang w:val="de-DE"/>
        </w:rPr>
        <w:t> </w:t>
      </w:r>
      <w:r w:rsidRPr="00571807">
        <w:rPr>
          <w:rFonts w:cs="Tahoma"/>
          <w:color w:val="000000"/>
          <w:szCs w:val="18"/>
          <w:lang w:val="de-DE"/>
        </w:rPr>
        <w:t>verwenden</w:t>
      </w:r>
      <w:r w:rsidR="006257A7">
        <w:rPr>
          <w:rFonts w:cs="Tahoma"/>
          <w:color w:val="000000"/>
          <w:szCs w:val="18"/>
          <w:lang w:val="de-DE"/>
        </w:rPr>
        <w:t xml:space="preserve">. </w:t>
      </w:r>
    </w:p>
    <w:p w:rsidR="00E73313" w:rsidRPr="00571807" w:rsidRDefault="00E73313" w:rsidP="00963942">
      <w:pPr>
        <w:numPr>
          <w:ilvl w:val="0"/>
          <w:numId w:val="101"/>
        </w:numPr>
        <w:spacing w:after="60"/>
        <w:ind w:left="1440"/>
        <w:rPr>
          <w:lang w:val="de-DE"/>
        </w:rPr>
      </w:pPr>
      <w:r w:rsidRPr="00571807">
        <w:rPr>
          <w:rFonts w:cs="Tahoma"/>
          <w:color w:val="000000"/>
          <w:szCs w:val="18"/>
          <w:lang w:val="de-DE"/>
        </w:rPr>
        <w:t>Nutzungsrechte: Das Recht zur Nutzung der Software unter der Zusätzlichen Lizenz unter diesem Angebot gilt bis zum Ablauf des Rechts zur Nutzung der Software unter der Qualifizierenden Lizenz</w:t>
      </w:r>
      <w:r w:rsidR="006257A7">
        <w:rPr>
          <w:rFonts w:cs="Tahoma"/>
          <w:color w:val="000000"/>
          <w:szCs w:val="18"/>
          <w:lang w:val="de-DE"/>
        </w:rPr>
        <w:t xml:space="preserve">. </w:t>
      </w:r>
      <w:r w:rsidRPr="00571807">
        <w:rPr>
          <w:rFonts w:cs="Tahoma"/>
          <w:color w:val="000000"/>
          <w:szCs w:val="18"/>
          <w:lang w:val="de-DE"/>
        </w:rPr>
        <w:t>Die Nutzung dieser Software unterliegt den Nutzungsrechten für die Software und den Bestimmungen des Volumenlizenzvertrages des Kunden</w:t>
      </w:r>
      <w:r w:rsidR="006257A7">
        <w:rPr>
          <w:rFonts w:cs="Tahoma"/>
          <w:color w:val="000000"/>
          <w:szCs w:val="18"/>
          <w:lang w:val="de-DE"/>
        </w:rPr>
        <w:t xml:space="preserve">. </w:t>
      </w:r>
      <w:r w:rsidRPr="00571807">
        <w:rPr>
          <w:rFonts w:cs="Tahoma"/>
          <w:color w:val="000000"/>
          <w:szCs w:val="18"/>
          <w:lang w:val="de-DE"/>
        </w:rPr>
        <w:t>Dieser Hinweis auf die Produktbedingungen und der Nachweis des Kunden über die entsprechende Qualifizierende Lizenz</w:t>
      </w:r>
      <w:r w:rsidR="00963942">
        <w:rPr>
          <w:rFonts w:cs="Tahoma"/>
          <w:color w:val="000000"/>
          <w:szCs w:val="18"/>
          <w:lang w:val="de-DE"/>
        </w:rPr>
        <w:t> </w:t>
      </w:r>
      <w:r w:rsidRPr="00571807">
        <w:rPr>
          <w:rFonts w:cs="Tahoma"/>
          <w:color w:val="000000"/>
          <w:szCs w:val="18"/>
          <w:lang w:val="de-DE"/>
        </w:rPr>
        <w:t>und Software Assurance belegen zusammen das Recht zur Nutzung der Software unter der</w:t>
      </w:r>
      <w:r w:rsidR="00963942">
        <w:rPr>
          <w:rFonts w:cs="Tahoma"/>
          <w:color w:val="000000"/>
          <w:szCs w:val="18"/>
          <w:lang w:val="de-DE"/>
        </w:rPr>
        <w:t> </w:t>
      </w:r>
      <w:r w:rsidRPr="00571807">
        <w:rPr>
          <w:rFonts w:cs="Tahoma"/>
          <w:color w:val="000000"/>
          <w:szCs w:val="18"/>
          <w:lang w:val="de-DE"/>
        </w:rPr>
        <w:t>Zusätzlichen Lizenz unter diesem Angebot</w:t>
      </w:r>
      <w:r w:rsidR="006257A7">
        <w:rPr>
          <w:rFonts w:cs="Tahoma"/>
          <w:color w:val="000000"/>
          <w:szCs w:val="18"/>
          <w:lang w:val="de-DE"/>
        </w:rPr>
        <w:t xml:space="preserve">. </w:t>
      </w:r>
    </w:p>
    <w:p w:rsidR="00E73313" w:rsidRPr="00571807" w:rsidRDefault="00E73313" w:rsidP="00963942">
      <w:pPr>
        <w:numPr>
          <w:ilvl w:val="0"/>
          <w:numId w:val="8"/>
        </w:numPr>
        <w:spacing w:after="60"/>
        <w:ind w:left="1440"/>
        <w:rPr>
          <w:lang w:val="de-DE"/>
        </w:rPr>
      </w:pPr>
      <w:r w:rsidRPr="00571807">
        <w:rPr>
          <w:rFonts w:cs="Tahoma"/>
          <w:color w:val="000000"/>
          <w:szCs w:val="18"/>
          <w:lang w:val="de-DE"/>
        </w:rPr>
        <w:t>Lizenz und Software Assurance: Die Zusätzliche Lizenz enthält Software Assurance</w:t>
      </w:r>
      <w:r w:rsidR="006257A7">
        <w:rPr>
          <w:rFonts w:cs="Tahoma"/>
          <w:color w:val="000000"/>
          <w:szCs w:val="18"/>
          <w:lang w:val="de-DE"/>
        </w:rPr>
        <w:t xml:space="preserve">. </w:t>
      </w:r>
      <w:r w:rsidRPr="00571807">
        <w:rPr>
          <w:rFonts w:cs="Tahoma"/>
          <w:color w:val="000000"/>
          <w:szCs w:val="18"/>
          <w:lang w:val="de-DE"/>
        </w:rPr>
        <w:t>Software Assurance für die Zusätzliche Lizenz gilt bis zum Ablauf der Software Assurance für die Qualifizierende Lizenz</w:t>
      </w:r>
      <w:r w:rsidR="006257A7">
        <w:rPr>
          <w:rFonts w:cs="Tahoma"/>
          <w:color w:val="000000"/>
          <w:szCs w:val="18"/>
          <w:lang w:val="de-DE"/>
        </w:rPr>
        <w:t xml:space="preserve">. </w:t>
      </w:r>
      <w:r w:rsidRPr="00571807">
        <w:rPr>
          <w:rFonts w:cs="Tahoma"/>
          <w:color w:val="000000"/>
          <w:szCs w:val="18"/>
          <w:lang w:val="de-DE"/>
        </w:rPr>
        <w:t>Nach Ablauf von Software Assurance für die Qualifizierende Lizenz kann der</w:t>
      </w:r>
      <w:r w:rsidR="00963942">
        <w:rPr>
          <w:rFonts w:cs="Tahoma"/>
          <w:color w:val="000000"/>
          <w:szCs w:val="18"/>
          <w:lang w:val="de-DE"/>
        </w:rPr>
        <w:t> </w:t>
      </w:r>
      <w:r w:rsidRPr="00571807">
        <w:rPr>
          <w:rFonts w:cs="Tahoma"/>
          <w:color w:val="000000"/>
          <w:szCs w:val="18"/>
          <w:lang w:val="de-DE"/>
        </w:rPr>
        <w:t>Kunde Software Assurance für die Zusätzliche Lizenz verlängern, ohne separat eine neue Lizenz</w:t>
      </w:r>
      <w:r w:rsidR="00963942">
        <w:rPr>
          <w:rFonts w:cs="Tahoma"/>
          <w:color w:val="000000"/>
          <w:szCs w:val="18"/>
          <w:lang w:val="de-DE"/>
        </w:rPr>
        <w:t> </w:t>
      </w:r>
      <w:r w:rsidRPr="00571807">
        <w:rPr>
          <w:rFonts w:cs="Tahoma"/>
          <w:color w:val="000000"/>
          <w:szCs w:val="18"/>
          <w:lang w:val="de-DE"/>
        </w:rPr>
        <w:t>erwerben zu müssen</w:t>
      </w:r>
      <w:r w:rsidR="006257A7">
        <w:rPr>
          <w:rFonts w:cs="Tahoma"/>
          <w:color w:val="000000"/>
          <w:szCs w:val="18"/>
          <w:lang w:val="de-DE"/>
        </w:rPr>
        <w:t xml:space="preserve">. </w:t>
      </w:r>
    </w:p>
    <w:p w:rsidR="00E73313" w:rsidRPr="00571807" w:rsidRDefault="00E73313" w:rsidP="00E73313">
      <w:pPr>
        <w:numPr>
          <w:ilvl w:val="0"/>
          <w:numId w:val="32"/>
        </w:numPr>
        <w:spacing w:after="60"/>
        <w:ind w:left="1440"/>
        <w:rPr>
          <w:lang w:val="de-DE"/>
        </w:rPr>
      </w:pPr>
      <w:r w:rsidRPr="00571807">
        <w:rPr>
          <w:rFonts w:eastAsia="Calibri" w:cs="Tahoma"/>
          <w:color w:val="000000"/>
          <w:szCs w:val="18"/>
          <w:lang w:val="de-DE"/>
        </w:rPr>
        <w:t>True Ups</w:t>
      </w:r>
      <w:r w:rsidRPr="00571807">
        <w:rPr>
          <w:rFonts w:eastAsia="Calibri" w:cs="Tahoma"/>
          <w:b/>
          <w:color w:val="000000"/>
          <w:szCs w:val="18"/>
          <w:lang w:val="de-DE"/>
        </w:rPr>
        <w:t>:</w:t>
      </w:r>
      <w:r w:rsidR="003002D3">
        <w:rPr>
          <w:rFonts w:eastAsia="Calibri" w:cs="Tahoma"/>
          <w:color w:val="000000"/>
          <w:szCs w:val="18"/>
          <w:lang w:val="de-DE"/>
        </w:rPr>
        <w:t xml:space="preserve"> </w:t>
      </w:r>
      <w:r w:rsidRPr="00571807">
        <w:rPr>
          <w:rFonts w:eastAsia="Calibri" w:cs="Tahoma"/>
          <w:color w:val="000000"/>
          <w:szCs w:val="18"/>
          <w:lang w:val="de-DE"/>
        </w:rPr>
        <w:t>Bei Kunden mit Konzernvertrag, die zu diesen oben beschriebenen zusätzlichen Lizenzen und Rechten berechtigt sind, gelten Externe Connector-Lizenzen für Exchange Server 2010, die unter dem jährlichen True Up-</w:t>
      </w:r>
      <w:r w:rsidRPr="00571807">
        <w:rPr>
          <w:rFonts w:cs="Tahoma"/>
          <w:color w:val="000000"/>
          <w:szCs w:val="18"/>
          <w:lang w:val="de-DE"/>
        </w:rPr>
        <w:t>Prozess erworben wurden, ebenfalls als Qualifizierende Lizenzen</w:t>
      </w:r>
      <w:r w:rsidR="006257A7">
        <w:rPr>
          <w:rFonts w:cs="Tahoma"/>
          <w:color w:val="000000"/>
          <w:szCs w:val="18"/>
          <w:lang w:val="de-DE"/>
        </w:rPr>
        <w:t xml:space="preserve">. </w:t>
      </w:r>
    </w:p>
    <w:p w:rsidR="00E73313" w:rsidRPr="00571807" w:rsidRDefault="00E73313" w:rsidP="00963942">
      <w:pPr>
        <w:numPr>
          <w:ilvl w:val="0"/>
          <w:numId w:val="32"/>
        </w:numPr>
        <w:spacing w:after="60"/>
        <w:ind w:left="1440"/>
        <w:rPr>
          <w:lang w:val="de-DE"/>
        </w:rPr>
      </w:pPr>
      <w:r w:rsidRPr="00571807">
        <w:rPr>
          <w:rFonts w:cs="Tahoma"/>
          <w:color w:val="000000"/>
          <w:szCs w:val="18"/>
          <w:lang w:val="de-DE"/>
        </w:rPr>
        <w:t>Abonnement-Verträge:</w:t>
      </w:r>
      <w:r w:rsidR="003002D3">
        <w:rPr>
          <w:rFonts w:cs="Tahoma"/>
          <w:color w:val="000000"/>
          <w:szCs w:val="18"/>
          <w:lang w:val="de-DE"/>
        </w:rPr>
        <w:t xml:space="preserve"> </w:t>
      </w:r>
      <w:r w:rsidRPr="00571807">
        <w:rPr>
          <w:rFonts w:cs="Tahoma"/>
          <w:color w:val="000000"/>
          <w:szCs w:val="18"/>
          <w:lang w:val="de-DE"/>
        </w:rPr>
        <w:t xml:space="preserve">Für Konzern-Abonnement-Verträge, </w:t>
      </w:r>
      <w:r w:rsidRPr="00571807">
        <w:rPr>
          <w:rFonts w:cs="Tahoma"/>
          <w:szCs w:val="18"/>
          <w:lang w:val="de-DE"/>
        </w:rPr>
        <w:t>Open Value Subscription-Verträge, Campus- und School-Verträge, Beitritt für Bildungslösungen und Open Value Subscription – Bildungslösungen-Verträge werden vorübergehend unter denselben Bedingungen</w:t>
      </w:r>
      <w:r w:rsidRPr="00571807">
        <w:rPr>
          <w:rFonts w:cs="Tahoma"/>
          <w:color w:val="000000"/>
          <w:szCs w:val="18"/>
          <w:lang w:val="de-DE"/>
        </w:rPr>
        <w:t xml:space="preserve"> bis zum Ende der</w:t>
      </w:r>
      <w:r w:rsidR="00963942">
        <w:rPr>
          <w:rFonts w:cs="Tahoma"/>
          <w:color w:val="000000"/>
          <w:szCs w:val="18"/>
          <w:lang w:val="de-DE"/>
        </w:rPr>
        <w:t> </w:t>
      </w:r>
      <w:r w:rsidRPr="00571807">
        <w:rPr>
          <w:rFonts w:cs="Tahoma"/>
          <w:color w:val="000000"/>
          <w:szCs w:val="18"/>
          <w:lang w:val="de-DE"/>
        </w:rPr>
        <w:t>aktuellen Beitrittslaufzeit (bzw</w:t>
      </w:r>
      <w:r w:rsidR="006257A7">
        <w:rPr>
          <w:rFonts w:cs="Tahoma"/>
          <w:color w:val="000000"/>
          <w:szCs w:val="18"/>
          <w:lang w:val="de-DE"/>
        </w:rPr>
        <w:t xml:space="preserve">. </w:t>
      </w:r>
      <w:r w:rsidRPr="00571807">
        <w:rPr>
          <w:rFonts w:cs="Tahoma"/>
          <w:color w:val="000000"/>
          <w:szCs w:val="18"/>
          <w:lang w:val="de-DE"/>
        </w:rPr>
        <w:t>Vertragslaufzeit im Falle von Open Value) die gleichen Rechte gewährt</w:t>
      </w:r>
      <w:r w:rsidR="006257A7">
        <w:rPr>
          <w:rFonts w:cs="Tahoma"/>
          <w:color w:val="000000"/>
          <w:szCs w:val="18"/>
          <w:lang w:val="de-DE"/>
        </w:rPr>
        <w:t xml:space="preserve">. </w:t>
      </w:r>
      <w:r w:rsidRPr="00571807">
        <w:rPr>
          <w:rFonts w:cs="Tahoma"/>
          <w:color w:val="000000"/>
          <w:szCs w:val="18"/>
          <w:lang w:val="de-DE"/>
        </w:rPr>
        <w:t>Der Kunde muss das Abonnement ununterbrochen aufrechterhalten</w:t>
      </w:r>
      <w:r w:rsidR="006257A7">
        <w:rPr>
          <w:rFonts w:cs="Tahoma"/>
          <w:color w:val="000000"/>
          <w:szCs w:val="18"/>
          <w:lang w:val="de-DE"/>
        </w:rPr>
        <w:t xml:space="preserve">. </w:t>
      </w:r>
      <w:bookmarkStart w:id="1290" w:name="_Toc336338313"/>
      <w:r w:rsidRPr="00571807">
        <w:rPr>
          <w:rFonts w:cs="Tahoma"/>
          <w:color w:val="000000"/>
          <w:szCs w:val="18"/>
          <w:lang w:val="de-DE"/>
        </w:rPr>
        <w:t>Diese Rechte werden erst nach Ausübung der Buy-Out-Option zeitlich unbeschränkt und unterliegen weiterhin allen Bestimmungen des Lizenzvertrages des Kunden</w:t>
      </w:r>
      <w:r w:rsidR="006257A7">
        <w:rPr>
          <w:rFonts w:cs="Tahoma"/>
          <w:color w:val="000000"/>
          <w:szCs w:val="18"/>
          <w:lang w:val="de-DE"/>
        </w:rPr>
        <w:t xml:space="preserve">. </w:t>
      </w:r>
    </w:p>
    <w:p w:rsidR="00E73313" w:rsidRPr="00571807" w:rsidRDefault="00E73313" w:rsidP="00E73313">
      <w:pPr>
        <w:numPr>
          <w:ilvl w:val="0"/>
          <w:numId w:val="103"/>
        </w:numPr>
        <w:spacing w:after="60"/>
        <w:ind w:left="1440"/>
        <w:rPr>
          <w:lang w:val="de-DE"/>
        </w:rPr>
      </w:pPr>
      <w:r w:rsidRPr="00571807">
        <w:rPr>
          <w:rFonts w:cs="Tahoma"/>
          <w:szCs w:val="18"/>
          <w:lang w:val="de-DE"/>
        </w:rPr>
        <w:t>Übergänge für Campus- und School-Verträge: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E73313" w:rsidRPr="00571807" w:rsidRDefault="00E73313" w:rsidP="00E73313">
      <w:pPr>
        <w:pStyle w:val="ListParagraph"/>
        <w:numPr>
          <w:ilvl w:val="0"/>
          <w:numId w:val="87"/>
        </w:numPr>
        <w:spacing w:after="60"/>
        <w:ind w:left="1980"/>
        <w:contextualSpacing w:val="0"/>
        <w:rPr>
          <w:lang w:val="de-DE"/>
        </w:rPr>
      </w:pPr>
      <w:r w:rsidRPr="00571807">
        <w:rPr>
          <w:rFonts w:ascii="Tahoma" w:hAnsi="Tahoma" w:cs="Tahoma"/>
          <w:sz w:val="18"/>
          <w:szCs w:val="18"/>
          <w:lang w:val="de-DE"/>
        </w:rPr>
        <w:t>Bis zum Ende des Beitritts für Bildungslösungen bzw</w:t>
      </w:r>
      <w:r w:rsidR="006257A7">
        <w:rPr>
          <w:rFonts w:ascii="Tahoma" w:hAnsi="Tahoma" w:cs="Tahoma"/>
          <w:sz w:val="18"/>
          <w:szCs w:val="18"/>
          <w:lang w:val="de-DE"/>
        </w:rPr>
        <w:t xml:space="preserve">. </w:t>
      </w:r>
      <w:r w:rsidRPr="00571807">
        <w:rPr>
          <w:rFonts w:ascii="Tahoma" w:hAnsi="Tahoma" w:cs="Tahoma"/>
          <w:sz w:val="18"/>
          <w:szCs w:val="18"/>
          <w:lang w:val="de-DE"/>
        </w:rPr>
        <w:t>des Open Value Subscription – Bildungslösungen-Vertrages werden vorübergehend unter denselben Bedingungen die gleichen Rechte gewährt</w:t>
      </w:r>
      <w:r w:rsidR="006257A7">
        <w:rPr>
          <w:rFonts w:ascii="Tahoma" w:hAnsi="Tahoma" w:cs="Tahoma"/>
          <w:sz w:val="18"/>
          <w:szCs w:val="18"/>
          <w:lang w:val="de-DE"/>
        </w:rPr>
        <w:t xml:space="preserve">. </w:t>
      </w:r>
    </w:p>
    <w:p w:rsidR="00E73313" w:rsidRPr="00571807" w:rsidRDefault="00E73313" w:rsidP="00E73313">
      <w:pPr>
        <w:pStyle w:val="ListParagraph"/>
        <w:numPr>
          <w:ilvl w:val="0"/>
          <w:numId w:val="87"/>
        </w:numPr>
        <w:spacing w:after="60"/>
        <w:ind w:left="1980"/>
        <w:contextualSpacing w:val="0"/>
        <w:rPr>
          <w:lang w:val="de-DE"/>
        </w:rPr>
      </w:pPr>
      <w:r w:rsidRPr="00571807">
        <w:rPr>
          <w:rFonts w:ascii="Tahoma" w:hAnsi="Tahoma" w:cs="Tahoma"/>
          <w:sz w:val="18"/>
          <w:szCs w:val="18"/>
          <w:lang w:val="de-DE"/>
        </w:rPr>
        <w:t>Diese Rechte werden erst nach Ausübung der Buy-Out-Option zeitlich unbeschränkt und unterliegen weiterhin allen Bestimmungen des Lizenzvertrages des Kunden</w:t>
      </w:r>
      <w:r w:rsidR="006257A7">
        <w:rPr>
          <w:rFonts w:ascii="Tahoma" w:hAnsi="Tahoma" w:cs="Tahoma"/>
          <w:sz w:val="18"/>
          <w:szCs w:val="18"/>
          <w:lang w:val="de-DE"/>
        </w:rPr>
        <w:t xml:space="preserve">. </w:t>
      </w:r>
    </w:p>
    <w:p w:rsidR="00E73313" w:rsidRPr="00571807" w:rsidRDefault="00E73313" w:rsidP="00E73313">
      <w:pPr>
        <w:pStyle w:val="EndnoteText"/>
        <w:ind w:left="540"/>
        <w:rPr>
          <w:lang w:val="de-DE"/>
        </w:rPr>
      </w:pPr>
    </w:p>
    <w:p w:rsidR="00E73313" w:rsidRDefault="00E73313" w:rsidP="00E73313">
      <w:pPr>
        <w:pStyle w:val="EndnoteText"/>
        <w:ind w:left="540"/>
        <w:rPr>
          <w:lang w:val="de-DE"/>
        </w:rPr>
      </w:pPr>
    </w:p>
    <w:p w:rsidR="00963942" w:rsidRDefault="00963942" w:rsidP="00E73313">
      <w:pPr>
        <w:pStyle w:val="EndnoteText"/>
        <w:ind w:left="540"/>
        <w:rPr>
          <w:lang w:val="de-DE"/>
        </w:rPr>
      </w:pPr>
    </w:p>
    <w:p w:rsidR="00F25255" w:rsidRDefault="00F25255" w:rsidP="00E73313">
      <w:pPr>
        <w:pStyle w:val="EndnoteText"/>
        <w:ind w:left="540"/>
        <w:rPr>
          <w:lang w:val="de-DE"/>
        </w:rPr>
      </w:pPr>
    </w:p>
    <w:p w:rsidR="00E73313" w:rsidRPr="00571807" w:rsidRDefault="00E73313" w:rsidP="00E73313">
      <w:pPr>
        <w:pStyle w:val="Heading3"/>
        <w:rPr>
          <w:lang w:val="de-DE"/>
        </w:rPr>
      </w:pPr>
      <w:bookmarkStart w:id="1291" w:name="_50_Exchange_Server"/>
      <w:bookmarkStart w:id="1292" w:name="_53_52_Exchange"/>
      <w:bookmarkStart w:id="1293" w:name="_58_Exchange_Server"/>
      <w:bookmarkStart w:id="1294" w:name="_59_Exchange_Server"/>
      <w:bookmarkStart w:id="1295" w:name="_Toc363999056"/>
      <w:bookmarkEnd w:id="1291"/>
      <w:bookmarkEnd w:id="1292"/>
      <w:bookmarkEnd w:id="1293"/>
      <w:bookmarkEnd w:id="1294"/>
      <w:r w:rsidRPr="00571807">
        <w:rPr>
          <w:rFonts w:ascii="Tahoma" w:hAnsi="Tahoma"/>
          <w:caps/>
          <w:color w:val="F66400"/>
          <w:sz w:val="22"/>
          <w:vertAlign w:val="superscript"/>
          <w:lang w:val="de-DE"/>
        </w:rPr>
        <w:t>59</w:t>
      </w:r>
      <w:r w:rsidRPr="00571807">
        <w:rPr>
          <w:rFonts w:ascii="Tahoma" w:hAnsi="Tahoma"/>
          <w:color w:val="F66400"/>
          <w:sz w:val="22"/>
          <w:lang w:val="de-DE"/>
        </w:rPr>
        <w:t xml:space="preserve"> Exchange Server 2010 Standard-CAL</w:t>
      </w:r>
      <w:bookmarkEnd w:id="1290"/>
      <w:bookmarkEnd w:id="1295"/>
    </w:p>
    <w:bookmarkEnd w:id="1284"/>
    <w:p w:rsidR="00E73313" w:rsidRPr="00571807" w:rsidRDefault="00E73313" w:rsidP="00E73313">
      <w:pPr>
        <w:rPr>
          <w:lang w:val="de-DE"/>
        </w:rPr>
      </w:pPr>
    </w:p>
    <w:p w:rsidR="00E73313" w:rsidRPr="00571807" w:rsidRDefault="00E73313" w:rsidP="00E73313">
      <w:pPr>
        <w:spacing w:after="60"/>
        <w:ind w:left="720"/>
        <w:rPr>
          <w:lang w:val="de-DE"/>
        </w:rPr>
      </w:pPr>
      <w:r w:rsidRPr="00571807">
        <w:rPr>
          <w:rFonts w:cs="Tahoma"/>
          <w:b/>
          <w:color w:val="000000"/>
          <w:szCs w:val="18"/>
          <w:lang w:val="de-DE"/>
        </w:rPr>
        <w:t>Managed Default Folders mit Standard-CAL für Exchange Server 2010</w:t>
      </w:r>
    </w:p>
    <w:p w:rsidR="00E73313" w:rsidRPr="00571807" w:rsidRDefault="00E73313" w:rsidP="00963942">
      <w:pPr>
        <w:ind w:left="720"/>
        <w:rPr>
          <w:lang w:val="de-DE"/>
        </w:rPr>
      </w:pPr>
      <w:r w:rsidRPr="00571807">
        <w:rPr>
          <w:rFonts w:cs="Tahoma"/>
          <w:color w:val="000000"/>
          <w:szCs w:val="18"/>
          <w:lang w:val="de-DE"/>
        </w:rPr>
        <w:t>Das Recht, die Funktion Managed Default Folder in Exchange Server 2010 zu nutzen, wird im Rahmen der</w:t>
      </w:r>
      <w:r w:rsidR="00963942">
        <w:rPr>
          <w:rFonts w:cs="Tahoma"/>
          <w:color w:val="000000"/>
          <w:szCs w:val="18"/>
          <w:lang w:val="de-DE"/>
        </w:rPr>
        <w:t> </w:t>
      </w:r>
      <w:r w:rsidRPr="00571807">
        <w:rPr>
          <w:rFonts w:cs="Tahoma"/>
          <w:color w:val="000000"/>
          <w:szCs w:val="18"/>
          <w:lang w:val="de-DE"/>
        </w:rPr>
        <w:t>Standard-CAL sowie gleichwertiger CALs für Exchange Server 2010 gewährt</w:t>
      </w:r>
      <w:r w:rsidR="006257A7">
        <w:rPr>
          <w:rFonts w:cs="Tahoma"/>
          <w:color w:val="000000"/>
          <w:szCs w:val="18"/>
          <w:lang w:val="de-DE"/>
        </w:rPr>
        <w:t xml:space="preserve">. </w:t>
      </w:r>
      <w:r w:rsidRPr="00571807">
        <w:rPr>
          <w:rFonts w:cs="Tahoma"/>
          <w:color w:val="000000"/>
          <w:szCs w:val="18"/>
          <w:lang w:val="de-DE"/>
        </w:rPr>
        <w:t>Zur Nutzung der Funktion</w:t>
      </w:r>
      <w:r w:rsidR="00963942">
        <w:rPr>
          <w:rFonts w:cs="Tahoma"/>
          <w:color w:val="000000"/>
          <w:szCs w:val="18"/>
          <w:lang w:val="de-DE"/>
        </w:rPr>
        <w:t> </w:t>
      </w:r>
      <w:r w:rsidRPr="00571807">
        <w:rPr>
          <w:rFonts w:cs="Tahoma"/>
          <w:color w:val="000000"/>
          <w:szCs w:val="18"/>
          <w:lang w:val="de-DE"/>
        </w:rPr>
        <w:t>Managed Custom Folder ist dagegen eine Enterprise-CAL oder eine gleichwertige CAL für Exchange</w:t>
      </w:r>
      <w:r w:rsidR="00963942">
        <w:rPr>
          <w:rFonts w:cs="Tahoma"/>
          <w:color w:val="000000"/>
          <w:szCs w:val="18"/>
          <w:lang w:val="de-DE"/>
        </w:rPr>
        <w:t> </w:t>
      </w:r>
      <w:r w:rsidRPr="00571807">
        <w:rPr>
          <w:rFonts w:cs="Tahoma"/>
          <w:color w:val="000000"/>
          <w:szCs w:val="18"/>
          <w:lang w:val="de-DE"/>
        </w:rPr>
        <w:t>Server 2010 erforderlich</w:t>
      </w:r>
      <w:r w:rsidR="006257A7">
        <w:rPr>
          <w:rFonts w:cs="Tahoma"/>
          <w:color w:val="000000"/>
          <w:szCs w:val="18"/>
          <w:lang w:val="de-DE"/>
        </w:rPr>
        <w:t xml:space="preserve">. </w:t>
      </w:r>
    </w:p>
    <w:p w:rsidR="00E73313" w:rsidRPr="00571807" w:rsidRDefault="00E73313" w:rsidP="00E73313">
      <w:pPr>
        <w:ind w:left="720"/>
        <w:rPr>
          <w:lang w:val="de-DE"/>
        </w:rPr>
      </w:pPr>
    </w:p>
    <w:p w:rsidR="00E73313" w:rsidRPr="00571807" w:rsidRDefault="00E73313" w:rsidP="00E73313">
      <w:pPr>
        <w:spacing w:after="60"/>
        <w:ind w:left="720"/>
        <w:rPr>
          <w:lang w:val="de-DE"/>
        </w:rPr>
      </w:pPr>
      <w:r w:rsidRPr="00571807">
        <w:rPr>
          <w:rFonts w:cs="Tahoma"/>
          <w:b/>
          <w:color w:val="000000"/>
          <w:szCs w:val="18"/>
          <w:lang w:val="de-DE"/>
        </w:rPr>
        <w:t>Suche in mehreren Postfächern lizenziert mit Standard-CAL für Exchange Server 2010</w:t>
      </w:r>
    </w:p>
    <w:p w:rsidR="00E73313" w:rsidRPr="00571807" w:rsidRDefault="00E73313" w:rsidP="00E73313">
      <w:pPr>
        <w:ind w:left="720"/>
        <w:rPr>
          <w:lang w:val="de-DE"/>
        </w:rPr>
      </w:pPr>
      <w:r w:rsidRPr="00571807">
        <w:rPr>
          <w:rFonts w:cs="Tahoma"/>
          <w:bCs/>
          <w:szCs w:val="20"/>
          <w:lang w:val="de-DE"/>
        </w:rPr>
        <w:t>Die Nutzungsrechte für Exchange Server 2010 werden insoweit aktualisiert, dass das Recht, auf die postfachübergreifende Suche in Exchange Server 2010 zuzugreifen, unter Exchange Server 2010 Standard und äquivalenten CALs gewährt wird</w:t>
      </w:r>
      <w:r w:rsidR="006257A7">
        <w:rPr>
          <w:rFonts w:cs="Tahoma"/>
          <w:bCs/>
          <w:szCs w:val="20"/>
          <w:lang w:val="de-DE"/>
        </w:rPr>
        <w:t xml:space="preserve">. </w:t>
      </w:r>
      <w:r w:rsidRPr="00571807">
        <w:rPr>
          <w:rFonts w:cs="Tahoma"/>
          <w:bCs/>
          <w:szCs w:val="20"/>
          <w:lang w:val="de-DE"/>
        </w:rPr>
        <w:t>Diese Aktualisierung gilt für alle Exchange Server 2010-Lizenzen</w:t>
      </w:r>
      <w:r w:rsidR="006257A7">
        <w:rPr>
          <w:rFonts w:cs="Tahoma"/>
          <w:bCs/>
          <w:szCs w:val="20"/>
          <w:lang w:val="de-DE"/>
        </w:rPr>
        <w:t xml:space="preserve">. </w:t>
      </w:r>
    </w:p>
    <w:p w:rsidR="00E73313" w:rsidRPr="00571807" w:rsidRDefault="00E73313" w:rsidP="00E73313">
      <w:pPr>
        <w:ind w:left="720"/>
        <w:rPr>
          <w:lang w:val="de-DE"/>
        </w:rPr>
      </w:pPr>
    </w:p>
    <w:p w:rsidR="00E73313" w:rsidRPr="00571807" w:rsidRDefault="00E73313" w:rsidP="00E73313">
      <w:pPr>
        <w:spacing w:after="60"/>
        <w:ind w:left="720"/>
        <w:rPr>
          <w:lang w:val="de-DE"/>
        </w:rPr>
      </w:pPr>
      <w:r w:rsidRPr="00571807">
        <w:rPr>
          <w:rFonts w:cs="Tahoma"/>
          <w:b/>
          <w:color w:val="000000"/>
          <w:szCs w:val="18"/>
          <w:lang w:val="de-DE"/>
        </w:rPr>
        <w:t>CALs für Studenten (Open- und Select-Lizenz für Forschung &amp; Lehre)</w:t>
      </w:r>
    </w:p>
    <w:p w:rsidR="00E73313" w:rsidRPr="00571807" w:rsidRDefault="00E73313" w:rsidP="00963942">
      <w:pPr>
        <w:ind w:left="720"/>
        <w:rPr>
          <w:lang w:val="de-DE"/>
        </w:rPr>
      </w:pPr>
      <w:r w:rsidRPr="00571807">
        <w:rPr>
          <w:rFonts w:cs="Tahoma"/>
          <w:szCs w:val="20"/>
          <w:lang w:val="de-DE"/>
        </w:rPr>
        <w:t>CALs für Studenten dienen nur der Lizenzierung von PCs, die Studenten oder Einrichtungen gehören und die</w:t>
      </w:r>
      <w:r w:rsidR="00963942">
        <w:rPr>
          <w:rFonts w:cs="Tahoma"/>
          <w:szCs w:val="20"/>
          <w:lang w:val="de-DE"/>
        </w:rPr>
        <w:t> </w:t>
      </w:r>
      <w:r w:rsidRPr="00571807">
        <w:rPr>
          <w:rFonts w:cs="Tahoma"/>
          <w:szCs w:val="20"/>
          <w:lang w:val="de-DE"/>
        </w:rPr>
        <w:t>ausschließlich für die individuelle studentische Nutzung und NICHT für die Nutzung in einem Labor oder Hörsaal bestimmt sind</w:t>
      </w:r>
      <w:r w:rsidR="006257A7">
        <w:rPr>
          <w:rFonts w:cs="Tahoma"/>
          <w:szCs w:val="20"/>
          <w:lang w:val="de-DE"/>
        </w:rPr>
        <w:t xml:space="preserve">. </w:t>
      </w:r>
    </w:p>
    <w:p w:rsidR="00E73313" w:rsidRPr="00571807" w:rsidRDefault="00E73313" w:rsidP="00E73313">
      <w:pPr>
        <w:rPr>
          <w:lang w:val="de-DE"/>
        </w:rPr>
      </w:pPr>
      <w:bookmarkStart w:id="1296" w:name="Srv_43ExchangeSvr07StdCAL"/>
      <w:bookmarkStart w:id="1297" w:name="Srv_44ExchangeSvr2010StdCAL"/>
    </w:p>
    <w:p w:rsidR="00E73313" w:rsidRPr="00571807" w:rsidRDefault="00E73313" w:rsidP="00E73313">
      <w:pPr>
        <w:rPr>
          <w:lang w:val="de-DE"/>
        </w:rPr>
      </w:pPr>
    </w:p>
    <w:p w:rsidR="00E73313" w:rsidRPr="00571807" w:rsidRDefault="00E73313" w:rsidP="00E73313">
      <w:pPr>
        <w:pStyle w:val="Heading3"/>
        <w:rPr>
          <w:lang w:val="de-DE"/>
        </w:rPr>
      </w:pPr>
      <w:bookmarkStart w:id="1298" w:name="_53_Forefront_Endpoint"/>
      <w:bookmarkStart w:id="1299" w:name="_59_Forefront_Endpoint"/>
      <w:bookmarkStart w:id="1300" w:name="_60_Forefront_Endpoint"/>
      <w:bookmarkStart w:id="1301" w:name="_Toc336338314"/>
      <w:bookmarkStart w:id="1302" w:name="_Toc363999057"/>
      <w:bookmarkStart w:id="1303" w:name="Srv_51ForfrontEndpointProtection"/>
      <w:bookmarkStart w:id="1304" w:name="Srv_50ForfrontEndpointProtection"/>
      <w:bookmarkStart w:id="1305" w:name="Srv_42ExchangeSvr07StdCAL"/>
      <w:bookmarkEnd w:id="1298"/>
      <w:bookmarkEnd w:id="1299"/>
      <w:bookmarkEnd w:id="1300"/>
      <w:r w:rsidRPr="00571807">
        <w:rPr>
          <w:rFonts w:ascii="Tahoma" w:hAnsi="Tahoma"/>
          <w:caps/>
          <w:color w:val="F66400"/>
          <w:sz w:val="22"/>
          <w:vertAlign w:val="superscript"/>
          <w:lang w:val="de-DE"/>
        </w:rPr>
        <w:t>60</w:t>
      </w:r>
      <w:r w:rsidRPr="00571807">
        <w:rPr>
          <w:rFonts w:ascii="Tahoma" w:hAnsi="Tahoma"/>
          <w:color w:val="F66400"/>
          <w:sz w:val="22"/>
          <w:lang w:val="de-DE"/>
        </w:rPr>
        <w:t xml:space="preserve"> Forefront Endpoint Protection</w:t>
      </w:r>
      <w:bookmarkEnd w:id="1301"/>
      <w:bookmarkEnd w:id="1302"/>
    </w:p>
    <w:bookmarkEnd w:id="1303"/>
    <w:bookmarkEnd w:id="1304"/>
    <w:p w:rsidR="00E73313" w:rsidRPr="00571807" w:rsidRDefault="00E73313" w:rsidP="00E73313">
      <w:pPr>
        <w:ind w:left="720"/>
        <w:rPr>
          <w:lang w:val="de-DE"/>
        </w:rPr>
      </w:pPr>
    </w:p>
    <w:p w:rsidR="00E73313" w:rsidRPr="00571807" w:rsidRDefault="00E73313" w:rsidP="00963942">
      <w:pPr>
        <w:tabs>
          <w:tab w:val="left" w:pos="1920"/>
        </w:tabs>
        <w:ind w:left="720"/>
        <w:rPr>
          <w:lang w:val="de-DE"/>
        </w:rPr>
      </w:pPr>
      <w:r w:rsidRPr="00571807">
        <w:rPr>
          <w:lang w:val="de-DE"/>
        </w:rPr>
        <w:t>Mit Wirkung vom 1</w:t>
      </w:r>
      <w:r w:rsidR="006257A7">
        <w:rPr>
          <w:lang w:val="de-DE"/>
        </w:rPr>
        <w:t xml:space="preserve">. </w:t>
      </w:r>
      <w:r w:rsidRPr="00571807">
        <w:rPr>
          <w:lang w:val="de-DE"/>
        </w:rPr>
        <w:t xml:space="preserve">April 2012 </w:t>
      </w:r>
      <w:r w:rsidRPr="00571807">
        <w:rPr>
          <w:rFonts w:eastAsia="Calibri" w:cs="Tahoma"/>
          <w:szCs w:val="18"/>
          <w:lang w:val="de-DE"/>
        </w:rPr>
        <w:t xml:space="preserve">wird Forefront Endpoint Protection als Angebot für Clientschutz durch </w:t>
      </w:r>
      <w:r w:rsidRPr="00571807">
        <w:rPr>
          <w:lang w:val="de-DE"/>
        </w:rPr>
        <w:t>System</w:t>
      </w:r>
      <w:r w:rsidR="00963942">
        <w:rPr>
          <w:lang w:val="de-DE"/>
        </w:rPr>
        <w:t> </w:t>
      </w:r>
      <w:r w:rsidRPr="00571807">
        <w:rPr>
          <w:lang w:val="de-DE"/>
        </w:rPr>
        <w:t>Center 2012 Endpoint Protection ersetzt</w:t>
      </w:r>
      <w:r w:rsidR="006257A7">
        <w:rPr>
          <w:lang w:val="de-DE"/>
        </w:rPr>
        <w:t xml:space="preserve">. </w:t>
      </w:r>
      <w:r w:rsidRPr="00571807">
        <w:rPr>
          <w:lang w:val="de-DE"/>
        </w:rPr>
        <w:t>System Center 2012 Endpoint Protection gewährt als eigenständiges Angebot nur Rechte zum Schutz von Clientgeräten</w:t>
      </w:r>
      <w:r w:rsidR="006257A7">
        <w:rPr>
          <w:lang w:val="de-DE"/>
        </w:rPr>
        <w:t xml:space="preserve">. </w:t>
      </w:r>
      <w:r w:rsidRPr="00571807">
        <w:rPr>
          <w:lang w:val="de-DE"/>
        </w:rPr>
        <w:t>Nutzungsrechte zum Schutz von Servergeräten können nur durch Erwerb von Management-Lizenzen für System Center 2012 Standard oder</w:t>
      </w:r>
      <w:r w:rsidR="00963942">
        <w:rPr>
          <w:lang w:val="de-DE"/>
        </w:rPr>
        <w:t> </w:t>
      </w:r>
      <w:r w:rsidRPr="00571807">
        <w:rPr>
          <w:lang w:val="de-DE"/>
        </w:rPr>
        <w:t>Datacenter erworben werden</w:t>
      </w:r>
      <w:r w:rsidR="006257A7">
        <w:rPr>
          <w:lang w:val="de-DE"/>
        </w:rPr>
        <w:t xml:space="preserve">. </w:t>
      </w:r>
    </w:p>
    <w:p w:rsidR="00E73313" w:rsidRPr="00571807" w:rsidRDefault="00E73313" w:rsidP="00E73313">
      <w:pPr>
        <w:tabs>
          <w:tab w:val="left" w:pos="1920"/>
        </w:tabs>
        <w:ind w:left="720"/>
        <w:rPr>
          <w:lang w:val="de-DE"/>
        </w:rPr>
      </w:pPr>
    </w:p>
    <w:p w:rsidR="00E73313" w:rsidRPr="00571807" w:rsidRDefault="00E73313" w:rsidP="00E73313">
      <w:pPr>
        <w:tabs>
          <w:tab w:val="left" w:pos="1920"/>
        </w:tabs>
        <w:ind w:left="720"/>
        <w:rPr>
          <w:lang w:val="de-DE"/>
        </w:rPr>
      </w:pPr>
      <w:r w:rsidRPr="00571807">
        <w:rPr>
          <w:rFonts w:eastAsia="Calibri" w:cs="Tahoma"/>
          <w:szCs w:val="18"/>
          <w:lang w:val="de-DE"/>
        </w:rPr>
        <w:t>Nutzer, die über aktive Forefront Endpoint Protection-Abonnements</w:t>
      </w:r>
      <w:r w:rsidRPr="00571807">
        <w:rPr>
          <w:lang w:val="de-DE"/>
        </w:rPr>
        <w:t xml:space="preserve"> verfügen und den Dienst zum Schutz von Clientgeräten nutzen, können ein Upgrade auf System Center 2012 Endpoint Protection für denselben Zweck durchführen</w:t>
      </w:r>
      <w:r w:rsidR="006257A7">
        <w:rPr>
          <w:lang w:val="de-DE"/>
        </w:rPr>
        <w:t xml:space="preserve">. </w:t>
      </w:r>
    </w:p>
    <w:p w:rsidR="00E73313" w:rsidRPr="00571807" w:rsidRDefault="00E73313" w:rsidP="00E73313">
      <w:pPr>
        <w:tabs>
          <w:tab w:val="left" w:pos="1920"/>
        </w:tabs>
        <w:ind w:left="720"/>
        <w:rPr>
          <w:lang w:val="de-DE"/>
        </w:rPr>
      </w:pPr>
    </w:p>
    <w:p w:rsidR="00E73313" w:rsidRPr="00571807" w:rsidRDefault="00E73313" w:rsidP="00E73313">
      <w:pPr>
        <w:tabs>
          <w:tab w:val="left" w:pos="1920"/>
        </w:tabs>
        <w:ind w:left="720"/>
        <w:rPr>
          <w:lang w:val="de-DE"/>
        </w:rPr>
      </w:pPr>
      <w:r w:rsidRPr="00571807">
        <w:rPr>
          <w:rFonts w:eastAsia="Calibri" w:cs="Tahoma"/>
          <w:szCs w:val="18"/>
          <w:lang w:val="de-DE"/>
        </w:rPr>
        <w:t>Nutzer, die über aktive Forefront Endpoint Protection-Abonnements</w:t>
      </w:r>
      <w:r w:rsidRPr="00571807">
        <w:rPr>
          <w:lang w:val="de-DE"/>
        </w:rPr>
        <w:t xml:space="preserve"> verfügen und den Dienst zum Schutz von Servergeräten nutzen, sind berechtigt, den Forefront Endpoint Protection-Dienst weiterhin zu verwenden</w:t>
      </w:r>
      <w:r w:rsidR="006257A7">
        <w:rPr>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eastAsia="Calibri" w:cs="Tahoma"/>
          <w:szCs w:val="18"/>
          <w:lang w:val="de-DE"/>
        </w:rPr>
        <w:t>System Center Configuration Manager 2007 R2 oder R3 ist die Verwaltungskonsole für Forefront Endpoint Protection 2010</w:t>
      </w:r>
      <w:r w:rsidR="006257A7">
        <w:rPr>
          <w:rFonts w:eastAsia="Calibri" w:cs="Tahoma"/>
          <w:szCs w:val="18"/>
          <w:lang w:val="de-DE"/>
        </w:rPr>
        <w:t xml:space="preserve">. </w:t>
      </w:r>
      <w:r w:rsidRPr="00571807">
        <w:rPr>
          <w:rFonts w:eastAsia="Calibri" w:cs="Tahoma"/>
          <w:szCs w:val="18"/>
          <w:lang w:val="de-DE"/>
        </w:rPr>
        <w:t>Kunden müssen für System Center Configuration Manager 2007 R2 oder R3 lizenziert sein, um Forefront Endpoint Protection 2010 verwalten zu können</w:t>
      </w:r>
      <w:r w:rsidR="006257A7">
        <w:rPr>
          <w:rFonts w:eastAsia="Calibri" w:cs="Tahoma"/>
          <w:szCs w:val="18"/>
          <w:lang w:val="de-DE"/>
        </w:rPr>
        <w:t xml:space="preserve">. </w:t>
      </w:r>
      <w:r w:rsidRPr="00571807">
        <w:rPr>
          <w:rFonts w:eastAsia="Calibri" w:cs="Tahoma"/>
          <w:szCs w:val="18"/>
          <w:lang w:val="de-DE"/>
        </w:rPr>
        <w:t>Forefront Endpoint Protection 2010 kann unverwaltet verwendet werden, ohne dass System Center Configuration Manager lizenziert werden muss</w:t>
      </w:r>
      <w:r w:rsidR="006257A7">
        <w:rPr>
          <w:rFonts w:eastAsia="Calibri" w:cs="Tahoma"/>
          <w:szCs w:val="18"/>
          <w:lang w:val="de-DE"/>
        </w:rPr>
        <w:t xml:space="preserve">. </w:t>
      </w:r>
    </w:p>
    <w:p w:rsidR="00E73313" w:rsidRPr="00571807" w:rsidRDefault="00E73313" w:rsidP="00E73313">
      <w:pPr>
        <w:ind w:left="720"/>
        <w:rPr>
          <w:lang w:val="de-DE"/>
        </w:rPr>
      </w:pPr>
    </w:p>
    <w:p w:rsidR="00E73313" w:rsidRPr="00571807" w:rsidRDefault="00E73313" w:rsidP="00E73313">
      <w:pPr>
        <w:spacing w:after="60"/>
        <w:ind w:left="720"/>
        <w:rPr>
          <w:lang w:val="de-DE"/>
        </w:rPr>
      </w:pPr>
      <w:r w:rsidRPr="00571807">
        <w:rPr>
          <w:rFonts w:eastAsia="Calibri" w:cs="Tahoma"/>
          <w:b/>
          <w:szCs w:val="18"/>
          <w:lang w:val="de-DE"/>
        </w:rPr>
        <w:t>Heimnutzung</w:t>
      </w:r>
    </w:p>
    <w:p w:rsidR="00E73313" w:rsidRPr="00571807" w:rsidRDefault="00E73313" w:rsidP="00963942">
      <w:pPr>
        <w:ind w:left="720"/>
        <w:rPr>
          <w:lang w:val="de-DE"/>
        </w:rPr>
      </w:pPr>
      <w:r w:rsidRPr="00571807">
        <w:rPr>
          <w:rFonts w:eastAsia="Calibri" w:cs="Tahoma"/>
          <w:szCs w:val="18"/>
          <w:lang w:val="de-DE"/>
        </w:rPr>
        <w:t>Kunden mit aktuellen Nutzer-Abonnementlizenzen für Forefront Endpoint Protection 2010 sind für das Home</w:t>
      </w:r>
      <w:r w:rsidR="00963942">
        <w:rPr>
          <w:rFonts w:eastAsia="Calibri" w:cs="Tahoma"/>
          <w:szCs w:val="18"/>
          <w:lang w:val="de-DE"/>
        </w:rPr>
        <w:t> </w:t>
      </w:r>
      <w:r w:rsidRPr="00571807">
        <w:rPr>
          <w:rFonts w:eastAsia="Calibri" w:cs="Tahoma"/>
          <w:szCs w:val="18"/>
          <w:lang w:val="de-DE"/>
        </w:rPr>
        <w:t>Use Program qualifiziert</w:t>
      </w:r>
      <w:r w:rsidR="006257A7">
        <w:rPr>
          <w:rFonts w:eastAsia="Calibri" w:cs="Tahoma"/>
          <w:szCs w:val="18"/>
          <w:lang w:val="de-DE"/>
        </w:rPr>
        <w:t xml:space="preserve">. </w:t>
      </w:r>
    </w:p>
    <w:p w:rsidR="00E73313" w:rsidRPr="00571807" w:rsidRDefault="00E73313" w:rsidP="00E73313">
      <w:pPr>
        <w:rPr>
          <w:lang w:val="de-DE"/>
        </w:rPr>
      </w:pPr>
      <w:bookmarkStart w:id="1306" w:name="_Toc254758297"/>
      <w:bookmarkStart w:id="1307" w:name="Srv_44ForefrontOnSecforExch"/>
      <w:bookmarkStart w:id="1308" w:name="Srv_43ForefrontOnSecforExch"/>
      <w:bookmarkEnd w:id="1296"/>
      <w:bookmarkEnd w:id="1297"/>
      <w:bookmarkEnd w:id="1305"/>
    </w:p>
    <w:p w:rsidR="00E73313" w:rsidRPr="00571807" w:rsidRDefault="00E73313" w:rsidP="00E73313">
      <w:pPr>
        <w:rPr>
          <w:lang w:val="de-DE"/>
        </w:rPr>
      </w:pPr>
    </w:p>
    <w:p w:rsidR="00E73313" w:rsidRPr="00571807" w:rsidRDefault="00E73313" w:rsidP="00E73313">
      <w:pPr>
        <w:pStyle w:val="Heading3"/>
        <w:rPr>
          <w:lang w:val="de-DE"/>
        </w:rPr>
      </w:pPr>
      <w:bookmarkStart w:id="1309" w:name="_54_Forefront_Identity"/>
      <w:bookmarkStart w:id="1310" w:name="_60_Forefront_Identity"/>
      <w:bookmarkStart w:id="1311" w:name="_Toc336338315"/>
      <w:bookmarkStart w:id="1312" w:name="_Toc363999058"/>
      <w:bookmarkStart w:id="1313" w:name="Srv_43ForefrontIdMgr2010"/>
      <w:bookmarkStart w:id="1314" w:name="Srv_48ForefrontIdMgr2010"/>
      <w:bookmarkStart w:id="1315" w:name="Srv_45ForefrontIdMgr2010"/>
      <w:bookmarkEnd w:id="1309"/>
      <w:bookmarkEnd w:id="1310"/>
      <w:r w:rsidRPr="00571807">
        <w:rPr>
          <w:rFonts w:ascii="Tahoma" w:hAnsi="Tahoma"/>
          <w:caps/>
          <w:color w:val="F66400"/>
          <w:sz w:val="22"/>
          <w:vertAlign w:val="superscript"/>
          <w:lang w:val="de-DE"/>
        </w:rPr>
        <w:t>61</w:t>
      </w:r>
      <w:r w:rsidRPr="00963942">
        <w:rPr>
          <w:rFonts w:ascii="Tahoma" w:hAnsi="Tahoma"/>
          <w:caps/>
          <w:color w:val="F66400"/>
          <w:sz w:val="22"/>
          <w:lang w:val="de-DE"/>
        </w:rPr>
        <w:t xml:space="preserve"> </w:t>
      </w:r>
      <w:r w:rsidRPr="00571807">
        <w:rPr>
          <w:rFonts w:ascii="Tahoma" w:hAnsi="Tahoma"/>
          <w:color w:val="F66400"/>
          <w:sz w:val="22"/>
          <w:lang w:val="de-DE"/>
        </w:rPr>
        <w:t>Forefront Identity Manager 2010</w:t>
      </w:r>
      <w:bookmarkEnd w:id="1306"/>
      <w:r w:rsidRPr="00571807">
        <w:rPr>
          <w:rFonts w:ascii="Tahoma" w:hAnsi="Tahoma"/>
          <w:color w:val="F66400"/>
          <w:sz w:val="22"/>
          <w:lang w:val="de-DE"/>
        </w:rPr>
        <w:t xml:space="preserve"> R2</w:t>
      </w:r>
      <w:bookmarkEnd w:id="1311"/>
      <w:bookmarkEnd w:id="1312"/>
    </w:p>
    <w:bookmarkEnd w:id="1313"/>
    <w:bookmarkEnd w:id="1314"/>
    <w:bookmarkEnd w:id="1315"/>
    <w:p w:rsidR="00E73313" w:rsidRPr="00571807" w:rsidRDefault="00E73313" w:rsidP="00E73313">
      <w:pPr>
        <w:ind w:left="720"/>
        <w:rPr>
          <w:lang w:val="de-DE"/>
        </w:rPr>
      </w:pPr>
    </w:p>
    <w:p w:rsidR="00E73313" w:rsidRPr="00571807" w:rsidRDefault="00E73313" w:rsidP="00E73313">
      <w:pPr>
        <w:spacing w:after="60"/>
        <w:ind w:left="720"/>
        <w:rPr>
          <w:lang w:val="de-DE"/>
        </w:rPr>
      </w:pPr>
      <w:r w:rsidRPr="00571807">
        <w:rPr>
          <w:rFonts w:cs="Tahoma"/>
          <w:b/>
          <w:color w:val="000000"/>
          <w:szCs w:val="18"/>
          <w:lang w:val="de-DE"/>
        </w:rPr>
        <w:t>Version</w:t>
      </w:r>
    </w:p>
    <w:p w:rsidR="00E73313" w:rsidRPr="00571807" w:rsidRDefault="00E73313" w:rsidP="00E73313">
      <w:pPr>
        <w:ind w:left="720"/>
        <w:rPr>
          <w:lang w:val="de-DE"/>
        </w:rPr>
      </w:pPr>
      <w:r w:rsidRPr="00571807">
        <w:rPr>
          <w:rFonts w:cs="Tahoma"/>
          <w:color w:val="000000"/>
          <w:szCs w:val="18"/>
          <w:lang w:val="de-DE"/>
        </w:rPr>
        <w:t>Forefront Identity Manager 2010 R2 ist die nächste Version von Forefront Identity Manager 2010</w:t>
      </w:r>
      <w:r w:rsidR="006257A7">
        <w:rPr>
          <w:rFonts w:cs="Tahoma"/>
          <w:color w:val="000000"/>
          <w:szCs w:val="18"/>
          <w:lang w:val="de-DE"/>
        </w:rPr>
        <w:t xml:space="preserve">. </w:t>
      </w:r>
    </w:p>
    <w:p w:rsidR="00E73313" w:rsidRPr="00571807" w:rsidRDefault="00E73313" w:rsidP="00E73313">
      <w:pPr>
        <w:rPr>
          <w:lang w:val="de-DE"/>
        </w:rPr>
      </w:pPr>
    </w:p>
    <w:p w:rsidR="00E73313" w:rsidRPr="00571807" w:rsidRDefault="00E73313" w:rsidP="00E73313">
      <w:pPr>
        <w:rPr>
          <w:lang w:val="de-DE"/>
        </w:rPr>
      </w:pPr>
    </w:p>
    <w:p w:rsidR="00E73313" w:rsidRPr="0062435A" w:rsidRDefault="00E73313" w:rsidP="00E73313">
      <w:pPr>
        <w:pStyle w:val="Heading2"/>
        <w:ind w:left="0"/>
      </w:pPr>
      <w:bookmarkStart w:id="1316" w:name="_55_Forefront_Identity"/>
      <w:bookmarkStart w:id="1317" w:name="_61_Forefront_Identity"/>
      <w:bookmarkStart w:id="1318" w:name="_62_Forefront_Identity"/>
      <w:bookmarkStart w:id="1319" w:name="_Toc336338316"/>
      <w:bookmarkStart w:id="1320" w:name="Srv_54ForefrontIDMgrWinLiveEd"/>
      <w:bookmarkStart w:id="1321" w:name="_Toc363999059"/>
      <w:bookmarkStart w:id="1322" w:name="Srv_46ForefrontOnlineProforExch"/>
      <w:bookmarkEnd w:id="1316"/>
      <w:bookmarkEnd w:id="1317"/>
      <w:bookmarkEnd w:id="1318"/>
      <w:r>
        <w:rPr>
          <w:rFonts w:ascii="Tahoma" w:hAnsi="Tahoma" w:cs="Tahoma"/>
          <w:caps/>
          <w:color w:val="F26200"/>
          <w:sz w:val="20"/>
          <w:vertAlign w:val="superscript"/>
        </w:rPr>
        <w:t>62</w:t>
      </w:r>
      <w:r>
        <w:rPr>
          <w:rFonts w:ascii="Tahoma" w:hAnsi="Tahoma" w:cs="Tahoma"/>
          <w:color w:val="F26200"/>
        </w:rPr>
        <w:t xml:space="preserve"> </w:t>
      </w:r>
      <w:r>
        <w:rPr>
          <w:rFonts w:ascii="Tahoma" w:hAnsi="Tahoma" w:cs="Tahoma"/>
          <w:color w:val="F26200"/>
          <w:sz w:val="22"/>
        </w:rPr>
        <w:t>Forefront Identity Manager 2010 – Windows Live Edition</w:t>
      </w:r>
      <w:bookmarkEnd w:id="1319"/>
      <w:bookmarkEnd w:id="1320"/>
      <w:bookmarkEnd w:id="1321"/>
    </w:p>
    <w:p w:rsidR="00E73313" w:rsidRPr="0062435A" w:rsidRDefault="00E73313" w:rsidP="00E73313"/>
    <w:p w:rsidR="00E73313" w:rsidRPr="0062435A" w:rsidRDefault="00E73313" w:rsidP="00E73313">
      <w:pPr>
        <w:spacing w:after="60"/>
        <w:ind w:left="720"/>
      </w:pPr>
      <w:r>
        <w:rPr>
          <w:rFonts w:cs="Tahoma"/>
          <w:b/>
          <w:color w:val="000000"/>
          <w:szCs w:val="18"/>
        </w:rPr>
        <w:t>Version</w:t>
      </w:r>
    </w:p>
    <w:p w:rsidR="00E73313" w:rsidRDefault="00E73313" w:rsidP="00E73313">
      <w:pPr>
        <w:ind w:left="720"/>
        <w:rPr>
          <w:color w:val="000000"/>
        </w:rPr>
      </w:pPr>
      <w:r>
        <w:rPr>
          <w:color w:val="000000"/>
        </w:rPr>
        <w:t>Forefront Identity Manager 2010 – Windows Live Edition ist die nächste Version von Identity Lifecycle Manager 2007 – Windows Live Edition</w:t>
      </w:r>
      <w:r w:rsidR="006257A7">
        <w:rPr>
          <w:color w:val="000000"/>
        </w:rPr>
        <w:t xml:space="preserve">. </w:t>
      </w:r>
    </w:p>
    <w:p w:rsidR="00E73313" w:rsidRPr="001742B1" w:rsidRDefault="00E73313" w:rsidP="00E73313">
      <w:pPr>
        <w:pStyle w:val="Heading3"/>
      </w:pPr>
      <w:bookmarkStart w:id="1323" w:name="_59_Forefront_Online"/>
      <w:bookmarkStart w:id="1324" w:name="_62_Forefront_Online"/>
      <w:bookmarkStart w:id="1325" w:name="_63_Forefront_Online"/>
      <w:bookmarkStart w:id="1326" w:name="_Toc336338317"/>
      <w:bookmarkStart w:id="1327" w:name="_Toc343596542"/>
      <w:bookmarkStart w:id="1328" w:name="_Toc363999060"/>
      <w:bookmarkEnd w:id="1323"/>
      <w:bookmarkEnd w:id="1324"/>
      <w:bookmarkEnd w:id="1325"/>
      <w:r w:rsidRPr="001742B1">
        <w:rPr>
          <w:rFonts w:ascii="Tahoma" w:hAnsi="Tahoma"/>
          <w:caps/>
          <w:color w:val="F66400"/>
          <w:sz w:val="22"/>
          <w:vertAlign w:val="superscript"/>
        </w:rPr>
        <w:t>63</w:t>
      </w:r>
      <w:r w:rsidRPr="001742B1">
        <w:rPr>
          <w:rFonts w:ascii="Tahoma" w:hAnsi="Tahoma"/>
          <w:color w:val="F66400"/>
          <w:sz w:val="22"/>
        </w:rPr>
        <w:t xml:space="preserve"> Forefront Online Protection für Exchange (Geräte- und Nutzer-AL)</w:t>
      </w:r>
      <w:bookmarkEnd w:id="1326"/>
      <w:bookmarkEnd w:id="1327"/>
      <w:bookmarkEnd w:id="1328"/>
    </w:p>
    <w:p w:rsidR="00E73313" w:rsidRPr="001742B1" w:rsidRDefault="00E73313" w:rsidP="00E73313">
      <w:pPr>
        <w:pStyle w:val="EndnoteText"/>
        <w:tabs>
          <w:tab w:val="center" w:pos="5306"/>
        </w:tabs>
        <w:ind w:left="0"/>
      </w:pPr>
    </w:p>
    <w:p w:rsidR="00E73313" w:rsidRPr="00571807" w:rsidRDefault="00E73313" w:rsidP="00E73313">
      <w:pPr>
        <w:spacing w:after="200" w:line="276" w:lineRule="auto"/>
        <w:ind w:left="720"/>
        <w:rPr>
          <w:lang w:val="de-DE"/>
        </w:rPr>
      </w:pPr>
      <w:r w:rsidRPr="00571807">
        <w:rPr>
          <w:rFonts w:eastAsia="Calibri" w:cs="Tahoma"/>
          <w:bCs/>
          <w:color w:val="000000"/>
          <w:szCs w:val="18"/>
          <w:lang w:val="de-DE"/>
        </w:rPr>
        <w:t>Kunden mit einer Lizenz für Forefront Online Security für Exchange (bisher Exchange Hosted Filtering)</w:t>
      </w:r>
      <w:r w:rsidRPr="00571807">
        <w:rPr>
          <w:rFonts w:eastAsia="Calibri" w:cs="Tahoma"/>
          <w:bCs/>
          <w:color w:val="FF0000"/>
          <w:szCs w:val="18"/>
          <w:lang w:val="de-DE"/>
        </w:rPr>
        <w:t xml:space="preserve"> </w:t>
      </w:r>
      <w:r w:rsidRPr="00571807">
        <w:rPr>
          <w:rFonts w:eastAsia="Calibri" w:cs="Tahoma"/>
          <w:bCs/>
          <w:color w:val="000000"/>
          <w:szCs w:val="18"/>
          <w:lang w:val="de-DE"/>
        </w:rPr>
        <w:t>verwenden für weitere Bestellungen denselben aktiven Select-Vertrag, Konzernvertrag oder Open Value-Vertrag wie bei der Anfangsbestellung</w:t>
      </w:r>
      <w:r w:rsidR="006257A7">
        <w:rPr>
          <w:rFonts w:eastAsia="Calibri" w:cs="Tahoma"/>
          <w:bCs/>
          <w:color w:val="000000"/>
          <w:szCs w:val="18"/>
          <w:lang w:val="de-DE"/>
        </w:rPr>
        <w:t xml:space="preserve">. </w:t>
      </w:r>
    </w:p>
    <w:p w:rsidR="00E73313" w:rsidRPr="00571807" w:rsidRDefault="00E73313" w:rsidP="00E73313">
      <w:pPr>
        <w:ind w:left="720"/>
        <w:rPr>
          <w:lang w:val="de-DE"/>
        </w:rPr>
      </w:pPr>
      <w:r w:rsidRPr="00571807">
        <w:rPr>
          <w:rFonts w:cs="Tahoma"/>
          <w:bCs/>
          <w:color w:val="000000"/>
          <w:szCs w:val="18"/>
          <w:lang w:val="de-DE"/>
        </w:rPr>
        <w:t>Da dieser Onlinedienst nach Domäne bereitgestellt wird, benötigen alle Nutzer (oder Geräte) in einer Domäne Nutzer- (oder Geräte-)</w:t>
      </w:r>
      <w:r w:rsidR="003A4746">
        <w:rPr>
          <w:rFonts w:cs="Tahoma"/>
          <w:bCs/>
          <w:color w:val="000000"/>
          <w:szCs w:val="18"/>
          <w:lang w:val="de-DE"/>
        </w:rPr>
        <w:t xml:space="preserve"> </w:t>
      </w:r>
      <w:r w:rsidRPr="00571807">
        <w:rPr>
          <w:rFonts w:cs="Tahoma"/>
          <w:bCs/>
          <w:color w:val="000000"/>
          <w:szCs w:val="18"/>
          <w:lang w:val="de-DE"/>
        </w:rPr>
        <w:t>ALs</w:t>
      </w:r>
      <w:r w:rsidR="006257A7">
        <w:rPr>
          <w:rFonts w:cs="Tahoma"/>
          <w:bCs/>
          <w:color w:val="000000"/>
          <w:szCs w:val="18"/>
          <w:lang w:val="de-DE"/>
        </w:rPr>
        <w:t xml:space="preserve">. </w:t>
      </w:r>
      <w:r w:rsidRPr="00571807">
        <w:rPr>
          <w:rFonts w:cs="Tahoma"/>
          <w:bCs/>
          <w:color w:val="000000"/>
          <w:szCs w:val="18"/>
          <w:lang w:val="de-DE"/>
        </w:rPr>
        <w:t>Kunden, die den Dienst für eine Untergruppe ihrer Nutzer- oder Gerätebasis anbieten möchten, können für eine gezieltere Bereitstellung Unterdomänen erstellen</w:t>
      </w:r>
      <w:r w:rsidR="006257A7">
        <w:rPr>
          <w:rFonts w:cs="Tahoma"/>
          <w:bCs/>
          <w:color w:val="000000"/>
          <w:szCs w:val="18"/>
          <w:lang w:val="de-DE"/>
        </w:rPr>
        <w:t xml:space="preserve">. </w:t>
      </w:r>
      <w:r w:rsidRPr="00571807">
        <w:rPr>
          <w:rFonts w:cs="Tahoma"/>
          <w:bCs/>
          <w:color w:val="000000"/>
          <w:szCs w:val="18"/>
          <w:lang w:val="de-DE"/>
        </w:rPr>
        <w:t>Nur die Nutzer (oder Geräte) innerhalb dieser Unterdomäne benötigen Nutzer- (oder Geräte-)</w:t>
      </w:r>
      <w:r w:rsidR="003A4746">
        <w:rPr>
          <w:rFonts w:cs="Tahoma"/>
          <w:bCs/>
          <w:color w:val="000000"/>
          <w:szCs w:val="18"/>
          <w:lang w:val="de-DE"/>
        </w:rPr>
        <w:t xml:space="preserve"> </w:t>
      </w:r>
      <w:r w:rsidRPr="00571807">
        <w:rPr>
          <w:rFonts w:cs="Tahoma"/>
          <w:bCs/>
          <w:color w:val="000000"/>
          <w:szCs w:val="18"/>
          <w:lang w:val="de-DE"/>
        </w:rPr>
        <w:t>ALs</w:t>
      </w:r>
      <w:r w:rsidR="006257A7">
        <w:rPr>
          <w:rFonts w:cs="Tahoma"/>
          <w:bCs/>
          <w:color w:val="000000"/>
          <w:szCs w:val="18"/>
          <w:lang w:val="de-DE"/>
        </w:rPr>
        <w:t xml:space="preserve">. </w:t>
      </w:r>
    </w:p>
    <w:p w:rsidR="00E73313" w:rsidRPr="00571807" w:rsidRDefault="00E73313" w:rsidP="00E73313">
      <w:pPr>
        <w:pStyle w:val="EndnoteText"/>
        <w:ind w:left="720"/>
        <w:rPr>
          <w:lang w:val="de-DE"/>
        </w:rPr>
      </w:pPr>
    </w:p>
    <w:p w:rsidR="00E73313" w:rsidRPr="00571807" w:rsidRDefault="00E73313" w:rsidP="00E73313">
      <w:pPr>
        <w:pStyle w:val="PlainText"/>
        <w:ind w:left="720"/>
        <w:rPr>
          <w:lang w:val="de-DE"/>
        </w:rPr>
      </w:pPr>
      <w:r w:rsidRPr="00571807">
        <w:rPr>
          <w:rFonts w:ascii="Tahoma" w:hAnsi="Tahoma" w:cs="Tahoma"/>
          <w:bCs/>
          <w:color w:val="000000"/>
          <w:sz w:val="18"/>
          <w:szCs w:val="20"/>
          <w:lang w:val="de-DE"/>
        </w:rPr>
        <w:t xml:space="preserve">Preise und Zahlungsbestimmungen für Onlinedienste finden Sie in </w:t>
      </w:r>
      <w:hyperlink w:anchor="_Section_10_–" w:history="1">
        <w:r w:rsidRPr="00571807">
          <w:rPr>
            <w:rStyle w:val="Hyperlink"/>
            <w:rFonts w:ascii="Tahoma" w:hAnsi="Tahoma" w:cs="Tahoma"/>
            <w:sz w:val="18"/>
            <w:lang w:val="de-DE"/>
          </w:rPr>
          <w:t>Abschnitt 10</w:t>
        </w:r>
      </w:hyperlink>
      <w:r w:rsidR="006257A7">
        <w:rPr>
          <w:rFonts w:ascii="Tahoma" w:hAnsi="Tahoma" w:cs="Tahoma"/>
          <w:bCs/>
          <w:color w:val="000000"/>
          <w:sz w:val="18"/>
          <w:szCs w:val="20"/>
          <w:lang w:val="de-DE"/>
        </w:rPr>
        <w:t xml:space="preserve">. </w:t>
      </w:r>
    </w:p>
    <w:p w:rsidR="00E73313" w:rsidRPr="00571807" w:rsidRDefault="00E73313" w:rsidP="00E73313">
      <w:pPr>
        <w:rPr>
          <w:lang w:val="de-DE"/>
        </w:rPr>
      </w:pPr>
    </w:p>
    <w:p w:rsidR="00E73313" w:rsidRPr="00571807" w:rsidRDefault="00E73313" w:rsidP="00E73313">
      <w:pPr>
        <w:pStyle w:val="EndnoteText"/>
        <w:ind w:left="0"/>
        <w:rPr>
          <w:lang w:val="de-DE"/>
        </w:rPr>
      </w:pPr>
      <w:bookmarkStart w:id="1329" w:name="Srv_47ForefrontProforExcSvrandShare"/>
      <w:bookmarkEnd w:id="1307"/>
      <w:bookmarkEnd w:id="1308"/>
      <w:bookmarkEnd w:id="1322"/>
    </w:p>
    <w:p w:rsidR="00E73313" w:rsidRPr="00571807" w:rsidRDefault="00E73313" w:rsidP="00C652D4">
      <w:pPr>
        <w:pStyle w:val="Heading3"/>
        <w:ind w:left="243" w:hanging="243"/>
        <w:rPr>
          <w:lang w:val="de-DE"/>
        </w:rPr>
      </w:pPr>
      <w:bookmarkStart w:id="1330" w:name="_54_Forefront_Protection"/>
      <w:bookmarkStart w:id="1331" w:name="_55_Forefront_Protection"/>
      <w:bookmarkStart w:id="1332" w:name="_60_Forefront_Protection"/>
      <w:bookmarkStart w:id="1333" w:name="_63_Forefront_Protection"/>
      <w:bookmarkStart w:id="1334" w:name="_Toc336338318"/>
      <w:bookmarkStart w:id="1335" w:name="_Toc363999061"/>
      <w:bookmarkStart w:id="1336" w:name="Srv_44ForefrontSecforExcSharep"/>
      <w:bookmarkStart w:id="1337" w:name="Srv_45ForefrontSecforExcSharep"/>
      <w:bookmarkStart w:id="1338" w:name="Srv_48ForefrontProtectionSuite"/>
      <w:bookmarkEnd w:id="1329"/>
      <w:bookmarkEnd w:id="1330"/>
      <w:bookmarkEnd w:id="1331"/>
      <w:bookmarkEnd w:id="1332"/>
      <w:bookmarkEnd w:id="1333"/>
      <w:r w:rsidRPr="00571807">
        <w:rPr>
          <w:rFonts w:ascii="Tahoma" w:hAnsi="Tahoma"/>
          <w:caps/>
          <w:color w:val="F66400"/>
          <w:sz w:val="22"/>
          <w:vertAlign w:val="superscript"/>
          <w:lang w:val="de-DE"/>
        </w:rPr>
        <w:t>64</w:t>
      </w:r>
      <w:r w:rsidR="00C652D4">
        <w:rPr>
          <w:rFonts w:ascii="Tahoma" w:hAnsi="Tahoma"/>
          <w:color w:val="F66400"/>
          <w:sz w:val="22"/>
          <w:lang w:val="de-DE"/>
        </w:rPr>
        <w:t xml:space="preserve"> </w:t>
      </w:r>
      <w:r w:rsidRPr="00571807">
        <w:rPr>
          <w:rFonts w:ascii="Tahoma" w:hAnsi="Tahoma"/>
          <w:color w:val="F66400"/>
          <w:sz w:val="22"/>
          <w:lang w:val="de-DE"/>
        </w:rPr>
        <w:t xml:space="preserve">Forefront Protection 2010 für Exchange Server (Geräte- und Nutzer-AL), Forefront Protection 2010 for SharePoint (Geräte- und Nutzer-AL) </w:t>
      </w:r>
      <w:bookmarkEnd w:id="1334"/>
      <w:r w:rsidRPr="00571807">
        <w:rPr>
          <w:rFonts w:ascii="Tahoma" w:hAnsi="Tahoma"/>
          <w:color w:val="F66400"/>
          <w:sz w:val="22"/>
          <w:lang w:val="de-DE"/>
        </w:rPr>
        <w:t>und Forefront Protection 2010 for Internet Sites (Add-On-AL)</w:t>
      </w:r>
      <w:bookmarkEnd w:id="1335"/>
    </w:p>
    <w:bookmarkEnd w:id="1336"/>
    <w:bookmarkEnd w:id="1337"/>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cs="Tahoma"/>
          <w:bCs/>
          <w:color w:val="000000"/>
          <w:szCs w:val="18"/>
          <w:lang w:val="de-DE"/>
        </w:rPr>
        <w:t>Forefront Protection 2010 for SharePoint, Forefront Protection 2010 für Exchange Server und Forefront Protection 2010 for Internet Sites sind ab dem 1</w:t>
      </w:r>
      <w:r w:rsidR="006257A7">
        <w:rPr>
          <w:rFonts w:cs="Tahoma"/>
          <w:bCs/>
          <w:color w:val="000000"/>
          <w:szCs w:val="18"/>
          <w:lang w:val="de-DE"/>
        </w:rPr>
        <w:t xml:space="preserve">. </w:t>
      </w:r>
      <w:r w:rsidRPr="00571807">
        <w:rPr>
          <w:rFonts w:cs="Tahoma"/>
          <w:bCs/>
          <w:color w:val="000000"/>
          <w:szCs w:val="18"/>
          <w:lang w:val="de-DE"/>
        </w:rPr>
        <w:t>Dezember 2012 nicht mehr erhältlich</w:t>
      </w:r>
      <w:r w:rsidR="006257A7">
        <w:rPr>
          <w:rFonts w:cs="Tahoma"/>
          <w:bCs/>
          <w:color w:val="000000"/>
          <w:szCs w:val="18"/>
          <w:lang w:val="de-DE"/>
        </w:rPr>
        <w:t xml:space="preserve">. </w:t>
      </w:r>
      <w:r w:rsidRPr="00571807">
        <w:rPr>
          <w:rFonts w:cs="Tahoma"/>
          <w:bCs/>
          <w:color w:val="000000"/>
          <w:szCs w:val="18"/>
          <w:lang w:val="de-DE"/>
        </w:rPr>
        <w:t>Bestehende Kunden mit aktiven Abonnements für die Onlinedienste zum 30</w:t>
      </w:r>
      <w:r w:rsidR="006257A7">
        <w:rPr>
          <w:rFonts w:cs="Tahoma"/>
          <w:bCs/>
          <w:color w:val="000000"/>
          <w:szCs w:val="18"/>
          <w:lang w:val="de-DE"/>
        </w:rPr>
        <w:t xml:space="preserve">. </w:t>
      </w:r>
      <w:r w:rsidRPr="00571807">
        <w:rPr>
          <w:rFonts w:cs="Tahoma"/>
          <w:bCs/>
          <w:color w:val="000000"/>
          <w:szCs w:val="18"/>
          <w:lang w:val="de-DE"/>
        </w:rPr>
        <w:t>November 2012 sind berechtigt, die Onlinedienste bis zum 31</w:t>
      </w:r>
      <w:r w:rsidR="006257A7">
        <w:rPr>
          <w:rFonts w:cs="Tahoma"/>
          <w:bCs/>
          <w:color w:val="000000"/>
          <w:szCs w:val="18"/>
          <w:lang w:val="de-DE"/>
        </w:rPr>
        <w:t xml:space="preserve">. </w:t>
      </w:r>
      <w:r w:rsidRPr="00571807">
        <w:rPr>
          <w:rFonts w:cs="Tahoma"/>
          <w:bCs/>
          <w:color w:val="000000"/>
          <w:szCs w:val="18"/>
          <w:lang w:val="de-DE"/>
        </w:rPr>
        <w:t>Dezember 2015 zu nutzen</w:t>
      </w:r>
      <w:r w:rsidR="006257A7">
        <w:rPr>
          <w:rFonts w:cs="Tahoma"/>
          <w:bCs/>
          <w:color w:val="000000"/>
          <w:szCs w:val="18"/>
          <w:lang w:val="de-DE"/>
        </w:rPr>
        <w:t xml:space="preserve">. </w:t>
      </w:r>
      <w:r w:rsidRPr="00571807">
        <w:rPr>
          <w:lang w:val="de-DE"/>
        </w:rPr>
        <w:t>Bestehende Kunden sind außerdem berechtigt, neue Nutzer nach Bedarf hinzuzufügen, ohne zusätzliche Nutzer-Abonnementlizenzen bestellen zu müssen</w:t>
      </w:r>
      <w:r w:rsidR="006257A7">
        <w:rPr>
          <w:lang w:val="de-DE"/>
        </w:rPr>
        <w:t xml:space="preserve">. </w:t>
      </w:r>
      <w:r w:rsidRPr="00571807">
        <w:rPr>
          <w:rFonts w:cs="Tahoma"/>
          <w:bCs/>
          <w:color w:val="000000"/>
          <w:szCs w:val="18"/>
          <w:lang w:val="de-DE"/>
        </w:rPr>
        <w:t>Die fortgesetzte Verwendung der Onlinedienste unterliegt weiterhin den Bestimmungen des Volumenlizenzvertrages des Kunden, den Produktbenutzungsrechten für den Onlinedienst und den hierin enthaltenen Bestimmungen</w:t>
      </w:r>
      <w:r w:rsidR="006257A7">
        <w:rPr>
          <w:rFonts w:cs="Tahoma"/>
          <w:bCs/>
          <w:color w:val="000000"/>
          <w:szCs w:val="18"/>
          <w:lang w:val="de-DE"/>
        </w:rPr>
        <w:t xml:space="preserve">. </w:t>
      </w:r>
    </w:p>
    <w:p w:rsidR="00E73313" w:rsidRPr="00571807" w:rsidRDefault="00E73313" w:rsidP="00E73313">
      <w:pPr>
        <w:ind w:left="720"/>
        <w:rPr>
          <w:lang w:val="de-DE"/>
        </w:rPr>
      </w:pPr>
    </w:p>
    <w:p w:rsidR="00E73313" w:rsidRPr="00571807" w:rsidRDefault="00E73313" w:rsidP="00E73313">
      <w:pPr>
        <w:spacing w:after="60"/>
        <w:ind w:left="720"/>
        <w:rPr>
          <w:lang w:val="de-DE"/>
        </w:rPr>
      </w:pPr>
      <w:r w:rsidRPr="00571807">
        <w:rPr>
          <w:rFonts w:cs="Tahoma"/>
          <w:b/>
          <w:szCs w:val="20"/>
          <w:lang w:val="de-DE"/>
        </w:rPr>
        <w:t>Migrationsrecht für Forefront Protection 2010 für Exchange Server</w:t>
      </w:r>
    </w:p>
    <w:p w:rsidR="00E73313" w:rsidRPr="00571807" w:rsidRDefault="00E73313" w:rsidP="00E73313">
      <w:pPr>
        <w:ind w:left="720"/>
        <w:rPr>
          <w:lang w:val="de-DE"/>
        </w:rPr>
      </w:pPr>
      <w:r w:rsidRPr="00571807">
        <w:rPr>
          <w:rFonts w:cs="Tahoma"/>
          <w:color w:val="000000"/>
          <w:szCs w:val="20"/>
          <w:lang w:val="de-DE"/>
        </w:rPr>
        <w:t>Kunden mit Volumenlizenzverträgen, die eine Lizenz für Forefront Protection 2010 für Exchange Server erworben haben, sind berechtigt, statt diesem Produkt Antigen für Exchange, Antigen für SMTP Gateways und Antigen Spam Manager zu verwenden</w:t>
      </w:r>
      <w:r w:rsidR="006257A7">
        <w:rPr>
          <w:rFonts w:cs="Tahoma"/>
          <w:color w:val="000000"/>
          <w:szCs w:val="20"/>
          <w:lang w:val="de-DE"/>
        </w:rPr>
        <w:t xml:space="preserve">. </w:t>
      </w:r>
      <w:r w:rsidRPr="00571807">
        <w:rPr>
          <w:rFonts w:cs="Tahoma"/>
          <w:color w:val="000000"/>
          <w:szCs w:val="20"/>
          <w:lang w:val="de-DE"/>
        </w:rPr>
        <w:t>Die Verwendung von Antigen für Exchange, Antigen für SMTP Gateways und Antigen Spam Manager unterliegt dem Lizenzvertrag des Kunden sowie den Nutzungsrechten für Forefront Protection 2010 für Exchange Server</w:t>
      </w:r>
      <w:r w:rsidR="006257A7">
        <w:rPr>
          <w:rFonts w:cs="Tahoma"/>
          <w:color w:val="000000"/>
          <w:szCs w:val="20"/>
          <w:lang w:val="de-DE"/>
        </w:rPr>
        <w:t xml:space="preserve">. </w:t>
      </w:r>
      <w:r w:rsidRPr="00571807">
        <w:rPr>
          <w:rFonts w:cs="Tahoma"/>
          <w:color w:val="000000"/>
          <w:szCs w:val="20"/>
          <w:lang w:val="de-DE"/>
        </w:rPr>
        <w:t>* Das Recht des Kunden zur Nutzung von Antigen für Exchange, Antigen für SMTP Gateways und Antigen Spam Manager gilt bis zum Ablauf der Rechte im Rahmen der Lizenz für Forefront Protection 2010 für Exchange Server</w:t>
      </w:r>
      <w:r w:rsidR="006257A7">
        <w:rPr>
          <w:rFonts w:cs="Tahoma"/>
          <w:color w:val="000000"/>
          <w:szCs w:val="20"/>
          <w:lang w:val="de-DE"/>
        </w:rPr>
        <w:t xml:space="preserve">. </w:t>
      </w:r>
    </w:p>
    <w:p w:rsidR="00E73313" w:rsidRPr="00571807" w:rsidRDefault="00E73313" w:rsidP="00E73313">
      <w:pPr>
        <w:ind w:left="720"/>
        <w:rPr>
          <w:lang w:val="de-DE"/>
        </w:rPr>
      </w:pPr>
    </w:p>
    <w:p w:rsidR="00E73313" w:rsidRPr="00571807" w:rsidRDefault="00E73313" w:rsidP="00C652D4">
      <w:pPr>
        <w:ind w:left="720"/>
        <w:rPr>
          <w:lang w:val="de-DE"/>
        </w:rPr>
      </w:pPr>
      <w:r w:rsidRPr="00571807">
        <w:rPr>
          <w:rFonts w:cs="Tahoma"/>
          <w:color w:val="000000"/>
          <w:szCs w:val="20"/>
          <w:lang w:val="de-DE"/>
        </w:rPr>
        <w:t>*Das Recht zur Nutzung von Antigen anstelle von Forefront Security gilt nicht für Kunden, die zunächst Lizenzen für einen oder mehrere Antigen-Dienste erwerben und dann zu Forefront Protection 2010 für Exchange Server migrieren</w:t>
      </w:r>
      <w:r w:rsidR="006257A7">
        <w:rPr>
          <w:rFonts w:cs="Tahoma"/>
          <w:color w:val="000000"/>
          <w:szCs w:val="20"/>
          <w:lang w:val="de-DE"/>
        </w:rPr>
        <w:t xml:space="preserve">. </w:t>
      </w:r>
      <w:r w:rsidRPr="00571807">
        <w:rPr>
          <w:rFonts w:cs="Tahoma"/>
          <w:color w:val="000000"/>
          <w:szCs w:val="20"/>
          <w:lang w:val="de-DE"/>
        </w:rPr>
        <w:t>Beispielsweise ist es Kunden, die eine Lizenz für Antigen for Exchange erwerben, nicht gestattet, Antigen für SMTP Gateways oder Antigen Spam Manager im Rahmen ihrer Lizenz</w:t>
      </w:r>
      <w:r w:rsidR="00C652D4">
        <w:rPr>
          <w:rFonts w:cs="Tahoma"/>
          <w:color w:val="000000"/>
          <w:szCs w:val="20"/>
          <w:lang w:val="de-DE"/>
        </w:rPr>
        <w:t> </w:t>
      </w:r>
      <w:r w:rsidRPr="00571807">
        <w:rPr>
          <w:rFonts w:cs="Tahoma"/>
          <w:color w:val="000000"/>
          <w:szCs w:val="20"/>
          <w:lang w:val="de-DE"/>
        </w:rPr>
        <w:t>für Antigen für Exchange zu nutzen, die ihnen das Recht gibt, zu Forefront Protection 2010 für Exchange Server zu migrieren</w:t>
      </w:r>
      <w:r w:rsidR="006257A7">
        <w:rPr>
          <w:rFonts w:cs="Tahoma"/>
          <w:color w:val="000000"/>
          <w:szCs w:val="20"/>
          <w:lang w:val="de-DE"/>
        </w:rPr>
        <w:t xml:space="preserve">. </w:t>
      </w:r>
    </w:p>
    <w:p w:rsidR="00E73313" w:rsidRPr="00571807" w:rsidRDefault="00E73313" w:rsidP="00E73313">
      <w:pPr>
        <w:rPr>
          <w:lang w:val="de-DE"/>
        </w:rPr>
      </w:pPr>
    </w:p>
    <w:p w:rsidR="00E73313" w:rsidRPr="0062435A" w:rsidRDefault="00E73313" w:rsidP="00E73313">
      <w:pPr>
        <w:keepNext/>
        <w:spacing w:after="60"/>
        <w:ind w:left="720"/>
      </w:pPr>
      <w:r>
        <w:rPr>
          <w:rFonts w:cs="Tahoma"/>
          <w:b/>
          <w:szCs w:val="20"/>
        </w:rPr>
        <w:t>Downgraderecht für Forefront Security for SharePoint</w:t>
      </w:r>
    </w:p>
    <w:p w:rsidR="00E73313" w:rsidRPr="00571807" w:rsidRDefault="00E73313" w:rsidP="00E73313">
      <w:pPr>
        <w:ind w:left="720"/>
        <w:rPr>
          <w:lang w:val="de-DE"/>
        </w:rPr>
      </w:pPr>
      <w:r w:rsidRPr="00571807">
        <w:rPr>
          <w:rFonts w:cs="Tahoma"/>
          <w:szCs w:val="20"/>
          <w:lang w:val="de-DE"/>
        </w:rPr>
        <w:t>Kunden mit Volumenlizenzverträgen, die eine Lizenz für Forefront Protection 2010 for SharePoint erworben haben, sind berechtigt, ein Downgrade durchzuführen und statt diesem Produkt Antigen für SharePoint zu verwenden</w:t>
      </w:r>
      <w:r w:rsidR="006257A7">
        <w:rPr>
          <w:rFonts w:cs="Tahoma"/>
          <w:szCs w:val="20"/>
          <w:lang w:val="de-DE"/>
        </w:rPr>
        <w:t xml:space="preserve">. </w:t>
      </w:r>
      <w:r w:rsidRPr="00571807">
        <w:rPr>
          <w:rFonts w:cs="Tahoma"/>
          <w:szCs w:val="20"/>
          <w:lang w:val="de-DE"/>
        </w:rPr>
        <w:t>Die Nutzung von Antigen für SharePoint unterliegt dem Lizenzvertrag des Kunden sowie den Nutzungsrechten für Forefront Protection 2010 for SharePoint</w:t>
      </w:r>
      <w:r w:rsidR="006257A7">
        <w:rPr>
          <w:rFonts w:cs="Tahoma"/>
          <w:szCs w:val="20"/>
          <w:lang w:val="de-DE"/>
        </w:rPr>
        <w:t xml:space="preserve">. </w:t>
      </w:r>
      <w:r w:rsidRPr="00571807">
        <w:rPr>
          <w:rFonts w:cs="Tahoma"/>
          <w:szCs w:val="20"/>
          <w:lang w:val="de-DE"/>
        </w:rPr>
        <w:t>Das Recht zur Nutzung von Antigen für SharePoint gilt bis zum Ablauf der Rechte im Rahmen der Lizenz für Forefront Protection 2010 for SharePoint</w:t>
      </w:r>
      <w:r w:rsidR="006257A7">
        <w:rPr>
          <w:rFonts w:cs="Tahoma"/>
          <w:szCs w:val="20"/>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cs="Tahoma"/>
          <w:bCs/>
          <w:color w:val="000000"/>
          <w:szCs w:val="20"/>
          <w:lang w:val="de-DE"/>
        </w:rPr>
        <w:t>Alle Nutzer (oder Geräte), die auf einen geschützten Server zugreifen, benötigen Nutzer- (oder Geräte-)ALs, außer die Lizenz läuft über den externen Connector für Forefront für Exchange oder die Add-On-ALs für Forefront Security for SharePoint for Internet Sites</w:t>
      </w:r>
      <w:r w:rsidR="006257A7">
        <w:rPr>
          <w:rFonts w:cs="Tahoma"/>
          <w:bCs/>
          <w:color w:val="000000"/>
          <w:szCs w:val="20"/>
          <w:lang w:val="de-DE"/>
        </w:rPr>
        <w:t xml:space="preserve">. </w:t>
      </w:r>
    </w:p>
    <w:p w:rsidR="00E73313" w:rsidRPr="00571807" w:rsidRDefault="00E73313" w:rsidP="00E73313">
      <w:pPr>
        <w:pStyle w:val="EndnoteText"/>
        <w:ind w:left="720"/>
        <w:rPr>
          <w:lang w:val="de-DE"/>
        </w:rPr>
      </w:pPr>
    </w:p>
    <w:p w:rsidR="00E73313" w:rsidRPr="00571807" w:rsidRDefault="00E73313" w:rsidP="00E73313">
      <w:pPr>
        <w:pStyle w:val="EndnoteText"/>
        <w:ind w:left="720"/>
        <w:rPr>
          <w:lang w:val="de-DE"/>
        </w:rPr>
      </w:pPr>
      <w:r w:rsidRPr="00571807">
        <w:rPr>
          <w:rFonts w:ascii="Tahoma" w:hAnsi="Tahoma" w:cs="Tahoma"/>
          <w:bCs/>
          <w:color w:val="000000"/>
          <w:sz w:val="18"/>
          <w:szCs w:val="20"/>
          <w:lang w:val="de-DE"/>
        </w:rPr>
        <w:t>Preise und Zahlungsbestimmungen für Onlinedienste finden Sie in</w:t>
      </w:r>
      <w:hyperlink w:anchor="_Section_10_–" w:history="1">
        <w:r w:rsidRPr="00472F15">
          <w:rPr>
            <w:rStyle w:val="Hyperlink"/>
            <w:rFonts w:ascii="Tahoma" w:hAnsi="Tahoma" w:cs="Tahoma"/>
            <w:sz w:val="18"/>
            <w:u w:val="none"/>
            <w:lang w:val="de-DE"/>
          </w:rPr>
          <w:t xml:space="preserve"> </w:t>
        </w:r>
        <w:r w:rsidRPr="00571807">
          <w:rPr>
            <w:rStyle w:val="Hyperlink"/>
            <w:rFonts w:ascii="Tahoma" w:hAnsi="Tahoma" w:cs="Tahoma"/>
            <w:sz w:val="18"/>
            <w:lang w:val="de-DE"/>
          </w:rPr>
          <w:t>Abschnitt 10</w:t>
        </w:r>
      </w:hyperlink>
      <w:r w:rsidR="006257A7">
        <w:rPr>
          <w:rFonts w:ascii="Tahoma" w:hAnsi="Tahoma" w:cs="Tahoma"/>
          <w:bCs/>
          <w:color w:val="000000"/>
          <w:sz w:val="18"/>
          <w:szCs w:val="20"/>
          <w:lang w:val="de-DE"/>
        </w:rPr>
        <w:t xml:space="preserve">. </w:t>
      </w:r>
    </w:p>
    <w:p w:rsidR="00E73313" w:rsidRDefault="00E73313" w:rsidP="00E73313">
      <w:pPr>
        <w:pStyle w:val="EndnoteText"/>
        <w:rPr>
          <w:lang w:val="de-DE"/>
        </w:rPr>
      </w:pPr>
    </w:p>
    <w:p w:rsidR="00F25255" w:rsidRPr="00571807" w:rsidRDefault="00F25255" w:rsidP="00E73313">
      <w:pPr>
        <w:pStyle w:val="EndnoteText"/>
        <w:rPr>
          <w:lang w:val="de-DE"/>
        </w:rPr>
      </w:pPr>
    </w:p>
    <w:p w:rsidR="00E73313" w:rsidRPr="00571807" w:rsidRDefault="00E73313" w:rsidP="00E73313">
      <w:pPr>
        <w:pStyle w:val="Heading3"/>
        <w:rPr>
          <w:lang w:val="de-DE"/>
        </w:rPr>
      </w:pPr>
      <w:bookmarkStart w:id="1339" w:name="_61_Forefront_Protection"/>
      <w:bookmarkStart w:id="1340" w:name="_64_Forefront_Protection"/>
      <w:bookmarkStart w:id="1341" w:name="_65_Forefront_Protection"/>
      <w:bookmarkStart w:id="1342" w:name="_Toc336338319"/>
      <w:bookmarkStart w:id="1343" w:name="_Toc363999062"/>
      <w:bookmarkStart w:id="1344" w:name="Srv_45ForefrontSecfoOffComm"/>
      <w:bookmarkStart w:id="1345" w:name="Srv_46ForefrontSecfoOffComm"/>
      <w:bookmarkEnd w:id="1339"/>
      <w:bookmarkEnd w:id="1340"/>
      <w:bookmarkEnd w:id="1341"/>
      <w:r w:rsidRPr="00571807">
        <w:rPr>
          <w:rFonts w:ascii="Tahoma" w:hAnsi="Tahoma"/>
          <w:caps/>
          <w:color w:val="F66400"/>
          <w:sz w:val="22"/>
          <w:vertAlign w:val="superscript"/>
          <w:lang w:val="de-DE"/>
        </w:rPr>
        <w:t>65</w:t>
      </w:r>
      <w:r w:rsidRPr="00571807">
        <w:rPr>
          <w:rFonts w:ascii="Tahoma" w:hAnsi="Tahoma"/>
          <w:color w:val="F66400"/>
          <w:sz w:val="22"/>
          <w:lang w:val="de-DE"/>
        </w:rPr>
        <w:t xml:space="preserve"> Forefront Protection Suite (Gerät und Nutzer)</w:t>
      </w:r>
      <w:bookmarkEnd w:id="1342"/>
      <w:bookmarkEnd w:id="1343"/>
    </w:p>
    <w:bookmarkEnd w:id="1338"/>
    <w:p w:rsidR="00E73313" w:rsidRPr="00571807" w:rsidRDefault="00E73313" w:rsidP="00E73313">
      <w:pPr>
        <w:rPr>
          <w:lang w:val="de-DE"/>
        </w:rPr>
      </w:pPr>
    </w:p>
    <w:p w:rsidR="00E73313" w:rsidRPr="00571807" w:rsidRDefault="00E73313" w:rsidP="00C652D4">
      <w:pPr>
        <w:ind w:left="720"/>
        <w:rPr>
          <w:lang w:val="de-DE"/>
        </w:rPr>
      </w:pPr>
      <w:r w:rsidRPr="00571807">
        <w:rPr>
          <w:rFonts w:cs="Tahoma"/>
          <w:bCs/>
          <w:color w:val="000000"/>
          <w:szCs w:val="18"/>
          <w:lang w:val="de-DE"/>
        </w:rPr>
        <w:t>Forefront Protection Suite ist ab dem 1</w:t>
      </w:r>
      <w:r w:rsidR="006257A7">
        <w:rPr>
          <w:rFonts w:cs="Tahoma"/>
          <w:bCs/>
          <w:color w:val="000000"/>
          <w:szCs w:val="18"/>
          <w:lang w:val="de-DE"/>
        </w:rPr>
        <w:t xml:space="preserve">. </w:t>
      </w:r>
      <w:r w:rsidRPr="00571807">
        <w:rPr>
          <w:rFonts w:cs="Tahoma"/>
          <w:bCs/>
          <w:color w:val="000000"/>
          <w:szCs w:val="18"/>
          <w:lang w:val="de-DE"/>
        </w:rPr>
        <w:t>Dezember 2012 nicht mehr verfügbar</w:t>
      </w:r>
      <w:r w:rsidR="006257A7">
        <w:rPr>
          <w:rFonts w:cs="Tahoma"/>
          <w:bCs/>
          <w:color w:val="000000"/>
          <w:szCs w:val="18"/>
          <w:lang w:val="de-DE"/>
        </w:rPr>
        <w:t xml:space="preserve">. </w:t>
      </w:r>
      <w:r w:rsidRPr="00571807">
        <w:rPr>
          <w:rFonts w:cs="Tahoma"/>
          <w:bCs/>
          <w:color w:val="000000"/>
          <w:szCs w:val="18"/>
          <w:lang w:val="de-DE"/>
        </w:rPr>
        <w:t>Kunden mit aktiven Abonnements für den Onlinedienst zum 30</w:t>
      </w:r>
      <w:r w:rsidR="006257A7">
        <w:rPr>
          <w:rFonts w:cs="Tahoma"/>
          <w:bCs/>
          <w:color w:val="000000"/>
          <w:szCs w:val="18"/>
          <w:lang w:val="de-DE"/>
        </w:rPr>
        <w:t xml:space="preserve">. </w:t>
      </w:r>
      <w:r w:rsidRPr="00571807">
        <w:rPr>
          <w:rFonts w:cs="Tahoma"/>
          <w:bCs/>
          <w:color w:val="000000"/>
          <w:szCs w:val="18"/>
          <w:lang w:val="de-DE"/>
        </w:rPr>
        <w:t>November 2012 sind berechtigt, die Komponenten-Onlinedienste weiterhin zu nutzen, bis ihr Abonnement abläuft</w:t>
      </w:r>
      <w:r w:rsidR="006257A7">
        <w:rPr>
          <w:rFonts w:cs="Tahoma"/>
          <w:bCs/>
          <w:color w:val="000000"/>
          <w:szCs w:val="18"/>
          <w:lang w:val="de-DE"/>
        </w:rPr>
        <w:t xml:space="preserve">. </w:t>
      </w:r>
      <w:r w:rsidRPr="00571807">
        <w:rPr>
          <w:rFonts w:cs="Tahoma"/>
          <w:bCs/>
          <w:color w:val="000000"/>
          <w:szCs w:val="18"/>
          <w:lang w:val="de-DE"/>
        </w:rPr>
        <w:t>Diese Kunden sind außerdem berechtigt, die</w:t>
      </w:r>
      <w:r w:rsidR="00C652D4">
        <w:rPr>
          <w:rFonts w:cs="Tahoma"/>
          <w:bCs/>
          <w:color w:val="000000"/>
          <w:szCs w:val="18"/>
          <w:lang w:val="de-DE"/>
        </w:rPr>
        <w:t> </w:t>
      </w:r>
      <w:r w:rsidRPr="00571807">
        <w:rPr>
          <w:rFonts w:cs="Tahoma"/>
          <w:bCs/>
          <w:color w:val="000000"/>
          <w:szCs w:val="18"/>
          <w:lang w:val="de-DE"/>
        </w:rPr>
        <w:t xml:space="preserve">Komponenten </w:t>
      </w:r>
      <w:r w:rsidRPr="00571807">
        <w:rPr>
          <w:rFonts w:cs="Tahoma"/>
          <w:color w:val="000000"/>
          <w:szCs w:val="20"/>
          <w:lang w:val="de-DE"/>
        </w:rPr>
        <w:t xml:space="preserve">Forefront Security für Office Communications Server, Forefront Protection 2010 für Exchange Server, Forefront Threat Management Gateway Web Protection Service und Forefront Protection 2010 für SharePoint Server </w:t>
      </w:r>
      <w:r w:rsidRPr="00571807">
        <w:rPr>
          <w:rFonts w:cs="Tahoma"/>
          <w:bCs/>
          <w:color w:val="000000"/>
          <w:szCs w:val="18"/>
          <w:lang w:val="de-DE"/>
        </w:rPr>
        <w:t>der Suite weiterhin bis zum 31</w:t>
      </w:r>
      <w:r w:rsidR="006257A7">
        <w:rPr>
          <w:rFonts w:cs="Tahoma"/>
          <w:bCs/>
          <w:color w:val="000000"/>
          <w:szCs w:val="18"/>
          <w:lang w:val="de-DE"/>
        </w:rPr>
        <w:t xml:space="preserve">. </w:t>
      </w:r>
      <w:r w:rsidRPr="00571807">
        <w:rPr>
          <w:rFonts w:cs="Tahoma"/>
          <w:bCs/>
          <w:color w:val="000000"/>
          <w:szCs w:val="18"/>
          <w:lang w:val="de-DE"/>
        </w:rPr>
        <w:t>Dezember 2015 zu verwenden</w:t>
      </w:r>
      <w:r w:rsidR="006257A7">
        <w:rPr>
          <w:rFonts w:cs="Tahoma"/>
          <w:bCs/>
          <w:color w:val="000000"/>
          <w:szCs w:val="18"/>
          <w:lang w:val="de-DE"/>
        </w:rPr>
        <w:t xml:space="preserve">. </w:t>
      </w:r>
      <w:r w:rsidRPr="00571807">
        <w:rPr>
          <w:lang w:val="de-DE"/>
        </w:rPr>
        <w:t>Bestehende Kunden sind außerdem berechtigt, neue Nutzer nach Bedarf für Forefront Security for Office Communications Server, Forefront Protection 2010 für Exchange Server, Forefront Threat Management Gateway Web Protection Service und Forefront Protection for SharePoint Server hinzuzufügen, ohne zusätzliche Nutzer-Abonnementlizenzen bestellen zu müssen</w:t>
      </w:r>
      <w:r w:rsidR="006257A7">
        <w:rPr>
          <w:lang w:val="de-DE"/>
        </w:rPr>
        <w:t xml:space="preserve">. </w:t>
      </w:r>
      <w:r w:rsidRPr="00571807">
        <w:rPr>
          <w:rFonts w:cs="Tahoma"/>
          <w:bCs/>
          <w:color w:val="000000"/>
          <w:szCs w:val="18"/>
          <w:lang w:val="de-DE"/>
        </w:rPr>
        <w:t>Die fortgesetzte Verwendung der Komponenten-Onlinedienste unterliegt weiterhin den Bestimmungen des Volumenlizenzvertrages des Kunden, den Produktbenutzungsrechten für die Onlinedienste und den hierin enthaltenen Bestimmungen</w:t>
      </w:r>
      <w:r w:rsidR="006257A7">
        <w:rPr>
          <w:rFonts w:cs="Tahoma"/>
          <w:bCs/>
          <w:color w:val="000000"/>
          <w:szCs w:val="18"/>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cs="Tahoma"/>
          <w:color w:val="000000"/>
          <w:szCs w:val="20"/>
          <w:lang w:val="de-DE"/>
        </w:rPr>
        <w:t>Das Forefront Protection Suite-Abonnement umfasst die folgenden Onlinedienste: 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w:t>
      </w:r>
      <w:r w:rsidR="006257A7">
        <w:rPr>
          <w:rFonts w:cs="Tahoma"/>
          <w:color w:val="000000"/>
          <w:szCs w:val="20"/>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cs="Tahoma"/>
          <w:bCs/>
          <w:color w:val="000000"/>
          <w:szCs w:val="20"/>
          <w:lang w:val="de-DE"/>
        </w:rPr>
        <w:t xml:space="preserve">Preise und Zahlungsbestimmungen für Onlinedienste finden Sie in </w:t>
      </w:r>
      <w:r w:rsidRPr="00571807">
        <w:rPr>
          <w:lang w:val="de-DE"/>
        </w:rPr>
        <w:t>Abschnitt 5</w:t>
      </w:r>
      <w:r w:rsidR="006257A7">
        <w:rPr>
          <w:rFonts w:cs="Tahoma"/>
          <w:bCs/>
          <w:color w:val="000000"/>
          <w:szCs w:val="20"/>
          <w:lang w:val="de-DE"/>
        </w:rPr>
        <w:t xml:space="preserve">. </w:t>
      </w:r>
    </w:p>
    <w:p w:rsidR="00E73313" w:rsidRPr="00571807" w:rsidRDefault="00E73313" w:rsidP="00E73313">
      <w:pPr>
        <w:rPr>
          <w:lang w:val="de-DE"/>
        </w:rPr>
      </w:pPr>
    </w:p>
    <w:p w:rsidR="00E73313" w:rsidRPr="00571807" w:rsidRDefault="00E73313" w:rsidP="00E73313">
      <w:pPr>
        <w:rPr>
          <w:lang w:val="de-DE"/>
        </w:rPr>
      </w:pPr>
    </w:p>
    <w:p w:rsidR="00E73313" w:rsidRPr="0062435A" w:rsidRDefault="00E73313" w:rsidP="00E73313">
      <w:pPr>
        <w:pStyle w:val="Heading3"/>
      </w:pPr>
      <w:bookmarkStart w:id="1346" w:name="_65_Forefront_Security"/>
      <w:bookmarkStart w:id="1347" w:name="_66_Forefront_Security"/>
      <w:bookmarkStart w:id="1348" w:name="_Toc336338320"/>
      <w:bookmarkStart w:id="1349" w:name="_Toc363999063"/>
      <w:bookmarkStart w:id="1350" w:name="Srv_49ForefrontSecfoOffComm"/>
      <w:bookmarkEnd w:id="1346"/>
      <w:bookmarkEnd w:id="1347"/>
      <w:r>
        <w:rPr>
          <w:rFonts w:ascii="Tahoma" w:hAnsi="Tahoma"/>
          <w:caps/>
          <w:color w:val="F66400"/>
          <w:sz w:val="22"/>
          <w:vertAlign w:val="superscript"/>
        </w:rPr>
        <w:t>66</w:t>
      </w:r>
      <w:r w:rsidRPr="00C652D4">
        <w:rPr>
          <w:rFonts w:ascii="Tahoma" w:hAnsi="Tahoma"/>
          <w:caps/>
          <w:color w:val="F66400"/>
          <w:sz w:val="22"/>
        </w:rPr>
        <w:t xml:space="preserve"> </w:t>
      </w:r>
      <w:r>
        <w:rPr>
          <w:rFonts w:ascii="Tahoma" w:hAnsi="Tahoma"/>
          <w:color w:val="F66400"/>
          <w:sz w:val="22"/>
        </w:rPr>
        <w:t>Forefront Security for Office Communications Server (Nutzer- und Geräte-AL)</w:t>
      </w:r>
      <w:bookmarkEnd w:id="1348"/>
      <w:bookmarkEnd w:id="1349"/>
    </w:p>
    <w:bookmarkEnd w:id="1350"/>
    <w:p w:rsidR="00E73313" w:rsidRPr="0062435A" w:rsidRDefault="00E73313" w:rsidP="00E73313">
      <w:pPr>
        <w:pStyle w:val="EndnoteText"/>
        <w:ind w:left="0"/>
      </w:pPr>
    </w:p>
    <w:bookmarkEnd w:id="1344"/>
    <w:bookmarkEnd w:id="1345"/>
    <w:p w:rsidR="00E73313" w:rsidRPr="00571807" w:rsidRDefault="00E73313" w:rsidP="00E73313">
      <w:pPr>
        <w:ind w:left="720"/>
        <w:rPr>
          <w:lang w:val="de-DE"/>
        </w:rPr>
      </w:pPr>
      <w:r>
        <w:rPr>
          <w:rFonts w:cs="Tahoma"/>
          <w:bCs/>
          <w:color w:val="000000"/>
          <w:szCs w:val="18"/>
        </w:rPr>
        <w:t>Forefront Security for Office Communications Server ist ab dem 1</w:t>
      </w:r>
      <w:r w:rsidR="006257A7">
        <w:rPr>
          <w:rFonts w:cs="Tahoma"/>
          <w:bCs/>
          <w:color w:val="000000"/>
          <w:szCs w:val="18"/>
        </w:rPr>
        <w:t xml:space="preserve">. </w:t>
      </w:r>
      <w:r w:rsidRPr="00571807">
        <w:rPr>
          <w:rFonts w:cs="Tahoma"/>
          <w:bCs/>
          <w:color w:val="000000"/>
          <w:szCs w:val="18"/>
          <w:lang w:val="de-DE"/>
        </w:rPr>
        <w:t>Dezember 2012 nicht mehr verfügbar</w:t>
      </w:r>
      <w:r w:rsidR="006257A7">
        <w:rPr>
          <w:rFonts w:cs="Tahoma"/>
          <w:bCs/>
          <w:color w:val="000000"/>
          <w:szCs w:val="18"/>
          <w:lang w:val="de-DE"/>
        </w:rPr>
        <w:t xml:space="preserve">. </w:t>
      </w:r>
      <w:r w:rsidRPr="00571807">
        <w:rPr>
          <w:rFonts w:cs="Tahoma"/>
          <w:bCs/>
          <w:color w:val="000000"/>
          <w:szCs w:val="18"/>
          <w:lang w:val="de-DE"/>
        </w:rPr>
        <w:t>Kunden mit aktiven Abonnements für den Onlinedienst zum 30</w:t>
      </w:r>
      <w:r w:rsidR="006257A7">
        <w:rPr>
          <w:rFonts w:cs="Tahoma"/>
          <w:bCs/>
          <w:color w:val="000000"/>
          <w:szCs w:val="18"/>
          <w:lang w:val="de-DE"/>
        </w:rPr>
        <w:t xml:space="preserve">. </w:t>
      </w:r>
      <w:r w:rsidRPr="00571807">
        <w:rPr>
          <w:rFonts w:cs="Tahoma"/>
          <w:bCs/>
          <w:color w:val="000000"/>
          <w:szCs w:val="18"/>
          <w:lang w:val="de-DE"/>
        </w:rPr>
        <w:t>November 2012 sind berechtigt, den Onlinedienst weiterhin bis zum 31</w:t>
      </w:r>
      <w:r w:rsidR="006257A7">
        <w:rPr>
          <w:rFonts w:cs="Tahoma"/>
          <w:bCs/>
          <w:color w:val="000000"/>
          <w:szCs w:val="18"/>
          <w:lang w:val="de-DE"/>
        </w:rPr>
        <w:t xml:space="preserve">. </w:t>
      </w:r>
      <w:r w:rsidRPr="00571807">
        <w:rPr>
          <w:rFonts w:cs="Tahoma"/>
          <w:bCs/>
          <w:color w:val="000000"/>
          <w:szCs w:val="18"/>
          <w:lang w:val="de-DE"/>
        </w:rPr>
        <w:t>Dezember 2015 zu nutzen</w:t>
      </w:r>
      <w:r w:rsidR="006257A7">
        <w:rPr>
          <w:rFonts w:cs="Tahoma"/>
          <w:bCs/>
          <w:color w:val="000000"/>
          <w:szCs w:val="18"/>
          <w:lang w:val="de-DE"/>
        </w:rPr>
        <w:t xml:space="preserve">. </w:t>
      </w:r>
      <w:r w:rsidRPr="00571807">
        <w:rPr>
          <w:lang w:val="de-DE"/>
        </w:rPr>
        <w:t>Bestehende Kunden sind außerdem berechtigt, neue Nutzer nach Bedarf hinzuzufügen, ohne zusätzliche Nutzer-Abonnementlizenzen bestellen zu müssen</w:t>
      </w:r>
      <w:r w:rsidR="006257A7">
        <w:rPr>
          <w:lang w:val="de-DE"/>
        </w:rPr>
        <w:t xml:space="preserve">. </w:t>
      </w:r>
      <w:r w:rsidRPr="00571807">
        <w:rPr>
          <w:rFonts w:cs="Tahoma"/>
          <w:bCs/>
          <w:color w:val="000000"/>
          <w:szCs w:val="18"/>
          <w:lang w:val="de-DE"/>
        </w:rPr>
        <w:t>Die fortgesetzte Verwendung des Onlinedienstes unterliegt weiterhin den Bestimmungen des Volumenlizenzvertrages des Kunden, den Produktbenutzungsrechten für den Onlinedienst und den hierin enthaltenen Bestimmungen</w:t>
      </w:r>
      <w:r w:rsidR="006257A7">
        <w:rPr>
          <w:rFonts w:cs="Tahoma"/>
          <w:bCs/>
          <w:color w:val="000000"/>
          <w:szCs w:val="18"/>
          <w:lang w:val="de-DE"/>
        </w:rPr>
        <w:t xml:space="preserve">. </w:t>
      </w:r>
    </w:p>
    <w:p w:rsidR="00E73313" w:rsidRPr="00571807" w:rsidRDefault="00E73313" w:rsidP="00E73313">
      <w:pPr>
        <w:ind w:left="720"/>
        <w:rPr>
          <w:lang w:val="de-DE"/>
        </w:rPr>
      </w:pPr>
    </w:p>
    <w:p w:rsidR="00E73313" w:rsidRPr="00571807" w:rsidRDefault="00E73313" w:rsidP="00E73313">
      <w:pPr>
        <w:pStyle w:val="EndnoteText"/>
        <w:ind w:left="720"/>
        <w:rPr>
          <w:lang w:val="de-DE"/>
        </w:rPr>
      </w:pPr>
      <w:r w:rsidRPr="00571807">
        <w:rPr>
          <w:rFonts w:ascii="Tahoma" w:hAnsi="Tahoma" w:cs="Tahoma"/>
          <w:bCs/>
          <w:color w:val="000000"/>
          <w:sz w:val="18"/>
          <w:szCs w:val="20"/>
          <w:lang w:val="de-DE"/>
        </w:rPr>
        <w:t>Alle Nutzer (oder Geräte), die auf einen geschützten Server zugreifen, benötigen Nutzer- (oder Geräte-)ALs</w:t>
      </w:r>
      <w:r w:rsidR="006257A7">
        <w:rPr>
          <w:rFonts w:ascii="Tahoma" w:hAnsi="Tahoma" w:cs="Tahoma"/>
          <w:bCs/>
          <w:color w:val="000000"/>
          <w:sz w:val="18"/>
          <w:szCs w:val="20"/>
          <w:lang w:val="de-DE"/>
        </w:rPr>
        <w:t xml:space="preserve">. </w:t>
      </w:r>
      <w:r w:rsidRPr="00571807">
        <w:rPr>
          <w:rFonts w:ascii="Tahoma" w:hAnsi="Tahoma" w:cs="Tahoma"/>
          <w:bCs/>
          <w:color w:val="000000"/>
          <w:sz w:val="18"/>
          <w:szCs w:val="20"/>
          <w:lang w:val="de-DE"/>
        </w:rPr>
        <w:t>Dieser Onlinedienst hieß früher Antigen für Instant Messaging</w:t>
      </w:r>
      <w:r w:rsidR="006257A7">
        <w:rPr>
          <w:rFonts w:ascii="Tahoma" w:hAnsi="Tahoma" w:cs="Tahoma"/>
          <w:bCs/>
          <w:color w:val="000000"/>
          <w:sz w:val="18"/>
          <w:szCs w:val="20"/>
          <w:lang w:val="de-DE"/>
        </w:rPr>
        <w:t xml:space="preserve">. </w:t>
      </w:r>
    </w:p>
    <w:p w:rsidR="00E73313" w:rsidRPr="00571807" w:rsidRDefault="00E73313" w:rsidP="00E73313">
      <w:pPr>
        <w:rPr>
          <w:lang w:val="de-DE"/>
        </w:rPr>
      </w:pPr>
      <w:bookmarkStart w:id="1351" w:name="Srv_48ForefrontSvrSecMgmtConsole"/>
    </w:p>
    <w:p w:rsidR="00E73313" w:rsidRPr="00571807" w:rsidRDefault="00E73313" w:rsidP="00E73313">
      <w:pPr>
        <w:rPr>
          <w:lang w:val="de-DE"/>
        </w:rPr>
      </w:pPr>
      <w:bookmarkStart w:id="1352" w:name="_49_Forefront_Threat"/>
      <w:bookmarkStart w:id="1353" w:name="Srv_52ForefrontUnifiedAccessGtwy2010"/>
      <w:bookmarkStart w:id="1354" w:name="Srv_56ForefrontUnifiedAccessGtwy2010"/>
      <w:bookmarkEnd w:id="1351"/>
      <w:bookmarkEnd w:id="1352"/>
    </w:p>
    <w:p w:rsidR="00E73313" w:rsidRPr="00571807" w:rsidRDefault="00E73313" w:rsidP="00E73313">
      <w:pPr>
        <w:pStyle w:val="Heading3"/>
        <w:rPr>
          <w:lang w:val="de-DE"/>
        </w:rPr>
      </w:pPr>
      <w:bookmarkStart w:id="1355" w:name="_50__Forefront"/>
      <w:bookmarkStart w:id="1356" w:name="_57_Forefront_Threat"/>
      <w:bookmarkStart w:id="1357" w:name="_66_Forefront_Threat"/>
      <w:bookmarkStart w:id="1358" w:name="_67_Forefront_Threat"/>
      <w:bookmarkStart w:id="1359" w:name="_Toc336338321"/>
      <w:bookmarkStart w:id="1360" w:name="Srv_51ForefrontThreatMgmtGtwy2010"/>
      <w:bookmarkStart w:id="1361" w:name="_Toc363999064"/>
      <w:bookmarkEnd w:id="1355"/>
      <w:bookmarkEnd w:id="1356"/>
      <w:bookmarkEnd w:id="1357"/>
      <w:bookmarkEnd w:id="1358"/>
      <w:r w:rsidRPr="00571807">
        <w:rPr>
          <w:rFonts w:ascii="Tahoma" w:hAnsi="Tahoma"/>
          <w:caps/>
          <w:color w:val="F66400"/>
          <w:sz w:val="22"/>
          <w:vertAlign w:val="superscript"/>
          <w:lang w:val="de-DE"/>
        </w:rPr>
        <w:t>67</w:t>
      </w:r>
      <w:r w:rsidRPr="00C652D4">
        <w:rPr>
          <w:rFonts w:ascii="Tahoma" w:hAnsi="Tahoma"/>
          <w:caps/>
          <w:color w:val="F66400"/>
          <w:sz w:val="22"/>
          <w:lang w:val="de-DE"/>
        </w:rPr>
        <w:t xml:space="preserve"> </w:t>
      </w:r>
      <w:r w:rsidRPr="00571807">
        <w:rPr>
          <w:rFonts w:ascii="Tahoma" w:hAnsi="Tahoma"/>
          <w:color w:val="F66400"/>
          <w:sz w:val="22"/>
          <w:lang w:val="de-DE"/>
        </w:rPr>
        <w:t xml:space="preserve">Forefront Threat Management Gateway </w:t>
      </w:r>
      <w:bookmarkEnd w:id="1359"/>
      <w:r w:rsidRPr="00571807">
        <w:rPr>
          <w:rFonts w:ascii="Tahoma" w:hAnsi="Tahoma"/>
          <w:color w:val="F66400"/>
          <w:sz w:val="22"/>
          <w:lang w:val="de-DE"/>
        </w:rPr>
        <w:t>Web Protection Service</w:t>
      </w:r>
      <w:bookmarkEnd w:id="1360"/>
      <w:bookmarkEnd w:id="1361"/>
    </w:p>
    <w:p w:rsidR="00E73313" w:rsidRPr="00571807" w:rsidRDefault="00E73313" w:rsidP="00E73313">
      <w:pPr>
        <w:rPr>
          <w:lang w:val="de-DE"/>
        </w:rPr>
      </w:pPr>
    </w:p>
    <w:p w:rsidR="00E73313" w:rsidRPr="00571807" w:rsidRDefault="00E73313" w:rsidP="00E73313">
      <w:pPr>
        <w:ind w:left="720"/>
        <w:rPr>
          <w:lang w:val="de-DE"/>
        </w:rPr>
      </w:pPr>
      <w:bookmarkStart w:id="1362" w:name="_Toc336338322"/>
      <w:r>
        <w:rPr>
          <w:rFonts w:cs="Tahoma"/>
          <w:bCs/>
          <w:color w:val="000000"/>
          <w:szCs w:val="18"/>
        </w:rPr>
        <w:t>Forefront Threat Management Gateway Web Protection Service ist ab dem 1</w:t>
      </w:r>
      <w:r w:rsidR="006257A7">
        <w:rPr>
          <w:rFonts w:cs="Tahoma"/>
          <w:bCs/>
          <w:color w:val="000000"/>
          <w:szCs w:val="18"/>
        </w:rPr>
        <w:t xml:space="preserve">. </w:t>
      </w:r>
      <w:r w:rsidRPr="00571807">
        <w:rPr>
          <w:rFonts w:cs="Tahoma"/>
          <w:bCs/>
          <w:color w:val="000000"/>
          <w:szCs w:val="18"/>
          <w:lang w:val="de-DE"/>
        </w:rPr>
        <w:t>Dezember 2012 nicht mehr verfügbar</w:t>
      </w:r>
      <w:r w:rsidR="006257A7">
        <w:rPr>
          <w:rFonts w:cs="Tahoma"/>
          <w:bCs/>
          <w:color w:val="000000"/>
          <w:szCs w:val="18"/>
          <w:lang w:val="de-DE"/>
        </w:rPr>
        <w:t xml:space="preserve">. </w:t>
      </w:r>
      <w:r w:rsidRPr="00571807">
        <w:rPr>
          <w:rFonts w:cs="Tahoma"/>
          <w:bCs/>
          <w:color w:val="000000"/>
          <w:szCs w:val="18"/>
          <w:lang w:val="de-DE"/>
        </w:rPr>
        <w:t>Kunden mit aktiven Abonnements für den Onlinedienst zum 30</w:t>
      </w:r>
      <w:r w:rsidR="006257A7">
        <w:rPr>
          <w:rFonts w:cs="Tahoma"/>
          <w:bCs/>
          <w:color w:val="000000"/>
          <w:szCs w:val="18"/>
          <w:lang w:val="de-DE"/>
        </w:rPr>
        <w:t xml:space="preserve">. </w:t>
      </w:r>
      <w:r w:rsidRPr="00571807">
        <w:rPr>
          <w:rFonts w:cs="Tahoma"/>
          <w:bCs/>
          <w:color w:val="000000"/>
          <w:szCs w:val="18"/>
          <w:lang w:val="de-DE"/>
        </w:rPr>
        <w:t>November 2012 sind berechtigt, den Onlinedienst weiterhin bis zum 31</w:t>
      </w:r>
      <w:r w:rsidR="006257A7">
        <w:rPr>
          <w:rFonts w:cs="Tahoma"/>
          <w:bCs/>
          <w:color w:val="000000"/>
          <w:szCs w:val="18"/>
          <w:lang w:val="de-DE"/>
        </w:rPr>
        <w:t xml:space="preserve">. </w:t>
      </w:r>
      <w:r w:rsidRPr="00571807">
        <w:rPr>
          <w:rFonts w:cs="Tahoma"/>
          <w:bCs/>
          <w:color w:val="000000"/>
          <w:szCs w:val="18"/>
          <w:lang w:val="de-DE"/>
        </w:rPr>
        <w:t>Dezember 2015 zu nutzen</w:t>
      </w:r>
      <w:r w:rsidR="006257A7">
        <w:rPr>
          <w:rFonts w:cs="Tahoma"/>
          <w:bCs/>
          <w:color w:val="000000"/>
          <w:szCs w:val="18"/>
          <w:lang w:val="de-DE"/>
        </w:rPr>
        <w:t xml:space="preserve">. </w:t>
      </w:r>
      <w:r w:rsidRPr="00571807">
        <w:rPr>
          <w:lang w:val="de-DE"/>
        </w:rPr>
        <w:t>Bestehende Kunden sind außerdem berechtigt, neue Nutzer nach Bedarf hinzuzufügen, ohne zusätzliche Nutzer-Abonnementlizenzen bestellen zu müssen</w:t>
      </w:r>
      <w:r w:rsidR="006257A7">
        <w:rPr>
          <w:lang w:val="de-DE"/>
        </w:rPr>
        <w:t xml:space="preserve">. </w:t>
      </w:r>
      <w:r w:rsidRPr="00571807">
        <w:rPr>
          <w:rFonts w:cs="Tahoma"/>
          <w:bCs/>
          <w:color w:val="000000"/>
          <w:szCs w:val="18"/>
          <w:lang w:val="de-DE"/>
        </w:rPr>
        <w:t>Die fortgesetzte Verwendung des Onlinedienstes unterliegt weiterhin den Bestimmungen des Volumenlizenzvertrages des Kunden, den Produktbenutzungsrechten für den Onlinedienst und den hierin enthaltenen Bestimmungen</w:t>
      </w:r>
      <w:r w:rsidR="006257A7">
        <w:rPr>
          <w:rFonts w:cs="Tahoma"/>
          <w:bCs/>
          <w:color w:val="000000"/>
          <w:szCs w:val="18"/>
          <w:lang w:val="de-DE"/>
        </w:rPr>
        <w:t xml:space="preserve">. </w:t>
      </w:r>
    </w:p>
    <w:p w:rsidR="00E73313" w:rsidRPr="00571807" w:rsidRDefault="00E73313" w:rsidP="00E73313">
      <w:pPr>
        <w:rPr>
          <w:lang w:val="de-DE"/>
        </w:rPr>
      </w:pPr>
    </w:p>
    <w:p w:rsidR="00E73313" w:rsidRPr="00571807" w:rsidRDefault="00E73313" w:rsidP="00E73313">
      <w:pPr>
        <w:rPr>
          <w:lang w:val="de-DE"/>
        </w:rPr>
      </w:pPr>
    </w:p>
    <w:p w:rsidR="00E73313" w:rsidRPr="00571807" w:rsidRDefault="00E73313" w:rsidP="00E73313">
      <w:pPr>
        <w:pStyle w:val="Heading3"/>
        <w:rPr>
          <w:lang w:val="de-DE"/>
        </w:rPr>
      </w:pPr>
      <w:bookmarkStart w:id="1363" w:name="_67_Forefront_Unified"/>
      <w:bookmarkStart w:id="1364" w:name="_68_Forefront_Unified"/>
      <w:bookmarkStart w:id="1365" w:name="_Toc363999065"/>
      <w:bookmarkEnd w:id="1363"/>
      <w:bookmarkEnd w:id="1364"/>
      <w:r w:rsidRPr="00571807">
        <w:rPr>
          <w:rFonts w:ascii="Tahoma" w:hAnsi="Tahoma"/>
          <w:caps/>
          <w:color w:val="F66400"/>
          <w:sz w:val="22"/>
          <w:vertAlign w:val="superscript"/>
          <w:lang w:val="de-DE"/>
        </w:rPr>
        <w:t>68</w:t>
      </w:r>
      <w:r w:rsidRPr="00C652D4">
        <w:rPr>
          <w:rFonts w:ascii="Tahoma" w:hAnsi="Tahoma"/>
          <w:caps/>
          <w:color w:val="F66400"/>
          <w:sz w:val="22"/>
          <w:lang w:val="de-DE"/>
        </w:rPr>
        <w:t xml:space="preserve"> </w:t>
      </w:r>
      <w:r w:rsidRPr="00571807">
        <w:rPr>
          <w:rFonts w:ascii="Tahoma" w:hAnsi="Tahoma"/>
          <w:color w:val="F66400"/>
          <w:sz w:val="22"/>
          <w:lang w:val="de-DE"/>
        </w:rPr>
        <w:t>Forefront Unified Access Gateway 2010</w:t>
      </w:r>
      <w:bookmarkEnd w:id="1362"/>
      <w:bookmarkEnd w:id="1365"/>
    </w:p>
    <w:bookmarkEnd w:id="1353"/>
    <w:bookmarkEnd w:id="1354"/>
    <w:p w:rsidR="00E73313" w:rsidRPr="00571807" w:rsidRDefault="00E73313" w:rsidP="00E73313">
      <w:pPr>
        <w:rPr>
          <w:lang w:val="de-DE"/>
        </w:rPr>
      </w:pPr>
    </w:p>
    <w:p w:rsidR="00E73313" w:rsidRPr="00571807" w:rsidRDefault="00E73313" w:rsidP="00E73313">
      <w:pPr>
        <w:spacing w:after="60"/>
        <w:ind w:left="720"/>
        <w:rPr>
          <w:lang w:val="de-DE"/>
        </w:rPr>
      </w:pPr>
      <w:r w:rsidRPr="00571807">
        <w:rPr>
          <w:rFonts w:cs="Tahoma"/>
          <w:b/>
          <w:color w:val="000000"/>
          <w:szCs w:val="18"/>
          <w:lang w:val="de-DE"/>
        </w:rPr>
        <w:t>Version</w:t>
      </w:r>
    </w:p>
    <w:p w:rsidR="00E73313" w:rsidRPr="00571807" w:rsidRDefault="00E73313" w:rsidP="00C652D4">
      <w:pPr>
        <w:ind w:left="720"/>
        <w:rPr>
          <w:lang w:val="de-DE"/>
        </w:rPr>
      </w:pPr>
      <w:r w:rsidRPr="00571807">
        <w:rPr>
          <w:rFonts w:cs="Tahoma"/>
          <w:color w:val="000000"/>
          <w:szCs w:val="18"/>
          <w:lang w:val="de-DE"/>
        </w:rPr>
        <w:t>Forefront Unified Access Gateway 2010 ist die nächste Version von Whale Intelligent Application Gateway</w:t>
      </w:r>
      <w:r w:rsidR="00C652D4">
        <w:rPr>
          <w:rFonts w:cs="Tahoma"/>
          <w:color w:val="000000"/>
          <w:szCs w:val="18"/>
          <w:lang w:val="de-DE"/>
        </w:rPr>
        <w:t> </w:t>
      </w:r>
      <w:r w:rsidRPr="00571807">
        <w:rPr>
          <w:rFonts w:cs="Tahoma"/>
          <w:color w:val="000000"/>
          <w:szCs w:val="18"/>
          <w:lang w:val="de-DE"/>
        </w:rPr>
        <w:t>2007</w:t>
      </w:r>
      <w:r w:rsidR="006257A7">
        <w:rPr>
          <w:rFonts w:cs="Tahoma"/>
          <w:color w:val="000000"/>
          <w:szCs w:val="18"/>
          <w:lang w:val="de-DE"/>
        </w:rPr>
        <w:t xml:space="preserve">. </w:t>
      </w:r>
    </w:p>
    <w:p w:rsidR="00E73313" w:rsidRPr="00571807" w:rsidRDefault="00E73313" w:rsidP="00E73313">
      <w:pPr>
        <w:ind w:left="720"/>
        <w:rPr>
          <w:lang w:val="de-DE"/>
        </w:rPr>
      </w:pPr>
    </w:p>
    <w:p w:rsidR="00E73313" w:rsidRDefault="00E73313" w:rsidP="00E73313">
      <w:pPr>
        <w:ind w:left="720"/>
        <w:rPr>
          <w:lang w:val="de-DE"/>
        </w:rPr>
      </w:pPr>
    </w:p>
    <w:p w:rsidR="00C652D4" w:rsidRDefault="00C652D4" w:rsidP="00E73313">
      <w:pPr>
        <w:ind w:left="720"/>
        <w:rPr>
          <w:lang w:val="de-DE"/>
        </w:rPr>
      </w:pPr>
    </w:p>
    <w:p w:rsidR="00C652D4" w:rsidRDefault="00C652D4" w:rsidP="00E73313">
      <w:pPr>
        <w:ind w:left="720"/>
        <w:rPr>
          <w:lang w:val="de-DE"/>
        </w:rPr>
      </w:pPr>
    </w:p>
    <w:p w:rsidR="00E73313" w:rsidRPr="00571807" w:rsidRDefault="00E73313" w:rsidP="00E73313">
      <w:pPr>
        <w:pStyle w:val="Heading3"/>
        <w:rPr>
          <w:lang w:val="de-DE"/>
        </w:rPr>
      </w:pPr>
      <w:bookmarkStart w:id="1366" w:name="_51_High_Performance"/>
      <w:bookmarkStart w:id="1367" w:name="_63_61_HPC"/>
      <w:bookmarkStart w:id="1368" w:name="_68_HPC_Pack"/>
      <w:bookmarkStart w:id="1369" w:name="_69_HPC_Pack"/>
      <w:bookmarkStart w:id="1370" w:name="_Toc336338323"/>
      <w:bookmarkStart w:id="1371" w:name="_Toc363999066"/>
      <w:bookmarkStart w:id="1372" w:name="Srv_48HighPerfComputingPack"/>
      <w:bookmarkStart w:id="1373" w:name="Srv_54HighPerfComputingPack"/>
      <w:bookmarkStart w:id="1374" w:name="Srv_49HighPerfComputingPack"/>
      <w:bookmarkEnd w:id="1366"/>
      <w:bookmarkEnd w:id="1367"/>
      <w:bookmarkEnd w:id="1368"/>
      <w:bookmarkEnd w:id="1369"/>
      <w:r w:rsidRPr="00571807">
        <w:rPr>
          <w:rFonts w:ascii="Tahoma" w:hAnsi="Tahoma"/>
          <w:caps/>
          <w:color w:val="F66400"/>
          <w:sz w:val="22"/>
          <w:vertAlign w:val="superscript"/>
          <w:lang w:val="de-DE"/>
        </w:rPr>
        <w:t>69</w:t>
      </w:r>
      <w:r w:rsidRPr="00C652D4">
        <w:rPr>
          <w:rFonts w:ascii="Tahoma" w:hAnsi="Tahoma"/>
          <w:caps/>
          <w:color w:val="F66400"/>
          <w:sz w:val="22"/>
          <w:lang w:val="de-DE"/>
        </w:rPr>
        <w:t xml:space="preserve"> </w:t>
      </w:r>
      <w:r w:rsidRPr="00571807">
        <w:rPr>
          <w:rFonts w:ascii="Tahoma" w:hAnsi="Tahoma"/>
          <w:color w:val="F66400"/>
          <w:sz w:val="22"/>
          <w:lang w:val="de-DE"/>
        </w:rPr>
        <w:t>HPC Pack 2008 R2 Enterprise</w:t>
      </w:r>
      <w:bookmarkEnd w:id="1370"/>
      <w:bookmarkEnd w:id="1371"/>
    </w:p>
    <w:bookmarkEnd w:id="1372"/>
    <w:bookmarkEnd w:id="1373"/>
    <w:p w:rsidR="00E73313" w:rsidRPr="00571807" w:rsidRDefault="00E73313" w:rsidP="00E73313">
      <w:pPr>
        <w:ind w:left="720"/>
        <w:rPr>
          <w:lang w:val="de-DE"/>
        </w:rPr>
      </w:pPr>
    </w:p>
    <w:bookmarkEnd w:id="1374"/>
    <w:p w:rsidR="00E73313" w:rsidRPr="00571807" w:rsidRDefault="00E73313" w:rsidP="00E73313">
      <w:pPr>
        <w:spacing w:after="60"/>
        <w:ind w:left="720"/>
        <w:rPr>
          <w:lang w:val="de-DE"/>
        </w:rPr>
      </w:pPr>
      <w:r w:rsidRPr="00571807">
        <w:rPr>
          <w:b/>
          <w:color w:val="000000"/>
          <w:lang w:val="de-DE"/>
        </w:rPr>
        <w:t>Lizenzgewährungen im Zusammenhang mit dem Ende der Lebensdauer von HPC Pack Enterprise</w:t>
      </w:r>
    </w:p>
    <w:p w:rsidR="00E73313" w:rsidRPr="00571807" w:rsidRDefault="00E73313" w:rsidP="00E73313">
      <w:pPr>
        <w:ind w:left="720"/>
        <w:rPr>
          <w:lang w:val="de-DE"/>
        </w:rPr>
      </w:pPr>
      <w:r w:rsidRPr="00571807">
        <w:rPr>
          <w:color w:val="000000"/>
          <w:lang w:val="de-DE"/>
        </w:rPr>
        <w:t>HPC Pack 2008 R2 Enterprise ist die letzte Version von HPC Pack Enterprise, die über Volumenlizenzierung verkauft wird</w:t>
      </w:r>
      <w:r w:rsidR="006257A7">
        <w:rPr>
          <w:color w:val="000000"/>
          <w:lang w:val="de-DE"/>
        </w:rPr>
        <w:t xml:space="preserve">. </w:t>
      </w:r>
      <w:r w:rsidRPr="00571807">
        <w:rPr>
          <w:color w:val="000000"/>
          <w:lang w:val="de-DE"/>
        </w:rPr>
        <w:t>Künftige Versionen werden als kostenloser Download zur Verfügung gestellt</w:t>
      </w:r>
      <w:r w:rsidR="006257A7">
        <w:rPr>
          <w:color w:val="000000"/>
          <w:lang w:val="de-DE"/>
        </w:rPr>
        <w:t xml:space="preserve">. </w:t>
      </w:r>
      <w:r w:rsidRPr="00571807">
        <w:rPr>
          <w:color w:val="000000"/>
          <w:lang w:val="de-DE"/>
        </w:rPr>
        <w:t>Volumenlizenzkunden, die am 1</w:t>
      </w:r>
      <w:r w:rsidR="006257A7">
        <w:rPr>
          <w:color w:val="000000"/>
          <w:lang w:val="de-DE"/>
        </w:rPr>
        <w:t xml:space="preserve">. </w:t>
      </w:r>
      <w:r w:rsidRPr="00571807">
        <w:rPr>
          <w:color w:val="000000"/>
          <w:lang w:val="de-DE"/>
        </w:rPr>
        <w:t xml:space="preserve">September 2012 oder am Datum der ersten Verfügbarkeit von Windows Server 2012 zum Download im Volume Licensing Service Center, wobei das frühere Datum maßgeblich ist, über aktive Software Assurance für HPC Pack 2008 R2 Enterprise-Lizenzen verfügen, („Qualifizierende Lizenzen“) sind berechtigt, </w:t>
      </w:r>
      <w:r w:rsidRPr="00571807">
        <w:rPr>
          <w:rFonts w:eastAsia="Calibri" w:cs="Tahoma"/>
          <w:szCs w:val="18"/>
          <w:lang w:val="de-DE"/>
        </w:rPr>
        <w:t>die Software Windows Server 2012 Standard zu verwenden</w:t>
      </w:r>
      <w:r w:rsidR="006257A7">
        <w:rPr>
          <w:rFonts w:eastAsia="Calibri" w:cs="Tahoma"/>
          <w:szCs w:val="18"/>
          <w:lang w:val="de-DE"/>
        </w:rPr>
        <w:t xml:space="preserve">. </w:t>
      </w:r>
      <w:r w:rsidRPr="00571807">
        <w:rPr>
          <w:rFonts w:eastAsia="Calibri" w:cs="Tahoma"/>
          <w:szCs w:val="18"/>
          <w:lang w:val="de-DE"/>
        </w:rPr>
        <w:t>Um diese Verwendung zu erleichtern, wird angenommen, dass dem Kunden bei Verfügbarkeit von Windows Server 2012 für jeweils zwei Qualifizierende Lizenzen, die der Kunde besitzt, eine Windows Server 2012 Standard-Prozessorlizenz gewährt wird</w:t>
      </w:r>
      <w:r w:rsidR="006257A7">
        <w:rPr>
          <w:rFonts w:eastAsia="Calibri" w:cs="Tahoma"/>
          <w:szCs w:val="18"/>
          <w:lang w:val="de-DE"/>
        </w:rPr>
        <w:t xml:space="preserve">. </w:t>
      </w:r>
    </w:p>
    <w:p w:rsidR="00E73313" w:rsidRPr="00571807" w:rsidRDefault="00E73313" w:rsidP="00E73313">
      <w:pPr>
        <w:ind w:left="720"/>
        <w:rPr>
          <w:lang w:val="de-DE"/>
        </w:rPr>
      </w:pPr>
    </w:p>
    <w:p w:rsidR="00E73313" w:rsidRPr="00571807" w:rsidRDefault="00E73313" w:rsidP="00E73313">
      <w:pPr>
        <w:numPr>
          <w:ilvl w:val="0"/>
          <w:numId w:val="56"/>
        </w:numPr>
        <w:tabs>
          <w:tab w:val="clear" w:pos="360"/>
          <w:tab w:val="left" w:pos="1440"/>
        </w:tabs>
        <w:spacing w:after="60"/>
        <w:ind w:left="1440"/>
        <w:rPr>
          <w:lang w:val="de-DE"/>
        </w:rPr>
      </w:pPr>
      <w:r w:rsidRPr="00571807">
        <w:rPr>
          <w:color w:val="000000"/>
          <w:lang w:val="de-DE"/>
        </w:rPr>
        <w:t>Wenn ein Kunde über eine ungerade Anzahl von HPC Pack Enterprise-Lizenzen verfügt, muss der Kunde auf die nächste gerade Zahl aufrunden, um festzustellen, wie viele Lizenzen ihm gewährt werden</w:t>
      </w:r>
      <w:r w:rsidR="006257A7">
        <w:rPr>
          <w:color w:val="000000"/>
          <w:lang w:val="de-DE"/>
        </w:rPr>
        <w:t xml:space="preserve">. </w:t>
      </w:r>
      <w:r w:rsidRPr="00571807">
        <w:rPr>
          <w:color w:val="000000"/>
          <w:lang w:val="de-DE"/>
        </w:rPr>
        <w:t>Beispiel: Einem Kunden, der über drei HPC Pack Enterprise-Lizenzen verfügt, werden insgesamt zwei Windows Server 2012 Standard-Lizenzen gewährt</w:t>
      </w:r>
      <w:r w:rsidR="006257A7">
        <w:rPr>
          <w:color w:val="000000"/>
          <w:lang w:val="de-DE"/>
        </w:rPr>
        <w:t xml:space="preserve">. </w:t>
      </w:r>
    </w:p>
    <w:p w:rsidR="00E73313" w:rsidRPr="00571807" w:rsidRDefault="00E73313" w:rsidP="00E73313">
      <w:pPr>
        <w:pStyle w:val="ListParagraph"/>
        <w:numPr>
          <w:ilvl w:val="0"/>
          <w:numId w:val="56"/>
        </w:numPr>
        <w:tabs>
          <w:tab w:val="clear" w:pos="360"/>
          <w:tab w:val="left" w:pos="1440"/>
        </w:tabs>
        <w:spacing w:after="60"/>
        <w:ind w:left="1440"/>
        <w:contextualSpacing w:val="0"/>
        <w:rPr>
          <w:lang w:val="de-DE"/>
        </w:rPr>
      </w:pPr>
      <w:r w:rsidRPr="00571807">
        <w:rPr>
          <w:rFonts w:ascii="Tahoma" w:eastAsia="Calibri" w:hAnsi="Tahoma" w:cs="Tahoma"/>
          <w:sz w:val="18"/>
          <w:szCs w:val="18"/>
          <w:lang w:val="de-DE"/>
        </w:rPr>
        <w:t>Lizenzen, die im Rahmen dieser Gewährung erworben werden, umfassen Software Assurance</w:t>
      </w:r>
      <w:r w:rsidR="006257A7">
        <w:rPr>
          <w:rFonts w:ascii="Tahoma" w:eastAsia="Calibri" w:hAnsi="Tahoma" w:cs="Tahoma"/>
          <w:sz w:val="18"/>
          <w:szCs w:val="18"/>
          <w:lang w:val="de-DE"/>
        </w:rPr>
        <w:t xml:space="preserve">. </w:t>
      </w:r>
      <w:r w:rsidRPr="00571807">
        <w:rPr>
          <w:rFonts w:ascii="Tahoma" w:eastAsia="Calibri" w:hAnsi="Tahoma" w:cs="Tahoma"/>
          <w:sz w:val="18"/>
          <w:szCs w:val="18"/>
          <w:lang w:val="de-DE"/>
        </w:rPr>
        <w:t>Diese Software Assurance gilt bis zum Ablauf der Software Assurance für die Qualifizierenden Lizenzen</w:t>
      </w:r>
      <w:r w:rsidR="006257A7">
        <w:rPr>
          <w:rFonts w:ascii="Tahoma" w:eastAsia="Calibri" w:hAnsi="Tahoma" w:cs="Tahoma"/>
          <w:sz w:val="18"/>
          <w:szCs w:val="18"/>
          <w:lang w:val="de-DE"/>
        </w:rPr>
        <w:t xml:space="preserve">. </w:t>
      </w:r>
    </w:p>
    <w:p w:rsidR="00E73313" w:rsidRPr="00571807" w:rsidRDefault="00E73313" w:rsidP="00E73313">
      <w:pPr>
        <w:pStyle w:val="ListParagraph"/>
        <w:numPr>
          <w:ilvl w:val="0"/>
          <w:numId w:val="56"/>
        </w:numPr>
        <w:tabs>
          <w:tab w:val="clear" w:pos="360"/>
          <w:tab w:val="left" w:pos="1440"/>
        </w:tabs>
        <w:spacing w:after="60"/>
        <w:ind w:left="1440"/>
        <w:contextualSpacing w:val="0"/>
        <w:rPr>
          <w:lang w:val="de-DE"/>
        </w:rPr>
      </w:pPr>
      <w:r w:rsidRPr="00571807">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r w:rsidR="006257A7">
        <w:rPr>
          <w:rFonts w:ascii="Tahoma" w:eastAsia="Calibri" w:hAnsi="Tahoma" w:cs="Tahoma"/>
          <w:sz w:val="18"/>
          <w:szCs w:val="18"/>
          <w:lang w:val="de-DE"/>
        </w:rPr>
        <w:t xml:space="preserve">. </w:t>
      </w:r>
    </w:p>
    <w:p w:rsidR="00E73313" w:rsidRPr="00571807" w:rsidRDefault="00E73313" w:rsidP="00E73313">
      <w:pPr>
        <w:numPr>
          <w:ilvl w:val="0"/>
          <w:numId w:val="56"/>
        </w:numPr>
        <w:tabs>
          <w:tab w:val="clear" w:pos="360"/>
          <w:tab w:val="left" w:pos="1440"/>
          <w:tab w:val="left" w:pos="2160"/>
        </w:tabs>
        <w:spacing w:after="60"/>
        <w:ind w:left="1440"/>
        <w:rPr>
          <w:lang w:val="de-DE"/>
        </w:rPr>
      </w:pPr>
      <w:r w:rsidRPr="00571807">
        <w:rPr>
          <w:rFonts w:eastAsia="Calibri" w:cs="Tahoma"/>
          <w:szCs w:val="18"/>
          <w:lang w:val="de-DE"/>
        </w:rPr>
        <w:t xml:space="preserve">Bei Upgrade auf Windows Server 2012 Standard unter dieser Gewährung bleiben die bestehenden </w:t>
      </w:r>
      <w:r w:rsidRPr="00571807">
        <w:rPr>
          <w:color w:val="000000"/>
          <w:lang w:val="de-DE"/>
        </w:rPr>
        <w:t>HPC Pack Enterprise-</w:t>
      </w:r>
      <w:r w:rsidRPr="00571807">
        <w:rPr>
          <w:rFonts w:eastAsia="Calibri" w:cs="Tahoma"/>
          <w:szCs w:val="18"/>
          <w:lang w:val="de-DE"/>
        </w:rPr>
        <w:t>Lizenzen des Kunden gültig</w:t>
      </w:r>
      <w:r w:rsidR="006257A7">
        <w:rPr>
          <w:rFonts w:eastAsia="Calibri" w:cs="Tahoma"/>
          <w:szCs w:val="18"/>
          <w:lang w:val="de-DE"/>
        </w:rPr>
        <w:t xml:space="preserve">. </w:t>
      </w:r>
    </w:p>
    <w:p w:rsidR="00E73313" w:rsidRPr="00571807" w:rsidRDefault="00E73313" w:rsidP="00E73313">
      <w:pPr>
        <w:numPr>
          <w:ilvl w:val="0"/>
          <w:numId w:val="56"/>
        </w:numPr>
        <w:tabs>
          <w:tab w:val="clear" w:pos="360"/>
          <w:tab w:val="left" w:pos="1440"/>
          <w:tab w:val="left" w:pos="2160"/>
        </w:tabs>
        <w:spacing w:after="60"/>
        <w:ind w:left="1440"/>
        <w:rPr>
          <w:lang w:val="de-DE"/>
        </w:rPr>
      </w:pPr>
      <w:r w:rsidRPr="00571807">
        <w:rPr>
          <w:color w:val="000000"/>
          <w:lang w:val="de-DE"/>
        </w:rPr>
        <w:t>HPC Pack 2008 R2 Enterprise</w:t>
      </w:r>
      <w:r w:rsidRPr="00571807">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6257A7">
        <w:rPr>
          <w:rFonts w:cs="Tahoma"/>
          <w:bCs/>
          <w:color w:val="000000"/>
          <w:szCs w:val="18"/>
          <w:lang w:val="de-DE"/>
        </w:rPr>
        <w:t xml:space="preserve">. </w:t>
      </w:r>
    </w:p>
    <w:p w:rsidR="00E73313" w:rsidRPr="00571807" w:rsidRDefault="00E73313" w:rsidP="00E73313">
      <w:pPr>
        <w:numPr>
          <w:ilvl w:val="0"/>
          <w:numId w:val="56"/>
        </w:numPr>
        <w:tabs>
          <w:tab w:val="clear" w:pos="360"/>
          <w:tab w:val="left" w:pos="1440"/>
          <w:tab w:val="left" w:pos="2160"/>
        </w:tabs>
        <w:spacing w:after="60"/>
        <w:ind w:left="1440"/>
        <w:rPr>
          <w:lang w:val="de-DE"/>
        </w:rPr>
      </w:pPr>
      <w:r w:rsidRPr="00571807">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r w:rsidR="006257A7">
        <w:rPr>
          <w:rFonts w:cs="Tahoma"/>
          <w:bCs/>
          <w:color w:val="000000"/>
          <w:szCs w:val="18"/>
          <w:lang w:val="de-DE"/>
        </w:rPr>
        <w:t xml:space="preserve">. </w:t>
      </w:r>
    </w:p>
    <w:p w:rsidR="00E73313" w:rsidRPr="00571807" w:rsidRDefault="00E73313" w:rsidP="00E73313">
      <w:pPr>
        <w:tabs>
          <w:tab w:val="left" w:pos="1440"/>
          <w:tab w:val="left" w:pos="2160"/>
        </w:tabs>
        <w:ind w:left="1080"/>
        <w:contextualSpacing/>
        <w:rPr>
          <w:lang w:val="de-DE"/>
        </w:rPr>
      </w:pPr>
    </w:p>
    <w:p w:rsidR="00E73313" w:rsidRPr="00571807" w:rsidRDefault="00E73313" w:rsidP="00E73313">
      <w:pPr>
        <w:spacing w:after="60"/>
        <w:ind w:left="720"/>
        <w:rPr>
          <w:lang w:val="de-DE"/>
        </w:rPr>
      </w:pPr>
      <w:r w:rsidRPr="00571807">
        <w:rPr>
          <w:b/>
          <w:color w:val="000000"/>
          <w:lang w:val="de-DE"/>
        </w:rPr>
        <w:t>Zusätzliche Informationen zur Verwendung von Windows Server 2012 für High Performance Computing (HPC)</w:t>
      </w:r>
    </w:p>
    <w:p w:rsidR="00E73313" w:rsidRPr="00571807" w:rsidRDefault="00E73313" w:rsidP="00E73313">
      <w:pPr>
        <w:ind w:left="720"/>
        <w:rPr>
          <w:lang w:val="de-DE"/>
        </w:rPr>
      </w:pPr>
      <w:r w:rsidRPr="00571807">
        <w:rPr>
          <w:color w:val="000000"/>
          <w:lang w:val="de-DE"/>
        </w:rPr>
        <w:t>Wenn Windows Server 2012 Standard oder Datacenter für High Performance Computing verwendet wird, benötigen Sie keine CALs für den Zugriff auf die Software</w:t>
      </w:r>
      <w:r w:rsidR="006257A7">
        <w:rPr>
          <w:color w:val="000000"/>
          <w:lang w:val="de-DE"/>
        </w:rPr>
        <w:t xml:space="preserve">. </w:t>
      </w:r>
      <w:r w:rsidRPr="00571807">
        <w:rPr>
          <w:color w:val="000000"/>
          <w:lang w:val="de-DE"/>
        </w:rPr>
        <w:t>Eine „High Performance Computing (“HPC”)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w:t>
      </w:r>
      <w:r w:rsidR="006257A7">
        <w:rPr>
          <w:color w:val="000000"/>
          <w:lang w:val="de-DE"/>
        </w:rPr>
        <w:t xml:space="preserve">. </w:t>
      </w:r>
      <w:r w:rsidRPr="00571807">
        <w:rPr>
          <w:color w:val="000000"/>
          <w:lang w:val="de-DE"/>
        </w:rPr>
        <w:t>Zusätzliche Informationen finden Sie in den Produktbenutzungsrechten</w:t>
      </w:r>
      <w:r w:rsidR="006257A7">
        <w:rPr>
          <w:color w:val="000000"/>
          <w:lang w:val="de-DE"/>
        </w:rPr>
        <w:t xml:space="preserve">. </w:t>
      </w:r>
    </w:p>
    <w:p w:rsidR="00E73313" w:rsidRPr="00571807" w:rsidRDefault="00E73313" w:rsidP="00E73313">
      <w:pPr>
        <w:ind w:left="216"/>
        <w:rPr>
          <w:lang w:val="de-DE"/>
        </w:rPr>
      </w:pPr>
    </w:p>
    <w:p w:rsidR="00E73313" w:rsidRPr="00571807" w:rsidRDefault="00E73313" w:rsidP="00E73313">
      <w:pPr>
        <w:ind w:left="216"/>
        <w:rPr>
          <w:lang w:val="de-DE"/>
        </w:rPr>
      </w:pPr>
    </w:p>
    <w:p w:rsidR="00E73313" w:rsidRPr="00571807" w:rsidRDefault="00E73313" w:rsidP="00E73313">
      <w:pPr>
        <w:pStyle w:val="Heading2"/>
        <w:ind w:left="0"/>
        <w:rPr>
          <w:lang w:val="de-DE"/>
        </w:rPr>
      </w:pPr>
      <w:bookmarkStart w:id="1375" w:name="_58_Learning_Solutions"/>
      <w:bookmarkStart w:id="1376" w:name="_54_Learning_Solutions"/>
      <w:bookmarkStart w:id="1377" w:name="_64_62_Learning"/>
      <w:bookmarkStart w:id="1378" w:name="_69_Learning_Solutions"/>
      <w:bookmarkStart w:id="1379" w:name="_65_63_Lync"/>
      <w:bookmarkStart w:id="1380" w:name="_70_Lync_Online"/>
      <w:bookmarkStart w:id="1381" w:name="_Toc336338325"/>
      <w:bookmarkStart w:id="1382" w:name="_Toc363999067"/>
      <w:bookmarkStart w:id="1383" w:name="Srv_65LyncOnlinePlan1and2"/>
      <w:bookmarkEnd w:id="1375"/>
      <w:bookmarkEnd w:id="1376"/>
      <w:bookmarkEnd w:id="1377"/>
      <w:bookmarkEnd w:id="1378"/>
      <w:bookmarkEnd w:id="1379"/>
      <w:bookmarkEnd w:id="1380"/>
      <w:r w:rsidRPr="00571807">
        <w:rPr>
          <w:rFonts w:ascii="Tahoma" w:hAnsi="Tahoma" w:cs="Tahoma"/>
          <w:caps/>
          <w:color w:val="FF6600"/>
          <w:sz w:val="22"/>
          <w:vertAlign w:val="superscript"/>
          <w:lang w:val="de-DE"/>
        </w:rPr>
        <w:t>70</w:t>
      </w:r>
      <w:r w:rsidRPr="00571807">
        <w:rPr>
          <w:rFonts w:ascii="Tahoma" w:hAnsi="Tahoma" w:cs="Tahoma"/>
          <w:color w:val="FF6600"/>
          <w:lang w:val="de-DE"/>
        </w:rPr>
        <w:t xml:space="preserve"> </w:t>
      </w:r>
      <w:r w:rsidRPr="00571807">
        <w:rPr>
          <w:rFonts w:ascii="Tahoma" w:hAnsi="Tahoma" w:cs="Tahoma"/>
          <w:color w:val="FF6600"/>
          <w:sz w:val="22"/>
          <w:lang w:val="de-DE"/>
        </w:rPr>
        <w:t>Lync Online Plan 1, 2, und 3</w:t>
      </w:r>
      <w:bookmarkEnd w:id="1381"/>
      <w:bookmarkEnd w:id="1382"/>
    </w:p>
    <w:bookmarkEnd w:id="1383"/>
    <w:p w:rsidR="00E73313" w:rsidRPr="00571807" w:rsidRDefault="00E73313" w:rsidP="00E73313">
      <w:pPr>
        <w:rPr>
          <w:lang w:val="de-DE"/>
        </w:rPr>
      </w:pPr>
    </w:p>
    <w:p w:rsidR="00E73313" w:rsidRDefault="00E73313" w:rsidP="00E73313">
      <w:pPr>
        <w:ind w:left="720"/>
        <w:rPr>
          <w:color w:val="000000"/>
          <w:lang w:val="de-DE"/>
        </w:rPr>
      </w:pPr>
      <w:r w:rsidRPr="00571807">
        <w:rPr>
          <w:color w:val="000000"/>
          <w:lang w:val="de-DE"/>
        </w:rPr>
        <w:t>Für Lync Online Plan 1 und Plan 2 muss Microsoft Lync 2013 (oder Lync für Mac 2011) separat erworben und installiert werden, damit alle Features von Lync Online Plan 1 und Plan 2 zur Verfügung stehen</w:t>
      </w:r>
      <w:r w:rsidR="006257A7">
        <w:rPr>
          <w:color w:val="000000"/>
          <w:lang w:val="de-DE"/>
        </w:rPr>
        <w:t xml:space="preserve">. </w:t>
      </w:r>
      <w:r w:rsidRPr="00571807">
        <w:rPr>
          <w:color w:val="000000"/>
          <w:lang w:val="de-DE"/>
        </w:rPr>
        <w:t>Als zeitlich beschränktes Angebot erhalten Kunden, die für Lync Online lizenziert sind, mit jeder Testversion oder bezahlten Abonnementlizenz für Lync Online eine lizenzierte Kopie von Lync für Mac 2011 kostenlos</w:t>
      </w:r>
      <w:r w:rsidR="006257A7">
        <w:rPr>
          <w:color w:val="000000"/>
          <w:lang w:val="de-DE"/>
        </w:rPr>
        <w:t xml:space="preserve">. </w:t>
      </w:r>
      <w:r w:rsidRPr="00571807">
        <w:rPr>
          <w:color w:val="000000"/>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006257A7">
        <w:rPr>
          <w:color w:val="000000"/>
          <w:lang w:val="de-DE"/>
        </w:rPr>
        <w:t xml:space="preserve">. </w:t>
      </w:r>
      <w:r w:rsidRPr="00571807">
        <w:rPr>
          <w:color w:val="000000"/>
          <w:lang w:val="de-DE"/>
        </w:rPr>
        <w:t>Kunden sind berechtigt, den kostenlosen Lync Basic 2013-Client für ihre Windows-basierten Endbenutzer zu nutzen</w:t>
      </w:r>
      <w:r w:rsidR="006257A7">
        <w:rPr>
          <w:color w:val="000000"/>
          <w:lang w:val="de-DE"/>
        </w:rPr>
        <w:t xml:space="preserve">. </w:t>
      </w:r>
    </w:p>
    <w:p w:rsidR="00E73313" w:rsidRPr="0062435A" w:rsidRDefault="00E73313" w:rsidP="00E73313">
      <w:pPr>
        <w:spacing w:after="60"/>
        <w:ind w:left="720"/>
      </w:pPr>
      <w:r>
        <w:rPr>
          <w:rFonts w:eastAsia="Calibri" w:cs="Tahoma"/>
          <w:b/>
          <w:color w:val="000000"/>
          <w:szCs w:val="18"/>
        </w:rPr>
        <w:t>Government Community Cloud (nur USA)</w:t>
      </w:r>
    </w:p>
    <w:p w:rsidR="00E73313" w:rsidRPr="00571807" w:rsidRDefault="00E73313" w:rsidP="00C652D4">
      <w:pPr>
        <w:ind w:left="720"/>
        <w:rPr>
          <w:lang w:val="de-DE"/>
        </w:rPr>
      </w:pPr>
      <w:r>
        <w:rPr>
          <w:rFonts w:eastAsia="Calibri" w:cs="Tahoma"/>
          <w:color w:val="000000"/>
          <w:szCs w:val="18"/>
        </w:rPr>
        <w:t>Einige Onlinedienste in der Office 365-Produktfamilie (darunter Lync Online Plan 1, 2 und 3) werden als Government Community Cloud-Dienste und Non-Government Community Cloud-Dienste angeboten</w:t>
      </w:r>
      <w:r w:rsidR="006257A7">
        <w:rPr>
          <w:rFonts w:eastAsia="Calibri" w:cs="Tahoma"/>
          <w:color w:val="000000"/>
          <w:szCs w:val="18"/>
        </w:rPr>
        <w:t xml:space="preserve">. </w:t>
      </w:r>
      <w:r w:rsidRPr="00571807">
        <w:rPr>
          <w:rFonts w:eastAsia="Calibri" w:cs="Tahoma"/>
          <w:color w:val="000000"/>
          <w:szCs w:val="18"/>
          <w:lang w:val="de-DE"/>
        </w:rPr>
        <w:t>Die</w:t>
      </w:r>
      <w:r w:rsidR="00C652D4">
        <w:rPr>
          <w:rFonts w:eastAsia="Calibri" w:cs="Tahoma"/>
          <w:color w:val="000000"/>
          <w:szCs w:val="18"/>
          <w:lang w:val="de-DE"/>
        </w:rPr>
        <w:t> </w:t>
      </w:r>
      <w:r w:rsidRPr="00571807">
        <w:rPr>
          <w:rFonts w:eastAsia="Calibri" w:cs="Tahoma"/>
          <w:color w:val="000000"/>
          <w:szCs w:val="18"/>
          <w:lang w:val="de-DE"/>
        </w:rPr>
        <w:t>Bereitstellung an Kunden kann in der einen oder anderen Form erfolgen, jedoch nicht als Kombination aus beidem</w:t>
      </w:r>
      <w:r w:rsidR="006257A7">
        <w:rPr>
          <w:rFonts w:eastAsia="Calibri" w:cs="Tahoma"/>
          <w:color w:val="000000"/>
          <w:szCs w:val="18"/>
          <w:lang w:val="de-DE"/>
        </w:rPr>
        <w:t xml:space="preserve">. </w:t>
      </w:r>
      <w:r w:rsidRPr="00571807">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6257A7">
        <w:rPr>
          <w:rFonts w:eastAsia="Calibri" w:cs="Tahoma"/>
          <w:color w:val="000000"/>
          <w:szCs w:val="18"/>
          <w:lang w:val="de-DE"/>
        </w:rPr>
        <w:t xml:space="preserve">. </w:t>
      </w:r>
      <w:r w:rsidRPr="00571807">
        <w:rPr>
          <w:rFonts w:eastAsia="Calibri" w:cs="Tahoma"/>
          <w:color w:val="000000"/>
          <w:szCs w:val="18"/>
          <w:lang w:val="de-DE"/>
        </w:rPr>
        <w:t>Diese</w:t>
      </w:r>
      <w:r w:rsidR="00C652D4">
        <w:rPr>
          <w:rFonts w:eastAsia="Calibri" w:cs="Tahoma"/>
          <w:color w:val="000000"/>
          <w:szCs w:val="18"/>
          <w:lang w:val="de-DE"/>
        </w:rPr>
        <w:t> </w:t>
      </w:r>
      <w:r w:rsidRPr="00571807">
        <w:rPr>
          <w:rFonts w:eastAsia="Calibri" w:cs="Tahoma"/>
          <w:color w:val="000000"/>
          <w:szCs w:val="18"/>
          <w:lang w:val="de-DE"/>
        </w:rPr>
        <w:t>Beschränkung gilt für alle Onlinedienste, die zur Office 365-Produktfamilie gehören, darunter Exchange Online, SharePoint Online und Lync Online</w:t>
      </w:r>
      <w:r w:rsidR="006257A7">
        <w:rPr>
          <w:rFonts w:eastAsia="Calibri" w:cs="Tahoma"/>
          <w:color w:val="000000"/>
          <w:szCs w:val="18"/>
          <w:lang w:val="de-DE"/>
        </w:rPr>
        <w:t xml:space="preserve">. </w:t>
      </w:r>
    </w:p>
    <w:p w:rsidR="00E73313" w:rsidRPr="00571807" w:rsidRDefault="00E73313" w:rsidP="00E73313">
      <w:pPr>
        <w:ind w:left="720"/>
        <w:rPr>
          <w:lang w:val="de-DE"/>
        </w:rPr>
      </w:pPr>
    </w:p>
    <w:p w:rsidR="00E73313" w:rsidRPr="00571807" w:rsidRDefault="00E73313" w:rsidP="00C652D4">
      <w:pPr>
        <w:ind w:left="720"/>
        <w:rPr>
          <w:lang w:val="de-DE"/>
        </w:rPr>
      </w:pPr>
      <w:r w:rsidRPr="00571807">
        <w:rPr>
          <w:rFonts w:eastAsia="Calibri" w:cs="Tahoma"/>
          <w:color w:val="000000"/>
          <w:szCs w:val="18"/>
          <w:lang w:val="de-DE"/>
        </w:rPr>
        <w:t>Wenn ein Onlinedienst in der Government Community Cloud bereitgestellt wird, bleibt er für die Dauer der</w:t>
      </w:r>
      <w:r w:rsidR="00C652D4">
        <w:rPr>
          <w:rFonts w:eastAsia="Calibri" w:cs="Tahoma"/>
          <w:color w:val="000000"/>
          <w:szCs w:val="18"/>
          <w:lang w:val="de-DE"/>
        </w:rPr>
        <w:t> </w:t>
      </w:r>
      <w:r w:rsidRPr="00571807">
        <w:rPr>
          <w:rFonts w:eastAsia="Calibri" w:cs="Tahoma"/>
          <w:color w:val="000000"/>
          <w:szCs w:val="18"/>
          <w:lang w:val="de-DE"/>
        </w:rPr>
        <w:t>Abonnementlaufzeit dort</w:t>
      </w:r>
      <w:r w:rsidR="006257A7">
        <w:rPr>
          <w:rFonts w:eastAsia="Calibri" w:cs="Tahoma"/>
          <w:color w:val="000000"/>
          <w:szCs w:val="18"/>
          <w:lang w:val="de-DE"/>
        </w:rPr>
        <w:t xml:space="preserve">. </w:t>
      </w:r>
      <w:r w:rsidRPr="00571807">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6257A7">
        <w:rPr>
          <w:rFonts w:eastAsia="Calibri" w:cs="Tahoma"/>
          <w:color w:val="000000"/>
          <w:szCs w:val="18"/>
          <w:lang w:val="de-DE"/>
        </w:rPr>
        <w:t xml:space="preserve">. </w:t>
      </w:r>
      <w:r w:rsidRPr="00571807">
        <w:rPr>
          <w:rFonts w:eastAsia="Calibri" w:cs="Tahoma"/>
          <w:color w:val="000000"/>
          <w:szCs w:val="18"/>
          <w:lang w:val="de-DE"/>
        </w:rPr>
        <w:t>Die</w:t>
      </w:r>
      <w:r w:rsidR="00C652D4">
        <w:rPr>
          <w:rFonts w:eastAsia="Calibri" w:cs="Tahoma"/>
          <w:color w:val="000000"/>
          <w:szCs w:val="18"/>
          <w:lang w:val="de-DE"/>
        </w:rPr>
        <w:t> </w:t>
      </w:r>
      <w:r w:rsidRPr="00571807">
        <w:rPr>
          <w:rFonts w:eastAsia="Calibri" w:cs="Tahoma"/>
          <w:color w:val="000000"/>
          <w:szCs w:val="18"/>
          <w:lang w:val="de-DE"/>
        </w:rPr>
        <w:t>Nutzungsrechte für Government Community Cloud-Dienste entsprechen den Nutzungsrechten ihrer</w:t>
      </w:r>
      <w:r w:rsidR="00C652D4">
        <w:rPr>
          <w:rFonts w:eastAsia="Calibri" w:cs="Tahoma"/>
          <w:color w:val="000000"/>
          <w:szCs w:val="18"/>
          <w:lang w:val="de-DE"/>
        </w:rPr>
        <w:t> </w:t>
      </w:r>
      <w:r w:rsidRPr="00571807">
        <w:rPr>
          <w:rFonts w:eastAsia="Calibri" w:cs="Tahoma"/>
          <w:color w:val="000000"/>
          <w:szCs w:val="18"/>
          <w:lang w:val="de-DE"/>
        </w:rPr>
        <w:t>mehrinstanzenfähigen Standardäquivalente</w:t>
      </w:r>
      <w:r w:rsidR="006257A7">
        <w:rPr>
          <w:rFonts w:eastAsia="Calibri" w:cs="Tahoma"/>
          <w:color w:val="000000"/>
          <w:szCs w:val="18"/>
          <w:lang w:val="de-DE"/>
        </w:rPr>
        <w:t xml:space="preserve">. </w:t>
      </w:r>
    </w:p>
    <w:p w:rsidR="00E73313" w:rsidRPr="00571807" w:rsidRDefault="00E73313" w:rsidP="00E73313">
      <w:pPr>
        <w:ind w:left="720"/>
        <w:rPr>
          <w:lang w:val="de-DE"/>
        </w:rPr>
      </w:pPr>
    </w:p>
    <w:p w:rsidR="00E73313" w:rsidRPr="00571807" w:rsidRDefault="00E73313" w:rsidP="00E73313">
      <w:pPr>
        <w:ind w:left="720"/>
        <w:rPr>
          <w:lang w:val="de-DE"/>
        </w:rPr>
      </w:pPr>
    </w:p>
    <w:p w:rsidR="00E73313" w:rsidRPr="00571807" w:rsidRDefault="00E73313" w:rsidP="00E73313">
      <w:pPr>
        <w:pStyle w:val="Heading2"/>
        <w:ind w:left="0"/>
        <w:rPr>
          <w:lang w:val="de-DE"/>
        </w:rPr>
      </w:pPr>
      <w:bookmarkStart w:id="1384" w:name="_62_Lync_Server"/>
      <w:bookmarkStart w:id="1385" w:name="_71_Lync_Server"/>
      <w:bookmarkStart w:id="1386" w:name="_Toc363999068"/>
      <w:bookmarkStart w:id="1387" w:name="_Toc336338326"/>
      <w:bookmarkStart w:id="1388" w:name="Srv_62LyncServer2010StandEnt"/>
      <w:bookmarkEnd w:id="1384"/>
      <w:bookmarkEnd w:id="1385"/>
      <w:r w:rsidRPr="00571807">
        <w:rPr>
          <w:rFonts w:ascii="Tahoma" w:hAnsi="Tahoma" w:cs="Tahoma"/>
          <w:caps/>
          <w:color w:val="FA6500"/>
          <w:sz w:val="22"/>
          <w:vertAlign w:val="superscript"/>
          <w:lang w:val="de-DE"/>
        </w:rPr>
        <w:t>71</w:t>
      </w:r>
      <w:r w:rsidRPr="00C652D4">
        <w:rPr>
          <w:rFonts w:ascii="Tahoma" w:hAnsi="Tahoma" w:cs="Tahoma"/>
          <w:caps/>
          <w:color w:val="FA6500"/>
          <w:sz w:val="22"/>
          <w:lang w:val="de-DE"/>
        </w:rPr>
        <w:t xml:space="preserve"> </w:t>
      </w:r>
      <w:r w:rsidRPr="00571807">
        <w:rPr>
          <w:rFonts w:ascii="Tahoma" w:hAnsi="Tahoma" w:cs="Tahoma"/>
          <w:color w:val="FA6500"/>
          <w:sz w:val="22"/>
          <w:lang w:val="de-DE"/>
        </w:rPr>
        <w:t>Lync Server 2013</w:t>
      </w:r>
      <w:bookmarkEnd w:id="1386"/>
      <w:r w:rsidRPr="00571807">
        <w:rPr>
          <w:rFonts w:ascii="Tahoma" w:hAnsi="Tahoma" w:cs="Tahoma"/>
          <w:color w:val="FA6500"/>
          <w:sz w:val="22"/>
          <w:lang w:val="de-DE"/>
        </w:rPr>
        <w:t xml:space="preserve"> </w:t>
      </w:r>
    </w:p>
    <w:p w:rsidR="00E73313" w:rsidRPr="00571807" w:rsidRDefault="00E73313" w:rsidP="00E73313">
      <w:pPr>
        <w:ind w:left="720"/>
        <w:rPr>
          <w:lang w:val="de-DE"/>
        </w:rPr>
      </w:pPr>
    </w:p>
    <w:p w:rsidR="00E73313" w:rsidRPr="00571807" w:rsidRDefault="00E73313" w:rsidP="00C652D4">
      <w:pPr>
        <w:ind w:left="720"/>
        <w:rPr>
          <w:lang w:val="de-DE"/>
        </w:rPr>
      </w:pPr>
      <w:r w:rsidRPr="00571807">
        <w:rPr>
          <w:rFonts w:cs="Tahoma"/>
          <w:color w:val="000000"/>
          <w:szCs w:val="18"/>
          <w:lang w:val="de-DE"/>
        </w:rPr>
        <w:t>Lync Server 2013 ist die neueste Version von Lync Server</w:t>
      </w:r>
      <w:r w:rsidR="006257A7">
        <w:rPr>
          <w:rFonts w:cs="Tahoma"/>
          <w:color w:val="000000"/>
          <w:szCs w:val="18"/>
          <w:lang w:val="de-DE"/>
        </w:rPr>
        <w:t xml:space="preserve">. </w:t>
      </w:r>
      <w:r w:rsidRPr="00571807">
        <w:rPr>
          <w:rFonts w:cs="Tahoma"/>
          <w:color w:val="000000"/>
          <w:szCs w:val="18"/>
          <w:lang w:val="de-DE"/>
        </w:rPr>
        <w:t>Kunden mit aktiver Software Assurance für Lync</w:t>
      </w:r>
      <w:r w:rsidR="00C652D4">
        <w:rPr>
          <w:rFonts w:cs="Tahoma"/>
          <w:color w:val="000000"/>
          <w:szCs w:val="18"/>
          <w:lang w:val="de-DE"/>
        </w:rPr>
        <w:t> </w:t>
      </w:r>
      <w:r w:rsidRPr="00571807">
        <w:rPr>
          <w:rFonts w:cs="Tahoma"/>
          <w:color w:val="000000"/>
          <w:szCs w:val="18"/>
          <w:lang w:val="de-DE"/>
        </w:rPr>
        <w:t xml:space="preserve">Server 2010 Standard oder Enterprise </w:t>
      </w:r>
      <w:bookmarkEnd w:id="1387"/>
      <w:r w:rsidRPr="00571807">
        <w:rPr>
          <w:rFonts w:cs="Tahoma"/>
          <w:color w:val="000000"/>
          <w:szCs w:val="18"/>
          <w:lang w:val="de-DE"/>
        </w:rPr>
        <w:t>am 1</w:t>
      </w:r>
      <w:r w:rsidR="006257A7">
        <w:rPr>
          <w:rFonts w:cs="Tahoma"/>
          <w:color w:val="000000"/>
          <w:szCs w:val="18"/>
          <w:lang w:val="de-DE"/>
        </w:rPr>
        <w:t xml:space="preserve">. </w:t>
      </w:r>
      <w:r w:rsidRPr="00571807">
        <w:rPr>
          <w:rFonts w:cs="Tahoma"/>
          <w:color w:val="000000"/>
          <w:szCs w:val="18"/>
          <w:lang w:val="de-DE"/>
        </w:rPr>
        <w:t>Oktober 2012 sind berechtigt, auf Lync Server 2013 upzugraden und dies anstelle ihrer entsprechend lizenzierten Kopien von Lync Server 2010 zu verwenden</w:t>
      </w:r>
      <w:r w:rsidR="006257A7">
        <w:rPr>
          <w:rFonts w:cs="Tahoma"/>
          <w:color w:val="000000"/>
          <w:szCs w:val="18"/>
          <w:lang w:val="de-DE"/>
        </w:rPr>
        <w:t xml:space="preserve">. </w:t>
      </w:r>
    </w:p>
    <w:bookmarkEnd w:id="1388"/>
    <w:p w:rsidR="00E73313" w:rsidRPr="00571807" w:rsidRDefault="00E73313" w:rsidP="00E73313">
      <w:pPr>
        <w:ind w:left="720"/>
        <w:rPr>
          <w:lang w:val="de-DE"/>
        </w:rPr>
      </w:pPr>
    </w:p>
    <w:p w:rsidR="00E73313" w:rsidRPr="00571807" w:rsidRDefault="00E73313" w:rsidP="00E73313">
      <w:pPr>
        <w:ind w:left="720"/>
        <w:rPr>
          <w:lang w:val="de-DE"/>
        </w:rPr>
      </w:pPr>
      <w:r w:rsidRPr="00571807">
        <w:rPr>
          <w:rFonts w:cs="Tahoma"/>
          <w:color w:val="000000"/>
          <w:szCs w:val="18"/>
          <w:lang w:val="de-DE"/>
        </w:rPr>
        <w:t>CALs für Lync Server 2013 sind die Nachfolge-CALs für CALs für Lync Server 2010</w:t>
      </w:r>
      <w:r w:rsidR="006257A7">
        <w:rPr>
          <w:rFonts w:cs="Tahoma"/>
          <w:color w:val="000000"/>
          <w:szCs w:val="18"/>
          <w:lang w:val="de-DE"/>
        </w:rPr>
        <w:t xml:space="preserve">. </w:t>
      </w:r>
    </w:p>
    <w:p w:rsidR="00E73313" w:rsidRPr="00571807" w:rsidRDefault="00E73313" w:rsidP="00E73313">
      <w:pPr>
        <w:ind w:left="720"/>
        <w:rPr>
          <w:lang w:val="de-DE"/>
        </w:rPr>
      </w:pPr>
      <w:r w:rsidRPr="00571807">
        <w:rPr>
          <w:rFonts w:cs="Tahoma"/>
          <w:color w:val="000000"/>
          <w:szCs w:val="18"/>
          <w:lang w:val="de-D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E73313" w:rsidRPr="002065C2" w:rsidTr="00E328C3">
        <w:trPr>
          <w:trHeight w:val="332"/>
        </w:trPr>
        <w:tc>
          <w:tcPr>
            <w:tcW w:w="4500" w:type="dxa"/>
            <w:shd w:val="clear" w:color="auto" w:fill="FABF8F"/>
          </w:tcPr>
          <w:p w:rsidR="00E73313" w:rsidRPr="002065C2" w:rsidRDefault="00E73313" w:rsidP="00E328C3">
            <w:pPr>
              <w:rPr>
                <w:rFonts w:cs="Tahoma"/>
                <w:b/>
                <w:color w:val="000000"/>
                <w:szCs w:val="18"/>
              </w:rPr>
            </w:pPr>
            <w:r>
              <w:rPr>
                <w:rFonts w:cs="Tahoma"/>
                <w:b/>
                <w:color w:val="000000"/>
                <w:szCs w:val="18"/>
              </w:rPr>
              <w:t>Lync Server 2010 CAL</w:t>
            </w:r>
          </w:p>
        </w:tc>
        <w:tc>
          <w:tcPr>
            <w:tcW w:w="3600" w:type="dxa"/>
            <w:shd w:val="clear" w:color="auto" w:fill="FABF8F"/>
          </w:tcPr>
          <w:p w:rsidR="00E73313" w:rsidRPr="002065C2" w:rsidRDefault="00E73313" w:rsidP="00E328C3">
            <w:pPr>
              <w:rPr>
                <w:rFonts w:cs="Tahoma"/>
                <w:b/>
                <w:color w:val="000000"/>
                <w:szCs w:val="18"/>
              </w:rPr>
            </w:pPr>
            <w:r>
              <w:rPr>
                <w:rFonts w:cs="Tahoma"/>
                <w:b/>
                <w:color w:val="000000"/>
                <w:szCs w:val="18"/>
              </w:rPr>
              <w:t>Folgeversion</w:t>
            </w:r>
          </w:p>
        </w:tc>
      </w:tr>
      <w:tr w:rsidR="00E73313" w:rsidTr="00E328C3">
        <w:trPr>
          <w:trHeight w:val="70"/>
        </w:trPr>
        <w:tc>
          <w:tcPr>
            <w:tcW w:w="4500" w:type="dxa"/>
            <w:shd w:val="clear" w:color="auto" w:fill="auto"/>
          </w:tcPr>
          <w:p w:rsidR="00E73313" w:rsidRDefault="00E73313" w:rsidP="00E328C3">
            <w:pPr>
              <w:rPr>
                <w:rFonts w:cs="Tahoma"/>
                <w:color w:val="000000"/>
                <w:szCs w:val="18"/>
              </w:rPr>
            </w:pPr>
            <w:r>
              <w:rPr>
                <w:rFonts w:cs="Tahoma"/>
                <w:color w:val="000000"/>
                <w:szCs w:val="18"/>
              </w:rPr>
              <w:t xml:space="preserve">Lync Server 2010 Plus CAL </w:t>
            </w:r>
          </w:p>
        </w:tc>
        <w:tc>
          <w:tcPr>
            <w:tcW w:w="3600" w:type="dxa"/>
            <w:shd w:val="clear" w:color="auto" w:fill="auto"/>
          </w:tcPr>
          <w:p w:rsidR="00E73313" w:rsidRDefault="00E73313" w:rsidP="00E328C3">
            <w:pPr>
              <w:rPr>
                <w:rFonts w:cs="Tahoma"/>
                <w:color w:val="000000"/>
                <w:szCs w:val="18"/>
              </w:rPr>
            </w:pPr>
            <w:r>
              <w:rPr>
                <w:rFonts w:cs="Tahoma"/>
                <w:color w:val="000000"/>
                <w:szCs w:val="18"/>
              </w:rPr>
              <w:t>Lync Server 2013 Plus-CAL</w:t>
            </w:r>
          </w:p>
        </w:tc>
      </w:tr>
      <w:tr w:rsidR="00E73313" w:rsidRPr="002065C2" w:rsidTr="00E328C3">
        <w:trPr>
          <w:trHeight w:val="70"/>
        </w:trPr>
        <w:tc>
          <w:tcPr>
            <w:tcW w:w="4500" w:type="dxa"/>
            <w:shd w:val="clear" w:color="auto" w:fill="auto"/>
          </w:tcPr>
          <w:p w:rsidR="00E73313" w:rsidRPr="002065C2" w:rsidRDefault="00E73313" w:rsidP="00E328C3">
            <w:pPr>
              <w:rPr>
                <w:rFonts w:cs="Tahoma"/>
                <w:color w:val="000000"/>
                <w:szCs w:val="18"/>
              </w:rPr>
            </w:pPr>
            <w:r>
              <w:rPr>
                <w:rFonts w:cs="Tahoma"/>
                <w:color w:val="000000"/>
                <w:szCs w:val="18"/>
              </w:rPr>
              <w:t xml:space="preserve">Enterprise-CAL für Lync Server 2010 </w:t>
            </w:r>
          </w:p>
        </w:tc>
        <w:tc>
          <w:tcPr>
            <w:tcW w:w="3600" w:type="dxa"/>
            <w:shd w:val="clear" w:color="auto" w:fill="auto"/>
          </w:tcPr>
          <w:p w:rsidR="00E73313" w:rsidRPr="002065C2" w:rsidRDefault="00E73313" w:rsidP="00E328C3">
            <w:pPr>
              <w:rPr>
                <w:rFonts w:cs="Tahoma"/>
                <w:color w:val="000000"/>
                <w:szCs w:val="18"/>
              </w:rPr>
            </w:pPr>
            <w:r>
              <w:rPr>
                <w:rFonts w:cs="Tahoma"/>
                <w:color w:val="000000"/>
                <w:szCs w:val="18"/>
              </w:rPr>
              <w:t>Enterprise-CAL für Lync Server 2013</w:t>
            </w:r>
          </w:p>
        </w:tc>
      </w:tr>
      <w:tr w:rsidR="00E73313" w:rsidTr="00E328C3">
        <w:trPr>
          <w:trHeight w:val="70"/>
        </w:trPr>
        <w:tc>
          <w:tcPr>
            <w:tcW w:w="4500" w:type="dxa"/>
            <w:shd w:val="clear" w:color="auto" w:fill="auto"/>
          </w:tcPr>
          <w:p w:rsidR="00E73313" w:rsidRDefault="00E73313" w:rsidP="00E328C3">
            <w:pPr>
              <w:rPr>
                <w:rFonts w:cs="Tahoma"/>
                <w:color w:val="000000"/>
                <w:szCs w:val="18"/>
              </w:rPr>
            </w:pPr>
            <w:r>
              <w:rPr>
                <w:rFonts w:cs="Tahoma"/>
                <w:color w:val="000000"/>
                <w:szCs w:val="18"/>
              </w:rPr>
              <w:t xml:space="preserve">Standard-CAL für Lync Server 2010 </w:t>
            </w:r>
          </w:p>
        </w:tc>
        <w:tc>
          <w:tcPr>
            <w:tcW w:w="3600" w:type="dxa"/>
            <w:shd w:val="clear" w:color="auto" w:fill="auto"/>
          </w:tcPr>
          <w:p w:rsidR="00E73313" w:rsidRDefault="00E73313" w:rsidP="00E328C3">
            <w:pPr>
              <w:rPr>
                <w:rFonts w:cs="Tahoma"/>
                <w:color w:val="000000"/>
                <w:szCs w:val="18"/>
              </w:rPr>
            </w:pPr>
            <w:r>
              <w:rPr>
                <w:rFonts w:cs="Tahoma"/>
                <w:color w:val="000000"/>
                <w:szCs w:val="18"/>
              </w:rPr>
              <w:t>Standard-CAL für Lync Server 2013</w:t>
            </w:r>
          </w:p>
        </w:tc>
      </w:tr>
    </w:tbl>
    <w:p w:rsidR="00E73313" w:rsidRPr="0062435A" w:rsidRDefault="00E73313" w:rsidP="00E73313"/>
    <w:p w:rsidR="00E73313" w:rsidRPr="0062435A" w:rsidRDefault="00E73313" w:rsidP="00E73313">
      <w:pPr>
        <w:spacing w:after="60"/>
        <w:ind w:left="720"/>
      </w:pPr>
      <w:r>
        <w:rPr>
          <w:rFonts w:cs="Tahoma"/>
          <w:b/>
          <w:color w:val="000000"/>
          <w:szCs w:val="18"/>
        </w:rPr>
        <w:t>Lizenzgewährung für Kunden mit Externem Connector für Lync Server 2010 Enterprise, Externem Connector für Lync Server 2010 Plus und Externem Connector für Lync Server 2010 Standard</w:t>
      </w:r>
    </w:p>
    <w:p w:rsidR="00E73313" w:rsidRPr="0062435A" w:rsidRDefault="00E73313" w:rsidP="00C652D4">
      <w:pPr>
        <w:ind w:left="720"/>
      </w:pPr>
      <w:r>
        <w:rPr>
          <w:rFonts w:cs="Tahoma"/>
          <w:color w:val="000000"/>
          <w:szCs w:val="18"/>
        </w:rPr>
        <w:t>Die 2010-Version des Externen Connector für Lync Server 2010 Enterprise, Externen Connector für Lync Server 2010 Plus und Externen Connector für Lync Server 2010 Standard ist die letzte Version dieser Lizenzen</w:t>
      </w:r>
      <w:r w:rsidR="006257A7">
        <w:rPr>
          <w:rFonts w:cs="Tahoma"/>
          <w:color w:val="000000"/>
          <w:szCs w:val="18"/>
        </w:rPr>
        <w:t xml:space="preserve">. </w:t>
      </w:r>
      <w:r>
        <w:rPr>
          <w:rFonts w:cs="Tahoma"/>
          <w:color w:val="000000"/>
          <w:szCs w:val="18"/>
        </w:rPr>
        <w:t>In Anbetracht dessen haben Kunden mit Externen Connector-Lizenzen für Lync Server 2010 Enterprise, Lync Server 2010 Plus oder Lync Server 2010 Standard mit aktiver Software Assurance zum 1</w:t>
      </w:r>
      <w:r w:rsidR="006257A7">
        <w:rPr>
          <w:rFonts w:cs="Tahoma"/>
          <w:color w:val="000000"/>
          <w:szCs w:val="18"/>
        </w:rPr>
        <w:t xml:space="preserve">. </w:t>
      </w:r>
      <w:r>
        <w:rPr>
          <w:rFonts w:cs="Tahoma"/>
          <w:color w:val="000000"/>
          <w:szCs w:val="18"/>
        </w:rPr>
        <w:t>Oktober 2012 Anspruch auf die folgende Lizenzgewährung</w:t>
      </w:r>
      <w:r w:rsidR="006257A7">
        <w:rPr>
          <w:rFonts w:cs="Tahoma"/>
          <w:color w:val="000000"/>
          <w:szCs w:val="18"/>
        </w:rPr>
        <w:t xml:space="preserve">. </w:t>
      </w:r>
    </w:p>
    <w:p w:rsidR="00E73313" w:rsidRPr="0062435A" w:rsidRDefault="00E73313" w:rsidP="00E7331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E73313" w:rsidRPr="00F6565C" w:rsidTr="00E328C3">
        <w:trPr>
          <w:trHeight w:val="332"/>
        </w:trPr>
        <w:tc>
          <w:tcPr>
            <w:tcW w:w="4500" w:type="dxa"/>
            <w:shd w:val="clear" w:color="auto" w:fill="FABF8F"/>
          </w:tcPr>
          <w:p w:rsidR="00E73313" w:rsidRPr="002065C2" w:rsidRDefault="00E73313" w:rsidP="00E328C3">
            <w:pPr>
              <w:keepNext/>
              <w:rPr>
                <w:rFonts w:cs="Tahoma"/>
                <w:b/>
                <w:color w:val="000000"/>
                <w:szCs w:val="18"/>
              </w:rPr>
            </w:pPr>
            <w:r>
              <w:rPr>
                <w:rFonts w:cs="Tahoma"/>
                <w:b/>
                <w:color w:val="000000"/>
                <w:szCs w:val="18"/>
              </w:rPr>
              <w:t>Kriterien für qualifizierende Lizenzen</w:t>
            </w:r>
          </w:p>
        </w:tc>
        <w:tc>
          <w:tcPr>
            <w:tcW w:w="3600" w:type="dxa"/>
            <w:shd w:val="clear" w:color="auto" w:fill="FABF8F"/>
          </w:tcPr>
          <w:p w:rsidR="00E73313" w:rsidRPr="002065C2" w:rsidRDefault="00E73313" w:rsidP="00E328C3">
            <w:pPr>
              <w:rPr>
                <w:rFonts w:cs="Tahoma"/>
                <w:b/>
                <w:color w:val="000000"/>
                <w:szCs w:val="18"/>
              </w:rPr>
            </w:pPr>
            <w:r>
              <w:rPr>
                <w:rFonts w:cs="Tahoma"/>
                <w:b/>
                <w:color w:val="000000"/>
                <w:szCs w:val="18"/>
              </w:rPr>
              <w:t>Zusätzliche Lizenzen und Vergünstigungen</w:t>
            </w:r>
          </w:p>
        </w:tc>
      </w:tr>
      <w:tr w:rsidR="00E73313" w:rsidRPr="00F6565C" w:rsidTr="00E328C3">
        <w:trPr>
          <w:trHeight w:val="70"/>
        </w:trPr>
        <w:tc>
          <w:tcPr>
            <w:tcW w:w="4500" w:type="dxa"/>
            <w:shd w:val="clear" w:color="auto" w:fill="auto"/>
          </w:tcPr>
          <w:p w:rsidR="00E73313" w:rsidRDefault="00E73313" w:rsidP="00E328C3">
            <w:pPr>
              <w:keepNext/>
              <w:rPr>
                <w:rFonts w:cs="Tahoma"/>
                <w:color w:val="000000"/>
                <w:szCs w:val="18"/>
              </w:rPr>
            </w:pPr>
            <w:r>
              <w:rPr>
                <w:rFonts w:cs="Tahoma"/>
                <w:color w:val="000000"/>
                <w:szCs w:val="18"/>
              </w:rPr>
              <w:t>Externer Connector für Lync Server 2010 Enterprise mit aktiver Software Assurance zum 1</w:t>
            </w:r>
            <w:r w:rsidR="006257A7">
              <w:rPr>
                <w:rFonts w:cs="Tahoma"/>
                <w:color w:val="000000"/>
                <w:szCs w:val="18"/>
              </w:rPr>
              <w:t xml:space="preserve">. </w:t>
            </w:r>
            <w:r>
              <w:rPr>
                <w:rFonts w:cs="Tahoma"/>
                <w:color w:val="000000"/>
                <w:szCs w:val="18"/>
              </w:rPr>
              <w:t>Oktober 2012</w:t>
            </w:r>
          </w:p>
        </w:tc>
        <w:tc>
          <w:tcPr>
            <w:tcW w:w="3600" w:type="dxa"/>
            <w:shd w:val="clear" w:color="auto" w:fill="auto"/>
          </w:tcPr>
          <w:p w:rsidR="00E73313" w:rsidRDefault="00E73313" w:rsidP="00E328C3">
            <w:pPr>
              <w:rPr>
                <w:rFonts w:cs="Tahoma"/>
                <w:color w:val="000000"/>
                <w:szCs w:val="18"/>
              </w:rPr>
            </w:pPr>
            <w:r>
              <w:rPr>
                <w:rFonts w:cs="Tahoma"/>
                <w:color w:val="000000"/>
                <w:szCs w:val="18"/>
              </w:rPr>
              <w:t>Lizenz für Lync Server 2013</w:t>
            </w:r>
          </w:p>
        </w:tc>
      </w:tr>
      <w:tr w:rsidR="00E73313" w:rsidRPr="00F6565C" w:rsidTr="00E328C3">
        <w:trPr>
          <w:trHeight w:val="70"/>
        </w:trPr>
        <w:tc>
          <w:tcPr>
            <w:tcW w:w="4500" w:type="dxa"/>
            <w:shd w:val="clear" w:color="auto" w:fill="auto"/>
          </w:tcPr>
          <w:p w:rsidR="00E73313" w:rsidRDefault="00E73313" w:rsidP="00E328C3">
            <w:pPr>
              <w:rPr>
                <w:rFonts w:cs="Tahoma"/>
                <w:color w:val="000000"/>
                <w:szCs w:val="18"/>
              </w:rPr>
            </w:pPr>
            <w:r>
              <w:rPr>
                <w:rFonts w:cs="Tahoma"/>
                <w:color w:val="000000"/>
                <w:szCs w:val="18"/>
              </w:rPr>
              <w:t>Externer Connector für Lync Server 2010 Plus mit aktiver Software Assurance zum 1</w:t>
            </w:r>
            <w:r w:rsidR="006257A7">
              <w:rPr>
                <w:rFonts w:cs="Tahoma"/>
                <w:color w:val="000000"/>
                <w:szCs w:val="18"/>
              </w:rPr>
              <w:t xml:space="preserve">. </w:t>
            </w:r>
            <w:r>
              <w:rPr>
                <w:rFonts w:cs="Tahoma"/>
                <w:color w:val="000000"/>
                <w:szCs w:val="18"/>
              </w:rPr>
              <w:t>Oktober 2012</w:t>
            </w:r>
          </w:p>
        </w:tc>
        <w:tc>
          <w:tcPr>
            <w:tcW w:w="3600" w:type="dxa"/>
            <w:shd w:val="clear" w:color="auto" w:fill="auto"/>
          </w:tcPr>
          <w:p w:rsidR="00E73313" w:rsidRDefault="00E73313" w:rsidP="00E328C3">
            <w:pPr>
              <w:rPr>
                <w:rFonts w:cs="Tahoma"/>
                <w:color w:val="000000"/>
                <w:szCs w:val="18"/>
              </w:rPr>
            </w:pPr>
            <w:r>
              <w:rPr>
                <w:rFonts w:cs="Tahoma"/>
                <w:color w:val="000000"/>
                <w:szCs w:val="18"/>
              </w:rPr>
              <w:t>Lizenz für Lync Server 2013</w:t>
            </w:r>
          </w:p>
        </w:tc>
      </w:tr>
      <w:tr w:rsidR="00E73313" w:rsidRPr="00F6565C" w:rsidTr="00E328C3">
        <w:trPr>
          <w:trHeight w:val="70"/>
        </w:trPr>
        <w:tc>
          <w:tcPr>
            <w:tcW w:w="4500" w:type="dxa"/>
            <w:shd w:val="clear" w:color="auto" w:fill="auto"/>
          </w:tcPr>
          <w:p w:rsidR="00E73313" w:rsidRDefault="00E73313" w:rsidP="00E328C3">
            <w:pPr>
              <w:rPr>
                <w:rFonts w:cs="Tahoma"/>
                <w:color w:val="000000"/>
                <w:szCs w:val="18"/>
              </w:rPr>
            </w:pPr>
            <w:r w:rsidRPr="00571807">
              <w:rPr>
                <w:rFonts w:cs="Tahoma"/>
                <w:color w:val="000000"/>
                <w:szCs w:val="18"/>
                <w:lang w:val="de-DE"/>
              </w:rPr>
              <w:t>Externer Connector für Lync Server 2010 Standard mit aktiver Software Assurance zum 1</w:t>
            </w:r>
            <w:r w:rsidR="006257A7">
              <w:rPr>
                <w:rFonts w:cs="Tahoma"/>
                <w:color w:val="000000"/>
                <w:szCs w:val="18"/>
                <w:lang w:val="de-DE"/>
              </w:rPr>
              <w:t xml:space="preserve">. </w:t>
            </w:r>
            <w:r>
              <w:rPr>
                <w:rFonts w:cs="Tahoma"/>
                <w:color w:val="000000"/>
                <w:szCs w:val="18"/>
              </w:rPr>
              <w:t>Oktober 2012</w:t>
            </w:r>
          </w:p>
        </w:tc>
        <w:tc>
          <w:tcPr>
            <w:tcW w:w="3600" w:type="dxa"/>
            <w:shd w:val="clear" w:color="auto" w:fill="auto"/>
          </w:tcPr>
          <w:p w:rsidR="00E73313" w:rsidRDefault="00E73313" w:rsidP="00E328C3">
            <w:pPr>
              <w:rPr>
                <w:rFonts w:cs="Tahoma"/>
                <w:color w:val="000000"/>
                <w:szCs w:val="18"/>
              </w:rPr>
            </w:pPr>
            <w:r>
              <w:rPr>
                <w:rFonts w:cs="Tahoma"/>
                <w:color w:val="000000"/>
                <w:szCs w:val="18"/>
              </w:rPr>
              <w:t>Lizenz für Lync Server 2013</w:t>
            </w:r>
          </w:p>
        </w:tc>
      </w:tr>
    </w:tbl>
    <w:p w:rsidR="00E73313" w:rsidRDefault="00E73313" w:rsidP="00E73313">
      <w:pPr>
        <w:ind w:left="720"/>
        <w:jc w:val="both"/>
      </w:pPr>
    </w:p>
    <w:p w:rsidR="00C652D4" w:rsidRDefault="00C652D4" w:rsidP="00E73313">
      <w:pPr>
        <w:ind w:left="720"/>
        <w:jc w:val="both"/>
      </w:pPr>
    </w:p>
    <w:p w:rsidR="00E73313" w:rsidRPr="00571807" w:rsidRDefault="00E73313" w:rsidP="00DD788F">
      <w:pPr>
        <w:tabs>
          <w:tab w:val="left" w:pos="1215"/>
        </w:tabs>
        <w:ind w:left="720"/>
        <w:jc w:val="both"/>
        <w:rPr>
          <w:lang w:val="de-DE"/>
        </w:rPr>
      </w:pPr>
      <w:r w:rsidRPr="00571807">
        <w:rPr>
          <w:rFonts w:cs="Tahoma"/>
          <w:color w:val="000000"/>
          <w:szCs w:val="18"/>
          <w:lang w:val="de-DE"/>
        </w:rPr>
        <w:t>Die folgenden Bestimmungen gelten für die Lizenzgewährungen oben</w:t>
      </w:r>
      <w:r w:rsidR="006257A7">
        <w:rPr>
          <w:rFonts w:cs="Tahoma"/>
          <w:color w:val="000000"/>
          <w:szCs w:val="18"/>
          <w:lang w:val="de-DE"/>
        </w:rPr>
        <w:t xml:space="preserve">. </w:t>
      </w:r>
    </w:p>
    <w:p w:rsidR="00E73313" w:rsidRPr="00C652D4" w:rsidRDefault="00E73313" w:rsidP="00C652D4">
      <w:pPr>
        <w:spacing w:line="120" w:lineRule="exact"/>
        <w:ind w:left="720"/>
        <w:rPr>
          <w:sz w:val="16"/>
          <w:szCs w:val="16"/>
          <w:lang w:val="de-DE"/>
        </w:rPr>
      </w:pPr>
    </w:p>
    <w:p w:rsidR="00E73313" w:rsidRPr="00571807" w:rsidRDefault="00E73313" w:rsidP="00C652D4">
      <w:pPr>
        <w:numPr>
          <w:ilvl w:val="0"/>
          <w:numId w:val="101"/>
        </w:numPr>
        <w:spacing w:after="40"/>
        <w:ind w:left="1440"/>
        <w:rPr>
          <w:lang w:val="de-DE"/>
        </w:rPr>
      </w:pPr>
      <w:r w:rsidRPr="00571807">
        <w:rPr>
          <w:rFonts w:cs="Tahoma"/>
          <w:bCs/>
          <w:color w:val="000000"/>
          <w:szCs w:val="18"/>
          <w:u w:val="single"/>
          <w:lang w:val="de-DE"/>
        </w:rPr>
        <w:t>Migrationspfad</w:t>
      </w:r>
      <w:r w:rsidRPr="00C652D4">
        <w:rPr>
          <w:rFonts w:cs="Tahoma"/>
          <w:color w:val="000000"/>
          <w:szCs w:val="18"/>
          <w:lang w:val="de-DE"/>
        </w:rPr>
        <w:t>:</w:t>
      </w:r>
      <w:r w:rsidRPr="00571807">
        <w:rPr>
          <w:rFonts w:cs="Tahoma"/>
          <w:color w:val="000000"/>
          <w:szCs w:val="18"/>
          <w:lang w:val="de-DE"/>
        </w:rPr>
        <w:t xml:space="preserve"> Kunden mit aktiver Software Assurance für eine bestimmte Qualifizierende Lizenz zum 1</w:t>
      </w:r>
      <w:r w:rsidR="006257A7">
        <w:rPr>
          <w:rFonts w:cs="Tahoma"/>
          <w:color w:val="000000"/>
          <w:szCs w:val="18"/>
          <w:lang w:val="de-DE"/>
        </w:rPr>
        <w:t xml:space="preserve">. </w:t>
      </w:r>
      <w:r w:rsidRPr="00571807">
        <w:rPr>
          <w:rFonts w:cs="Tahoma"/>
          <w:color w:val="000000"/>
          <w:szCs w:val="18"/>
          <w:lang w:val="de-DE"/>
        </w:rPr>
        <w:t>Oktober 2012 sind bei Freigabe von Lync Server 2013 berechtigt, unter der Zusätzlichen Lizenz auf die Software Lync Server 2013 upzugraden und sie anstelle der Software Lync Server 2010 unter der jeweiligen qualifizierenden Externen Connector-Lizenz zu verwenden</w:t>
      </w:r>
      <w:r w:rsidR="006257A7">
        <w:rPr>
          <w:rFonts w:cs="Tahoma"/>
          <w:color w:val="000000"/>
          <w:szCs w:val="18"/>
          <w:lang w:val="de-DE"/>
        </w:rPr>
        <w:t xml:space="preserve">. </w:t>
      </w:r>
    </w:p>
    <w:p w:rsidR="00E73313" w:rsidRPr="00571807" w:rsidRDefault="00E73313" w:rsidP="00C652D4">
      <w:pPr>
        <w:numPr>
          <w:ilvl w:val="0"/>
          <w:numId w:val="101"/>
        </w:numPr>
        <w:spacing w:after="40"/>
        <w:ind w:left="1440"/>
        <w:rPr>
          <w:lang w:val="de-DE"/>
        </w:rPr>
      </w:pPr>
      <w:r w:rsidRPr="00571807">
        <w:rPr>
          <w:rFonts w:cs="Tahoma"/>
          <w:color w:val="000000"/>
          <w:szCs w:val="18"/>
          <w:u w:val="single"/>
          <w:lang w:val="de-DE"/>
        </w:rPr>
        <w:t>Nutzungsrechte</w:t>
      </w:r>
      <w:r w:rsidRPr="00571807">
        <w:rPr>
          <w:rFonts w:cs="Tahoma"/>
          <w:color w:val="000000"/>
          <w:szCs w:val="18"/>
          <w:lang w:val="de-DE"/>
        </w:rPr>
        <w:t>: Das Recht zur Nutzung der Software unter der Zusätzlichen Lizenz unter diesem Angebot gilt bis zum Ablauf des Rechts zur Nutzung der Software unter der Qualifizierenden Lizenz</w:t>
      </w:r>
      <w:r w:rsidR="006257A7">
        <w:rPr>
          <w:rFonts w:cs="Tahoma"/>
          <w:color w:val="000000"/>
          <w:szCs w:val="18"/>
          <w:lang w:val="de-DE"/>
        </w:rPr>
        <w:t xml:space="preserve">. </w:t>
      </w:r>
      <w:r w:rsidRPr="00571807">
        <w:rPr>
          <w:rFonts w:cs="Tahoma"/>
          <w:color w:val="000000"/>
          <w:szCs w:val="18"/>
          <w:lang w:val="de-DE"/>
        </w:rPr>
        <w:t>Die Nutzung dieser Software unterliegt den Nutzungsrechten für die Software und den Bestimmungen des Volumenlizenzvertrages des Kunden</w:t>
      </w:r>
      <w:r w:rsidR="006257A7">
        <w:rPr>
          <w:rFonts w:cs="Tahoma"/>
          <w:color w:val="000000"/>
          <w:szCs w:val="18"/>
          <w:lang w:val="de-DE"/>
        </w:rPr>
        <w:t xml:space="preserve">. </w:t>
      </w:r>
      <w:r w:rsidRPr="00571807">
        <w:rPr>
          <w:rFonts w:cs="Tahoma"/>
          <w:color w:val="000000"/>
          <w:szCs w:val="18"/>
          <w:lang w:val="de-DE"/>
        </w:rPr>
        <w:t>Dieser Hinweis auf die Produktbedingungen und der Nachweis des Kunden über die entsprechende Qualifizierende Lizenz und Software Assurance belegen zusammen das Recht zur Nutzung der Software unter der Zusätzlichen Lizenz unter diesem Angebot</w:t>
      </w:r>
      <w:r w:rsidR="006257A7">
        <w:rPr>
          <w:rFonts w:cs="Tahoma"/>
          <w:color w:val="000000"/>
          <w:szCs w:val="18"/>
          <w:lang w:val="de-DE"/>
        </w:rPr>
        <w:t xml:space="preserve">. </w:t>
      </w:r>
    </w:p>
    <w:p w:rsidR="00E73313" w:rsidRPr="00571807" w:rsidRDefault="00E73313" w:rsidP="00C652D4">
      <w:pPr>
        <w:numPr>
          <w:ilvl w:val="0"/>
          <w:numId w:val="8"/>
        </w:numPr>
        <w:spacing w:after="40"/>
        <w:ind w:left="1440"/>
        <w:rPr>
          <w:lang w:val="de-DE"/>
        </w:rPr>
      </w:pPr>
      <w:r w:rsidRPr="00571807">
        <w:rPr>
          <w:rFonts w:cs="Tahoma"/>
          <w:color w:val="000000"/>
          <w:szCs w:val="18"/>
          <w:u w:val="single"/>
          <w:lang w:val="de-DE"/>
        </w:rPr>
        <w:t>Lizenz und Software Assurance</w:t>
      </w:r>
      <w:r w:rsidRPr="00571807">
        <w:rPr>
          <w:rFonts w:cs="Tahoma"/>
          <w:color w:val="000000"/>
          <w:szCs w:val="18"/>
          <w:lang w:val="de-DE"/>
        </w:rPr>
        <w:t>: Die Zusätzliche Lizenz enthält Software Assurance</w:t>
      </w:r>
      <w:r w:rsidR="006257A7">
        <w:rPr>
          <w:rFonts w:cs="Tahoma"/>
          <w:color w:val="000000"/>
          <w:szCs w:val="18"/>
          <w:lang w:val="de-DE"/>
        </w:rPr>
        <w:t xml:space="preserve">. </w:t>
      </w:r>
      <w:r w:rsidRPr="00571807">
        <w:rPr>
          <w:rFonts w:cs="Tahoma"/>
          <w:color w:val="000000"/>
          <w:szCs w:val="18"/>
          <w:lang w:val="de-DE"/>
        </w:rPr>
        <w:t>Software Assurance für die Zusätzliche Lizenz gilt bis zum Ablauf der Software Assurance für die Qualifizierende Lizenz</w:t>
      </w:r>
      <w:r w:rsidR="006257A7">
        <w:rPr>
          <w:rFonts w:cs="Tahoma"/>
          <w:color w:val="000000"/>
          <w:szCs w:val="18"/>
          <w:lang w:val="de-DE"/>
        </w:rPr>
        <w:t xml:space="preserve">. </w:t>
      </w:r>
      <w:r w:rsidRPr="00571807">
        <w:rPr>
          <w:rFonts w:cs="Tahoma"/>
          <w:color w:val="000000"/>
          <w:szCs w:val="18"/>
          <w:lang w:val="de-DE"/>
        </w:rPr>
        <w:t>Nach Ablauf von Software Assurance für die Qualifizierende Lizenz kann der</w:t>
      </w:r>
      <w:r w:rsidR="00C652D4">
        <w:rPr>
          <w:rFonts w:cs="Tahoma"/>
          <w:color w:val="000000"/>
          <w:szCs w:val="18"/>
          <w:lang w:val="de-DE"/>
        </w:rPr>
        <w:t> </w:t>
      </w:r>
      <w:r w:rsidRPr="00571807">
        <w:rPr>
          <w:rFonts w:cs="Tahoma"/>
          <w:color w:val="000000"/>
          <w:szCs w:val="18"/>
          <w:lang w:val="de-DE"/>
        </w:rPr>
        <w:t>Kunde Software Assurance für die Zusätzliche Lizenz verlängern, ohne separat eine neue Lizenz erwerben zu müssen</w:t>
      </w:r>
      <w:r w:rsidR="006257A7">
        <w:rPr>
          <w:rFonts w:cs="Tahoma"/>
          <w:color w:val="000000"/>
          <w:szCs w:val="18"/>
          <w:lang w:val="de-DE"/>
        </w:rPr>
        <w:t xml:space="preserve">. </w:t>
      </w:r>
    </w:p>
    <w:p w:rsidR="00E73313" w:rsidRPr="00571807" w:rsidRDefault="00E73313" w:rsidP="00C652D4">
      <w:pPr>
        <w:numPr>
          <w:ilvl w:val="0"/>
          <w:numId w:val="32"/>
        </w:numPr>
        <w:spacing w:after="40"/>
        <w:ind w:left="1440"/>
        <w:rPr>
          <w:lang w:val="de-DE"/>
        </w:rPr>
      </w:pPr>
      <w:r w:rsidRPr="00571807">
        <w:rPr>
          <w:rFonts w:eastAsia="Calibri" w:cs="Tahoma"/>
          <w:color w:val="000000"/>
          <w:szCs w:val="18"/>
          <w:u w:val="single"/>
          <w:lang w:val="de-DE"/>
        </w:rPr>
        <w:t>True Ups</w:t>
      </w:r>
      <w:r w:rsidRPr="00C652D4">
        <w:rPr>
          <w:rFonts w:eastAsia="Calibri" w:cs="Tahoma"/>
          <w:color w:val="000000"/>
          <w:szCs w:val="18"/>
          <w:lang w:val="de-DE"/>
        </w:rPr>
        <w:t>:</w:t>
      </w:r>
      <w:r w:rsidR="003002D3" w:rsidRPr="00C652D4">
        <w:rPr>
          <w:rFonts w:eastAsia="Calibri" w:cs="Tahoma"/>
          <w:color w:val="000000"/>
          <w:szCs w:val="18"/>
          <w:lang w:val="de-DE"/>
        </w:rPr>
        <w:t xml:space="preserve"> </w:t>
      </w:r>
      <w:r w:rsidRPr="00571807">
        <w:rPr>
          <w:rFonts w:eastAsia="Calibri" w:cs="Tahoma"/>
          <w:color w:val="000000"/>
          <w:szCs w:val="18"/>
          <w:lang w:val="de-DE"/>
        </w:rPr>
        <w:t>Bei Kunden mit Konzernvertrag, die zu diesen oben beschriebenen zusätzlichen Lizenzen und Rechten berechtigt sind, gelten Externe Connector-Lizenzen für Lync Server 2010 Enterprise, Lync Server 2010 Plus und Lync Server 2010 Standard, die unter dem jährlichen True Up-</w:t>
      </w:r>
      <w:r w:rsidRPr="00571807">
        <w:rPr>
          <w:rFonts w:cs="Tahoma"/>
          <w:color w:val="000000"/>
          <w:szCs w:val="18"/>
          <w:lang w:val="de-DE"/>
        </w:rPr>
        <w:t>Prozess erworben wurden, ebenfalls als Qualifizierende Lizenzen</w:t>
      </w:r>
      <w:r w:rsidR="006257A7">
        <w:rPr>
          <w:rFonts w:cs="Tahoma"/>
          <w:color w:val="000000"/>
          <w:szCs w:val="18"/>
          <w:lang w:val="de-DE"/>
        </w:rPr>
        <w:t xml:space="preserve">. </w:t>
      </w:r>
    </w:p>
    <w:p w:rsidR="00E73313" w:rsidRPr="00571807" w:rsidRDefault="00E73313" w:rsidP="00C652D4">
      <w:pPr>
        <w:numPr>
          <w:ilvl w:val="0"/>
          <w:numId w:val="32"/>
        </w:numPr>
        <w:spacing w:after="40"/>
        <w:ind w:left="1440"/>
        <w:rPr>
          <w:lang w:val="de-DE"/>
        </w:rPr>
      </w:pPr>
      <w:r w:rsidRPr="00571807">
        <w:rPr>
          <w:rFonts w:cs="Tahoma"/>
          <w:color w:val="000000"/>
          <w:szCs w:val="18"/>
          <w:u w:val="single"/>
          <w:lang w:val="de-DE"/>
        </w:rPr>
        <w:t>Abonnement-Verträge</w:t>
      </w:r>
      <w:r w:rsidRPr="00C652D4">
        <w:rPr>
          <w:rFonts w:cs="Tahoma"/>
          <w:color w:val="000000"/>
          <w:szCs w:val="18"/>
          <w:lang w:val="de-DE"/>
        </w:rPr>
        <w:t>:</w:t>
      </w:r>
      <w:r w:rsidR="003002D3">
        <w:rPr>
          <w:rFonts w:cs="Tahoma"/>
          <w:color w:val="000000"/>
          <w:szCs w:val="18"/>
          <w:lang w:val="de-DE"/>
        </w:rPr>
        <w:t xml:space="preserve"> </w:t>
      </w:r>
      <w:r w:rsidRPr="00571807">
        <w:rPr>
          <w:rFonts w:cs="Tahoma"/>
          <w:color w:val="000000"/>
          <w:szCs w:val="18"/>
          <w:lang w:val="de-DE"/>
        </w:rPr>
        <w:t xml:space="preserve">Für Konzern-Abonnement-Verträge, </w:t>
      </w:r>
      <w:r w:rsidRPr="00571807">
        <w:rPr>
          <w:rFonts w:cs="Tahoma"/>
          <w:szCs w:val="18"/>
          <w:lang w:val="de-DE"/>
        </w:rPr>
        <w:t>Open Value Subscription-Verträge, Campus- und School-Verträge, Beitritt für Bildungslösungen und Open Value Subscription – Bildungslösungen-Verträge werden vorübergehend unter denselben Bedingungen</w:t>
      </w:r>
      <w:r w:rsidRPr="00571807">
        <w:rPr>
          <w:rFonts w:cs="Tahoma"/>
          <w:color w:val="000000"/>
          <w:szCs w:val="18"/>
          <w:lang w:val="de-DE"/>
        </w:rPr>
        <w:t xml:space="preserve"> bis zum Ende der</w:t>
      </w:r>
      <w:r w:rsidR="00C652D4">
        <w:rPr>
          <w:rFonts w:cs="Tahoma"/>
          <w:color w:val="000000"/>
          <w:szCs w:val="18"/>
          <w:lang w:val="de-DE"/>
        </w:rPr>
        <w:t> </w:t>
      </w:r>
      <w:r w:rsidRPr="00571807">
        <w:rPr>
          <w:rFonts w:cs="Tahoma"/>
          <w:color w:val="000000"/>
          <w:szCs w:val="18"/>
          <w:lang w:val="de-DE"/>
        </w:rPr>
        <w:t>aktuellen Beitrittslaufzeit (bzw</w:t>
      </w:r>
      <w:r w:rsidR="006257A7">
        <w:rPr>
          <w:rFonts w:cs="Tahoma"/>
          <w:color w:val="000000"/>
          <w:szCs w:val="18"/>
          <w:lang w:val="de-DE"/>
        </w:rPr>
        <w:t xml:space="preserve">. </w:t>
      </w:r>
      <w:r w:rsidRPr="00571807">
        <w:rPr>
          <w:rFonts w:cs="Tahoma"/>
          <w:color w:val="000000"/>
          <w:szCs w:val="18"/>
          <w:lang w:val="de-DE"/>
        </w:rPr>
        <w:t>Vertragslaufzeit im Falle von Open Value) die gleichen Rechte gewährt</w:t>
      </w:r>
      <w:r w:rsidR="006257A7">
        <w:rPr>
          <w:rFonts w:cs="Tahoma"/>
          <w:color w:val="000000"/>
          <w:szCs w:val="18"/>
          <w:lang w:val="de-DE"/>
        </w:rPr>
        <w:t xml:space="preserve">. </w:t>
      </w:r>
      <w:r w:rsidRPr="00571807">
        <w:rPr>
          <w:rFonts w:cs="Tahoma"/>
          <w:color w:val="000000"/>
          <w:szCs w:val="18"/>
          <w:lang w:val="de-DE"/>
        </w:rPr>
        <w:t>Der Kunde muss das Abonnement ununterbrochen aufrechterhalten</w:t>
      </w:r>
      <w:r w:rsidR="006257A7">
        <w:rPr>
          <w:rFonts w:cs="Tahoma"/>
          <w:color w:val="000000"/>
          <w:szCs w:val="18"/>
          <w:lang w:val="de-DE"/>
        </w:rPr>
        <w:t xml:space="preserve">. </w:t>
      </w:r>
      <w:r w:rsidRPr="00571807">
        <w:rPr>
          <w:rFonts w:cs="Tahoma"/>
          <w:color w:val="000000"/>
          <w:szCs w:val="18"/>
          <w:lang w:val="de-DE"/>
        </w:rPr>
        <w:t>Diese Rechte werden erst nach Ausübung der Buy-Out-Option zeitlich unbeschränkt und unterliegen weiterhin allen Bestimmungen des Lizenzvertrages des Kunden</w:t>
      </w:r>
      <w:r w:rsidR="006257A7">
        <w:rPr>
          <w:rFonts w:cs="Tahoma"/>
          <w:color w:val="000000"/>
          <w:szCs w:val="18"/>
          <w:lang w:val="de-DE"/>
        </w:rPr>
        <w:t xml:space="preserve">. </w:t>
      </w:r>
    </w:p>
    <w:p w:rsidR="00E73313" w:rsidRPr="00571807" w:rsidRDefault="00E73313" w:rsidP="00C652D4">
      <w:pPr>
        <w:numPr>
          <w:ilvl w:val="0"/>
          <w:numId w:val="103"/>
        </w:numPr>
        <w:spacing w:after="40"/>
        <w:ind w:left="1440"/>
        <w:rPr>
          <w:lang w:val="de-DE"/>
        </w:rPr>
      </w:pPr>
      <w:r w:rsidRPr="00571807">
        <w:rPr>
          <w:rFonts w:cs="Tahoma"/>
          <w:szCs w:val="18"/>
          <w:u w:val="single"/>
          <w:lang w:val="de-DE"/>
        </w:rPr>
        <w:t>Übergänge für Campus- und School-Verträge</w:t>
      </w:r>
      <w:r w:rsidRPr="00C652D4">
        <w:rPr>
          <w:rFonts w:cs="Tahoma"/>
          <w:szCs w:val="18"/>
          <w:lang w:val="de-DE"/>
        </w:rPr>
        <w:t>:</w:t>
      </w:r>
      <w:r w:rsidRPr="00571807">
        <w:rPr>
          <w:rFonts w:cs="Tahoma"/>
          <w:szCs w:val="18"/>
          <w:lang w:val="de-DE"/>
        </w:rPr>
        <w:t xml:space="preserve">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E73313" w:rsidRPr="00571807" w:rsidRDefault="00E73313" w:rsidP="00C652D4">
      <w:pPr>
        <w:pStyle w:val="ListParagraph"/>
        <w:numPr>
          <w:ilvl w:val="0"/>
          <w:numId w:val="87"/>
        </w:numPr>
        <w:spacing w:after="40"/>
        <w:ind w:left="1987"/>
        <w:contextualSpacing w:val="0"/>
        <w:rPr>
          <w:lang w:val="de-DE"/>
        </w:rPr>
      </w:pPr>
      <w:r w:rsidRPr="00571807">
        <w:rPr>
          <w:rFonts w:ascii="Tahoma" w:hAnsi="Tahoma" w:cs="Tahoma"/>
          <w:sz w:val="18"/>
          <w:szCs w:val="18"/>
          <w:lang w:val="de-DE"/>
        </w:rPr>
        <w:t>Bis zum Ende des Beitritts für Bildungslösungen bzw</w:t>
      </w:r>
      <w:r w:rsidR="006257A7">
        <w:rPr>
          <w:rFonts w:ascii="Tahoma" w:hAnsi="Tahoma" w:cs="Tahoma"/>
          <w:sz w:val="18"/>
          <w:szCs w:val="18"/>
          <w:lang w:val="de-DE"/>
        </w:rPr>
        <w:t xml:space="preserve">. </w:t>
      </w:r>
      <w:r w:rsidRPr="00571807">
        <w:rPr>
          <w:rFonts w:ascii="Tahoma" w:hAnsi="Tahoma" w:cs="Tahoma"/>
          <w:sz w:val="18"/>
          <w:szCs w:val="18"/>
          <w:lang w:val="de-DE"/>
        </w:rPr>
        <w:t>des Open Value Subscription – Bildungslösungen-Vertrages werden vorübergehend unter denselben Bedingungen die gleichen Rechte gewährt</w:t>
      </w:r>
      <w:r w:rsidR="006257A7">
        <w:rPr>
          <w:rFonts w:ascii="Tahoma" w:hAnsi="Tahoma" w:cs="Tahoma"/>
          <w:sz w:val="18"/>
          <w:szCs w:val="18"/>
          <w:lang w:val="de-DE"/>
        </w:rPr>
        <w:t xml:space="preserve">. </w:t>
      </w:r>
    </w:p>
    <w:p w:rsidR="00E73313" w:rsidRPr="00571807" w:rsidRDefault="00E73313" w:rsidP="00C652D4">
      <w:pPr>
        <w:pStyle w:val="ListParagraph"/>
        <w:numPr>
          <w:ilvl w:val="0"/>
          <w:numId w:val="87"/>
        </w:numPr>
        <w:spacing w:after="40"/>
        <w:ind w:left="1987"/>
        <w:contextualSpacing w:val="0"/>
        <w:rPr>
          <w:lang w:val="de-DE"/>
        </w:rPr>
      </w:pPr>
      <w:r w:rsidRPr="00571807">
        <w:rPr>
          <w:rFonts w:ascii="Tahoma" w:hAnsi="Tahoma" w:cs="Tahoma"/>
          <w:sz w:val="18"/>
          <w:szCs w:val="18"/>
          <w:lang w:val="de-DE"/>
        </w:rPr>
        <w:t>Diese Rechte werden erst nach Ausübung der Buy-Out-Option zeitlich unbeschränkt und</w:t>
      </w:r>
      <w:r w:rsidR="00C652D4">
        <w:rPr>
          <w:rFonts w:ascii="Tahoma" w:hAnsi="Tahoma" w:cs="Tahoma"/>
          <w:sz w:val="18"/>
          <w:szCs w:val="18"/>
          <w:lang w:val="de-DE"/>
        </w:rPr>
        <w:t> </w:t>
      </w:r>
      <w:r w:rsidRPr="00571807">
        <w:rPr>
          <w:rFonts w:ascii="Tahoma" w:hAnsi="Tahoma" w:cs="Tahoma"/>
          <w:sz w:val="18"/>
          <w:szCs w:val="18"/>
          <w:lang w:val="de-DE"/>
        </w:rPr>
        <w:t>unterliegen weiterhin allen Bestimmungen des Lizenzvertrages des Kunden</w:t>
      </w:r>
      <w:r w:rsidR="006257A7">
        <w:rPr>
          <w:rFonts w:ascii="Tahoma" w:hAnsi="Tahoma" w:cs="Tahoma"/>
          <w:sz w:val="18"/>
          <w:szCs w:val="18"/>
          <w:lang w:val="de-DE"/>
        </w:rPr>
        <w:t xml:space="preserve">. </w:t>
      </w:r>
      <w:bookmarkStart w:id="1389" w:name="_66_Lync_Server"/>
      <w:bookmarkStart w:id="1390" w:name="_Toc336338327"/>
      <w:bookmarkStart w:id="1391" w:name="Srv_57OfficeCommSvrOnlineStd"/>
      <w:bookmarkEnd w:id="1389"/>
    </w:p>
    <w:p w:rsidR="00E73313" w:rsidRPr="00C652D4" w:rsidRDefault="00E73313" w:rsidP="00C652D4">
      <w:pPr>
        <w:spacing w:line="120" w:lineRule="exact"/>
        <w:rPr>
          <w:sz w:val="16"/>
          <w:szCs w:val="16"/>
          <w:lang w:val="de-DE"/>
        </w:rPr>
      </w:pPr>
      <w:bookmarkStart w:id="1392" w:name="Srv_56MicrosoftDynamicsCRM2011"/>
      <w:bookmarkStart w:id="1393" w:name="Srv_67MicrosoftDynamicsCRM2011"/>
    </w:p>
    <w:p w:rsidR="00E73313" w:rsidRPr="00C652D4" w:rsidRDefault="00E73313" w:rsidP="00C652D4">
      <w:pPr>
        <w:spacing w:line="120" w:lineRule="exact"/>
        <w:rPr>
          <w:sz w:val="16"/>
          <w:szCs w:val="16"/>
          <w:lang w:val="de-DE"/>
        </w:rPr>
      </w:pPr>
    </w:p>
    <w:p w:rsidR="00E73313" w:rsidRPr="00571807" w:rsidRDefault="00E73313" w:rsidP="00E73313">
      <w:pPr>
        <w:pStyle w:val="Heading3"/>
        <w:rPr>
          <w:lang w:val="de-DE"/>
        </w:rPr>
      </w:pPr>
      <w:bookmarkStart w:id="1394" w:name="_72_Microsoft_Dynamics"/>
      <w:bookmarkStart w:id="1395" w:name="_Toc363999069"/>
      <w:bookmarkEnd w:id="1394"/>
      <w:r w:rsidRPr="00571807">
        <w:rPr>
          <w:rFonts w:ascii="Tahoma" w:hAnsi="Tahoma"/>
          <w:color w:val="F66400"/>
          <w:sz w:val="22"/>
          <w:vertAlign w:val="superscript"/>
          <w:lang w:val="de-DE"/>
        </w:rPr>
        <w:t>72</w:t>
      </w:r>
      <w:r w:rsidRPr="00571807">
        <w:rPr>
          <w:rFonts w:ascii="Tahoma" w:hAnsi="Tahoma"/>
          <w:color w:val="F66400"/>
          <w:sz w:val="22"/>
          <w:lang w:val="de-DE"/>
        </w:rPr>
        <w:t xml:space="preserve"> Microsoft Dynamics AX 2012</w:t>
      </w:r>
      <w:bookmarkEnd w:id="1390"/>
      <w:r w:rsidRPr="00571807">
        <w:rPr>
          <w:rFonts w:ascii="Tahoma" w:hAnsi="Tahoma"/>
          <w:color w:val="F66400"/>
          <w:sz w:val="22"/>
          <w:lang w:val="de-DE"/>
        </w:rPr>
        <w:t xml:space="preserve"> R2</w:t>
      </w:r>
      <w:bookmarkEnd w:id="1395"/>
    </w:p>
    <w:p w:rsidR="00E73313" w:rsidRPr="00C652D4" w:rsidRDefault="00E73313" w:rsidP="00C652D4">
      <w:pPr>
        <w:spacing w:line="192" w:lineRule="auto"/>
        <w:rPr>
          <w:sz w:val="16"/>
          <w:szCs w:val="16"/>
          <w:lang w:val="de-DE"/>
        </w:rPr>
      </w:pPr>
    </w:p>
    <w:p w:rsidR="00E73313" w:rsidRPr="00571807" w:rsidRDefault="00E73313" w:rsidP="00E73313">
      <w:pPr>
        <w:spacing w:after="60"/>
        <w:ind w:left="734" w:hanging="14"/>
        <w:rPr>
          <w:lang w:val="de-DE"/>
        </w:rPr>
      </w:pPr>
      <w:r w:rsidRPr="00571807">
        <w:rPr>
          <w:rFonts w:cs="Tahoma"/>
          <w:b/>
          <w:bCs/>
          <w:szCs w:val="20"/>
          <w:lang w:val="de-DE"/>
        </w:rPr>
        <w:t>Lokalisierungen und Übersetzungen</w:t>
      </w:r>
    </w:p>
    <w:p w:rsidR="00E73313" w:rsidRPr="00571807" w:rsidRDefault="00E73313" w:rsidP="00E73313">
      <w:pPr>
        <w:ind w:left="734" w:hanging="14"/>
        <w:rPr>
          <w:lang w:val="de-DE"/>
        </w:rPr>
      </w:pPr>
      <w:r w:rsidRPr="00571807">
        <w:rPr>
          <w:rFonts w:cs="Tahoma"/>
          <w:color w:val="000000"/>
          <w:szCs w:val="20"/>
          <w:lang w:val="de-DE"/>
        </w:rPr>
        <w:t>Microsoft Dynamics AX wird von Microsoft lokalisiert, übersetzt und unterstützt sowie in ausgewählten Ländern und Sprachen allgemein zur Verfügung gestellt</w:t>
      </w:r>
      <w:r w:rsidR="006257A7">
        <w:rPr>
          <w:rFonts w:cs="Tahoma"/>
          <w:color w:val="000000"/>
          <w:szCs w:val="20"/>
          <w:lang w:val="de-DE"/>
        </w:rPr>
        <w:t xml:space="preserve">. </w:t>
      </w:r>
      <w:r w:rsidRPr="00571807">
        <w:rPr>
          <w:rFonts w:cs="Tahoma"/>
          <w:color w:val="000000"/>
          <w:szCs w:val="20"/>
          <w:lang w:val="de-DE"/>
        </w:rPr>
        <w:t xml:space="preserve">Unter </w:t>
      </w:r>
      <w:r w:rsidR="00C652D4">
        <w:rPr>
          <w:rFonts w:cs="Tahoma"/>
          <w:color w:val="000000"/>
          <w:szCs w:val="20"/>
          <w:lang w:val="de-DE"/>
        </w:rPr>
        <w:br/>
      </w:r>
      <w:r w:rsidRPr="00571807">
        <w:rPr>
          <w:rFonts w:cs="Tahoma"/>
          <w:color w:val="000000"/>
          <w:szCs w:val="20"/>
          <w:lang w:val="de-DE"/>
        </w:rPr>
        <w:t>http://www</w:t>
      </w:r>
      <w:r w:rsidR="00E869D6">
        <w:rPr>
          <w:rFonts w:cs="Tahoma"/>
          <w:color w:val="000000"/>
          <w:szCs w:val="20"/>
          <w:lang w:val="de-DE"/>
        </w:rPr>
        <w:t>.</w:t>
      </w:r>
      <w:r w:rsidRPr="00571807">
        <w:rPr>
          <w:rFonts w:cs="Tahoma"/>
          <w:color w:val="000000"/>
          <w:szCs w:val="20"/>
          <w:lang w:val="de-DE"/>
        </w:rPr>
        <w:t>microsoft</w:t>
      </w:r>
      <w:r w:rsidR="00E869D6">
        <w:rPr>
          <w:rFonts w:cs="Tahoma"/>
          <w:color w:val="000000"/>
          <w:szCs w:val="20"/>
          <w:lang w:val="de-DE"/>
        </w:rPr>
        <w:t>.</w:t>
      </w:r>
      <w:r w:rsidRPr="00571807">
        <w:rPr>
          <w:rFonts w:cs="Tahoma"/>
          <w:color w:val="000000"/>
          <w:szCs w:val="20"/>
          <w:lang w:val="de-DE"/>
        </w:rPr>
        <w:t>com/en-us/dynamics/erp-buy-ax-software</w:t>
      </w:r>
      <w:r w:rsidR="00E869D6">
        <w:rPr>
          <w:rFonts w:cs="Tahoma"/>
          <w:color w:val="000000"/>
          <w:szCs w:val="20"/>
          <w:lang w:val="de-DE"/>
        </w:rPr>
        <w:t>.</w:t>
      </w:r>
      <w:r w:rsidRPr="00571807">
        <w:rPr>
          <w:rFonts w:cs="Tahoma"/>
          <w:color w:val="000000"/>
          <w:szCs w:val="20"/>
          <w:lang w:val="de-DE"/>
        </w:rPr>
        <w:t>aspx können Sie sich über die Verfügbarkeit von Microsoft-Übersetzungen und -Lokalisierungen informieren</w:t>
      </w:r>
      <w:r w:rsidR="006257A7">
        <w:rPr>
          <w:rFonts w:cs="Tahoma"/>
          <w:color w:val="000000"/>
          <w:szCs w:val="20"/>
          <w:lang w:val="de-DE"/>
        </w:rPr>
        <w:t xml:space="preserve">. </w:t>
      </w:r>
    </w:p>
    <w:p w:rsidR="00E73313" w:rsidRPr="00C652D4" w:rsidRDefault="00E73313" w:rsidP="00C652D4">
      <w:pPr>
        <w:spacing w:line="120" w:lineRule="exact"/>
        <w:ind w:left="720"/>
        <w:rPr>
          <w:sz w:val="16"/>
          <w:szCs w:val="16"/>
          <w:lang w:val="de-DE"/>
        </w:rPr>
      </w:pPr>
    </w:p>
    <w:p w:rsidR="00E73313" w:rsidRDefault="00E73313" w:rsidP="00C652D4">
      <w:pPr>
        <w:pStyle w:val="PURBody-Indented"/>
        <w:spacing w:after="0"/>
        <w:ind w:left="720"/>
        <w:rPr>
          <w:rFonts w:ascii="Tahoma" w:hAnsi="Tahoma" w:cs="Tahoma"/>
          <w:color w:val="000000"/>
          <w:sz w:val="18"/>
          <w:lang w:val="de-DE"/>
        </w:rPr>
      </w:pPr>
      <w:r w:rsidRPr="00571807">
        <w:rPr>
          <w:rFonts w:ascii="Tahoma" w:hAnsi="Tahoma" w:cs="Tahoma"/>
          <w:color w:val="000000"/>
          <w:sz w:val="18"/>
          <w:lang w:val="de-DE"/>
        </w:rPr>
        <w:t>Microsoft nimmt zur Kenntnis, dass es in bestimmten Umständen dazu kommen kann, dass Sie gewisse Module oder Funktionalitäten, die für eine bestimmte Region lokalisiert und/oder übersetzt wurden, in einer anderen Region als derjenigen, für die sie erstellt wurden, nutzen möchten</w:t>
      </w:r>
      <w:r w:rsidR="006257A7">
        <w:rPr>
          <w:rFonts w:ascii="Tahoma" w:hAnsi="Tahoma" w:cs="Tahoma"/>
          <w:color w:val="000000"/>
          <w:sz w:val="18"/>
          <w:lang w:val="de-DE"/>
        </w:rPr>
        <w:t xml:space="preserve">. </w:t>
      </w:r>
      <w:r w:rsidRPr="00571807">
        <w:rPr>
          <w:rFonts w:ascii="Tahoma" w:hAnsi="Tahoma" w:cs="Tahoma"/>
          <w:color w:val="000000"/>
          <w:sz w:val="18"/>
          <w:lang w:val="de-DE"/>
        </w:rPr>
        <w:t>Da sich die Gesetze und Regelungen von Region zu Region unterscheiden, können sich Gesetze oder Regelungen auf die Nutzung der gewünschten Funktionalität in Regionen, für die diese nicht erstellt wurde, auswirken</w:t>
      </w:r>
      <w:r w:rsidR="006257A7">
        <w:rPr>
          <w:rFonts w:ascii="Tahoma" w:hAnsi="Tahoma" w:cs="Tahoma"/>
          <w:color w:val="000000"/>
          <w:sz w:val="18"/>
          <w:lang w:val="de-DE"/>
        </w:rPr>
        <w:t xml:space="preserve">. </w:t>
      </w:r>
      <w:r w:rsidRPr="00571807">
        <w:rPr>
          <w:rFonts w:ascii="Tahoma" w:hAnsi="Tahoma" w:cs="Tahoma"/>
          <w:color w:val="000000"/>
          <w:sz w:val="18"/>
          <w:lang w:val="de-DE"/>
        </w:rPr>
        <w:t>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für</w:t>
      </w:r>
      <w:r w:rsidR="00C652D4">
        <w:rPr>
          <w:rFonts w:ascii="Tahoma" w:hAnsi="Tahoma" w:cs="Tahoma"/>
          <w:color w:val="000000"/>
          <w:sz w:val="18"/>
          <w:lang w:val="de-DE"/>
        </w:rPr>
        <w:t> </w:t>
      </w:r>
      <w:r w:rsidRPr="00571807">
        <w:rPr>
          <w:rFonts w:ascii="Tahoma" w:hAnsi="Tahoma" w:cs="Tahoma"/>
          <w:color w:val="000000"/>
          <w:sz w:val="18"/>
          <w:lang w:val="de-DE"/>
        </w:rPr>
        <w:t>die sie erstellt wurden, und in dem Microsoft solche Software kommerziell verfügbar macht, genutzt werden</w:t>
      </w:r>
      <w:r w:rsidR="006257A7">
        <w:rPr>
          <w:rFonts w:ascii="Tahoma" w:hAnsi="Tahoma" w:cs="Tahoma"/>
          <w:color w:val="000000"/>
          <w:sz w:val="18"/>
          <w:lang w:val="de-DE"/>
        </w:rPr>
        <w:t xml:space="preserve">. </w:t>
      </w:r>
      <w:r w:rsidRPr="00571807">
        <w:rPr>
          <w:rFonts w:ascii="Tahoma" w:hAnsi="Tahoma" w:cs="Tahoma"/>
          <w:color w:val="000000"/>
          <w:sz w:val="18"/>
          <w:lang w:val="de-DE"/>
        </w:rPr>
        <w:t>Wenden Sie sich an Ihren Steuerberater in der geografischen Region, in der Sie diese Software nutzen möchten, um zu bestimmen, ob die Funktionalität für die Nutzung in dieser Region geeignet ist</w:t>
      </w:r>
      <w:r w:rsidR="006257A7">
        <w:rPr>
          <w:rFonts w:ascii="Tahoma" w:hAnsi="Tahoma" w:cs="Tahoma"/>
          <w:color w:val="000000"/>
          <w:sz w:val="18"/>
          <w:lang w:val="de-DE"/>
        </w:rPr>
        <w:t xml:space="preserve">. </w:t>
      </w:r>
    </w:p>
    <w:p w:rsidR="00382D51" w:rsidRDefault="00382D51" w:rsidP="00E73313">
      <w:pPr>
        <w:spacing w:after="60"/>
        <w:ind w:left="734" w:hanging="187"/>
        <w:rPr>
          <w:rFonts w:cs="Tahoma"/>
          <w:b/>
          <w:bCs/>
          <w:szCs w:val="20"/>
          <w:lang w:val="de-DE"/>
        </w:rPr>
      </w:pPr>
    </w:p>
    <w:p w:rsidR="00382D51" w:rsidRDefault="00382D51" w:rsidP="00E73313">
      <w:pPr>
        <w:spacing w:after="60"/>
        <w:ind w:left="734" w:hanging="187"/>
        <w:rPr>
          <w:rFonts w:cs="Tahoma"/>
          <w:b/>
          <w:bCs/>
          <w:szCs w:val="20"/>
          <w:lang w:val="de-DE"/>
        </w:rPr>
      </w:pPr>
    </w:p>
    <w:p w:rsidR="00382D51" w:rsidRDefault="00382D51" w:rsidP="00E73313">
      <w:pPr>
        <w:spacing w:after="60"/>
        <w:ind w:left="734" w:hanging="187"/>
        <w:rPr>
          <w:rFonts w:cs="Tahoma"/>
          <w:b/>
          <w:bCs/>
          <w:szCs w:val="20"/>
          <w:lang w:val="de-DE"/>
        </w:rPr>
      </w:pPr>
    </w:p>
    <w:p w:rsidR="00382D51" w:rsidRDefault="00382D51" w:rsidP="00E73313">
      <w:pPr>
        <w:spacing w:after="60"/>
        <w:ind w:left="734" w:hanging="187"/>
        <w:rPr>
          <w:rFonts w:cs="Tahoma"/>
          <w:b/>
          <w:bCs/>
          <w:szCs w:val="20"/>
          <w:lang w:val="de-DE"/>
        </w:rPr>
      </w:pPr>
    </w:p>
    <w:p w:rsidR="00382D51" w:rsidRDefault="00382D51" w:rsidP="00E73313">
      <w:pPr>
        <w:spacing w:after="60"/>
        <w:ind w:left="734" w:hanging="187"/>
        <w:rPr>
          <w:rFonts w:cs="Tahoma"/>
          <w:b/>
          <w:bCs/>
          <w:szCs w:val="20"/>
          <w:lang w:val="de-DE"/>
        </w:rPr>
      </w:pPr>
    </w:p>
    <w:p w:rsidR="00E73313" w:rsidRPr="00571807" w:rsidRDefault="00E73313" w:rsidP="00E73313">
      <w:pPr>
        <w:spacing w:after="60"/>
        <w:ind w:left="734" w:hanging="187"/>
        <w:rPr>
          <w:lang w:val="de-DE"/>
        </w:rPr>
      </w:pPr>
      <w:r w:rsidRPr="00571807">
        <w:rPr>
          <w:rFonts w:cs="Tahoma"/>
          <w:b/>
          <w:bCs/>
          <w:szCs w:val="20"/>
          <w:lang w:val="de-DE"/>
        </w:rPr>
        <w:t>CAL-Nutzungsrechte</w:t>
      </w:r>
    </w:p>
    <w:p w:rsidR="00E73313" w:rsidRPr="00571807" w:rsidRDefault="00E73313" w:rsidP="00C652D4">
      <w:pPr>
        <w:ind w:left="540"/>
        <w:rPr>
          <w:lang w:val="de-DE"/>
        </w:rPr>
      </w:pPr>
      <w:r w:rsidRPr="00571807">
        <w:rPr>
          <w:rFonts w:eastAsia="Calibri" w:cs="Tahoma"/>
          <w:szCs w:val="18"/>
          <w:lang w:val="de-DE"/>
        </w:rPr>
        <w:t>Die unter den verschiedenen CALs für Microsoft Dynamics AX 2012 R2 zulässigen Verwendungszwecke sind nachstehend dargelegt:</w:t>
      </w:r>
    </w:p>
    <w:p w:rsidR="00E73313" w:rsidRPr="00571807" w:rsidRDefault="00E73313" w:rsidP="00E73313">
      <w:pPr>
        <w:ind w:firstLine="540"/>
        <w:rPr>
          <w:lang w:val="de-DE"/>
        </w:rPr>
      </w:pPr>
    </w:p>
    <w:p w:rsidR="00E73313" w:rsidRPr="0062435A" w:rsidRDefault="00E73313" w:rsidP="00E73313">
      <w:pPr>
        <w:numPr>
          <w:ilvl w:val="1"/>
          <w:numId w:val="66"/>
        </w:numPr>
        <w:tabs>
          <w:tab w:val="clear" w:pos="1440"/>
          <w:tab w:val="num" w:pos="900"/>
        </w:tabs>
        <w:autoSpaceDE w:val="0"/>
        <w:autoSpaceDN w:val="0"/>
        <w:adjustRightInd w:val="0"/>
        <w:ind w:left="900" w:right="720"/>
      </w:pPr>
      <w:r>
        <w:rPr>
          <w:rFonts w:eastAsia="Calibri" w:cs="Tahoma"/>
          <w:b/>
          <w:szCs w:val="18"/>
        </w:rPr>
        <w:t>Self-Service-CAL (Basis-CAL)</w:t>
      </w:r>
    </w:p>
    <w:p w:rsidR="00E73313" w:rsidRPr="00BA264B" w:rsidRDefault="00E73313" w:rsidP="00BA264B">
      <w:pPr>
        <w:numPr>
          <w:ilvl w:val="1"/>
          <w:numId w:val="88"/>
        </w:numPr>
        <w:ind w:left="1440" w:right="720" w:hanging="540"/>
        <w:rPr>
          <w:rFonts w:eastAsia="Calibri" w:cs="Tahoma"/>
          <w:szCs w:val="18"/>
          <w:lang w:val="de-DE"/>
        </w:rPr>
      </w:pPr>
      <w:r w:rsidRPr="00BA264B">
        <w:rPr>
          <w:rFonts w:eastAsia="Calibri" w:cs="Tahoma"/>
          <w:szCs w:val="18"/>
          <w:lang w:val="de-DE"/>
        </w:rPr>
        <w:t>Erstellen von Spesenabrechnungen</w:t>
      </w:r>
    </w:p>
    <w:p w:rsidR="00E73313" w:rsidRPr="00BA264B" w:rsidRDefault="00E73313" w:rsidP="00BA264B">
      <w:pPr>
        <w:numPr>
          <w:ilvl w:val="1"/>
          <w:numId w:val="88"/>
        </w:numPr>
        <w:ind w:left="1440" w:right="720" w:hanging="540"/>
        <w:rPr>
          <w:rFonts w:eastAsia="Calibri" w:cs="Tahoma"/>
          <w:szCs w:val="18"/>
          <w:lang w:val="de-DE"/>
        </w:rPr>
      </w:pPr>
      <w:r w:rsidRPr="00BA264B">
        <w:rPr>
          <w:rFonts w:eastAsia="Calibri" w:cs="Tahoma"/>
          <w:szCs w:val="18"/>
          <w:lang w:val="de-DE"/>
        </w:rPr>
        <w:t>Verwalten persönlicher Daten wie Leistungsbeitritte</w:t>
      </w:r>
    </w:p>
    <w:p w:rsidR="00E73313" w:rsidRPr="00BA264B" w:rsidRDefault="00E73313" w:rsidP="00BA264B">
      <w:pPr>
        <w:numPr>
          <w:ilvl w:val="1"/>
          <w:numId w:val="88"/>
        </w:numPr>
        <w:ind w:left="1440" w:right="720" w:hanging="540"/>
        <w:rPr>
          <w:rFonts w:eastAsia="Calibri" w:cs="Tahoma"/>
          <w:szCs w:val="18"/>
          <w:lang w:val="de-DE"/>
        </w:rPr>
      </w:pPr>
      <w:r w:rsidRPr="00571807">
        <w:rPr>
          <w:rFonts w:eastAsia="Calibri" w:cs="Tahoma"/>
          <w:szCs w:val="18"/>
          <w:lang w:val="de-DE"/>
        </w:rPr>
        <w:t>Erstellen von Zeiterfassungs- und Anwesenheitseinträgen wie Registrierung der Arbeitsstunden, Erfassung von Arbeitsbeginn und -Ende</w:t>
      </w:r>
    </w:p>
    <w:p w:rsidR="00E73313" w:rsidRPr="00BA264B" w:rsidRDefault="00E73313" w:rsidP="00BA264B">
      <w:pPr>
        <w:numPr>
          <w:ilvl w:val="1"/>
          <w:numId w:val="88"/>
        </w:numPr>
        <w:ind w:left="1440" w:right="720" w:hanging="540"/>
        <w:rPr>
          <w:rFonts w:eastAsia="Calibri" w:cs="Tahoma"/>
          <w:szCs w:val="18"/>
          <w:lang w:val="de-DE"/>
        </w:rPr>
      </w:pPr>
      <w:r w:rsidRPr="00BA264B">
        <w:rPr>
          <w:rFonts w:eastAsia="Calibri" w:cs="Tahoma"/>
          <w:szCs w:val="18"/>
          <w:lang w:val="de-DE"/>
        </w:rPr>
        <w:t>Eingeben von Mitarbeiter-Serviceanforderungen</w:t>
      </w:r>
    </w:p>
    <w:p w:rsidR="00E73313" w:rsidRPr="00571807" w:rsidRDefault="00E73313" w:rsidP="00BA264B">
      <w:pPr>
        <w:numPr>
          <w:ilvl w:val="1"/>
          <w:numId w:val="88"/>
        </w:numPr>
        <w:ind w:left="1440" w:right="720" w:hanging="540"/>
        <w:rPr>
          <w:lang w:val="de-DE"/>
        </w:rPr>
      </w:pPr>
      <w:r w:rsidRPr="00571807">
        <w:rPr>
          <w:rFonts w:eastAsia="Calibri" w:cs="Tahoma"/>
          <w:szCs w:val="18"/>
          <w:lang w:val="de-DE"/>
        </w:rPr>
        <w:t>Erstellen von indirekten Beschaffungsanforderungen für Produkte oder Dienstleistungen für den Mitarbeiter, wie Reisen, Büroausstattung, Büromaterial, und/oder Erstellen von Anforderungen zum Hinzufügen oder Anmelden von Anbietern</w:t>
      </w:r>
      <w:r w:rsidR="006257A7">
        <w:rPr>
          <w:rFonts w:eastAsia="Calibri" w:cs="Tahoma"/>
          <w:szCs w:val="18"/>
          <w:lang w:val="de-DE"/>
        </w:rPr>
        <w:t xml:space="preserve">. </w:t>
      </w:r>
      <w:r w:rsidRPr="00571807">
        <w:rPr>
          <w:rFonts w:eastAsia="Calibri" w:cs="Tahoma"/>
          <w:szCs w:val="18"/>
          <w:lang w:val="de-DE"/>
        </w:rPr>
        <w:br/>
      </w:r>
    </w:p>
    <w:p w:rsidR="00E73313" w:rsidRPr="00571807" w:rsidRDefault="00E73313" w:rsidP="00E73313">
      <w:pPr>
        <w:numPr>
          <w:ilvl w:val="0"/>
          <w:numId w:val="88"/>
        </w:numPr>
        <w:autoSpaceDE w:val="0"/>
        <w:autoSpaceDN w:val="0"/>
        <w:adjustRightInd w:val="0"/>
        <w:ind w:left="900" w:right="720"/>
        <w:rPr>
          <w:lang w:val="de-DE"/>
        </w:rPr>
      </w:pPr>
      <w:r w:rsidRPr="00571807">
        <w:rPr>
          <w:rFonts w:eastAsia="Calibri" w:cs="Tahoma"/>
          <w:b/>
          <w:szCs w:val="18"/>
          <w:lang w:val="de-DE"/>
        </w:rPr>
        <w:t>Aufgaben-CAL (Self-Service-CAL + Zusätzliche Aufgaben-CAL)</w:t>
      </w:r>
    </w:p>
    <w:p w:rsidR="00E73313" w:rsidRPr="00BA264B" w:rsidRDefault="00E73313" w:rsidP="00BA264B">
      <w:pPr>
        <w:numPr>
          <w:ilvl w:val="1"/>
          <w:numId w:val="88"/>
        </w:numPr>
        <w:ind w:left="1440" w:right="720" w:hanging="540"/>
        <w:rPr>
          <w:rFonts w:eastAsia="Calibri" w:cs="Tahoma"/>
          <w:szCs w:val="18"/>
          <w:lang w:val="de-DE"/>
        </w:rPr>
      </w:pPr>
      <w:r w:rsidRPr="00571807">
        <w:rPr>
          <w:rFonts w:eastAsia="Calibri" w:cs="Tahoma"/>
          <w:szCs w:val="18"/>
          <w:lang w:val="de-DE"/>
        </w:rPr>
        <w:t>Umfasst Nutzungsrechte von Self-Service-CAL</w:t>
      </w:r>
    </w:p>
    <w:p w:rsidR="00E73313" w:rsidRPr="00BA264B" w:rsidRDefault="00E73313" w:rsidP="00BA264B">
      <w:pPr>
        <w:numPr>
          <w:ilvl w:val="1"/>
          <w:numId w:val="88"/>
        </w:numPr>
        <w:ind w:left="1440" w:right="720" w:hanging="540"/>
        <w:rPr>
          <w:rFonts w:eastAsia="Calibri" w:cs="Tahoma"/>
          <w:szCs w:val="18"/>
          <w:lang w:val="de-DE"/>
        </w:rPr>
      </w:pPr>
      <w:r w:rsidRPr="00BA264B">
        <w:rPr>
          <w:rFonts w:eastAsia="Calibri" w:cs="Tahoma"/>
          <w:szCs w:val="18"/>
          <w:lang w:val="de-DE"/>
        </w:rPr>
        <w:t>Eingeben der berechenbaren Zeit</w:t>
      </w:r>
    </w:p>
    <w:p w:rsidR="00E73313" w:rsidRPr="00BA264B" w:rsidRDefault="00E73313" w:rsidP="00BA264B">
      <w:pPr>
        <w:numPr>
          <w:ilvl w:val="1"/>
          <w:numId w:val="88"/>
        </w:numPr>
        <w:ind w:left="1440" w:right="720" w:hanging="540"/>
        <w:rPr>
          <w:rFonts w:eastAsia="Calibri" w:cs="Tahoma"/>
          <w:szCs w:val="18"/>
          <w:lang w:val="de-DE"/>
        </w:rPr>
      </w:pPr>
      <w:r w:rsidRPr="00BA264B">
        <w:rPr>
          <w:rFonts w:eastAsia="Calibri" w:cs="Tahoma"/>
          <w:szCs w:val="18"/>
          <w:lang w:val="de-DE"/>
        </w:rPr>
        <w:t>Eingeben der berechenbaren Ausgaben</w:t>
      </w:r>
    </w:p>
    <w:p w:rsidR="00E73313" w:rsidRPr="00BA264B" w:rsidRDefault="00E73313" w:rsidP="00BA264B">
      <w:pPr>
        <w:numPr>
          <w:ilvl w:val="1"/>
          <w:numId w:val="88"/>
        </w:numPr>
        <w:ind w:left="1440" w:right="720" w:hanging="540"/>
        <w:rPr>
          <w:rFonts w:eastAsia="Calibri" w:cs="Tahoma"/>
          <w:szCs w:val="18"/>
          <w:lang w:val="de-DE"/>
        </w:rPr>
      </w:pPr>
      <w:r w:rsidRPr="00571807">
        <w:rPr>
          <w:rFonts w:eastAsia="Calibri" w:cs="Tahoma"/>
          <w:szCs w:val="18"/>
          <w:lang w:val="de-DE"/>
        </w:rPr>
        <w:t>Verwaltung der Leistungsbeurteilungen und der jährlichen Beurteilungen, Zielsetzungen und Kompetenzen</w:t>
      </w:r>
    </w:p>
    <w:p w:rsidR="00E73313" w:rsidRPr="00BA264B" w:rsidRDefault="00E73313" w:rsidP="00BA264B">
      <w:pPr>
        <w:numPr>
          <w:ilvl w:val="1"/>
          <w:numId w:val="88"/>
        </w:numPr>
        <w:ind w:left="1440" w:right="720" w:hanging="540"/>
        <w:rPr>
          <w:rFonts w:eastAsia="Calibri" w:cs="Tahoma"/>
          <w:szCs w:val="18"/>
          <w:lang w:val="de-DE"/>
        </w:rPr>
      </w:pPr>
      <w:r w:rsidRPr="00571807">
        <w:rPr>
          <w:rFonts w:eastAsia="Calibri" w:cs="Tahoma"/>
          <w:szCs w:val="18"/>
          <w:lang w:val="de-DE"/>
        </w:rPr>
        <w:t>Betreiben eines Point-of-Sale-Geräts im Einzelhandel</w:t>
      </w:r>
    </w:p>
    <w:p w:rsidR="00E73313" w:rsidRPr="00BA264B" w:rsidRDefault="00E73313" w:rsidP="00BA264B">
      <w:pPr>
        <w:numPr>
          <w:ilvl w:val="1"/>
          <w:numId w:val="88"/>
        </w:numPr>
        <w:ind w:left="1440" w:right="720" w:hanging="540"/>
        <w:rPr>
          <w:rFonts w:eastAsia="Calibri" w:cs="Tahoma"/>
          <w:szCs w:val="18"/>
          <w:lang w:val="de-DE"/>
        </w:rPr>
      </w:pPr>
      <w:r w:rsidRPr="00571807">
        <w:rPr>
          <w:rFonts w:eastAsia="Calibri" w:cs="Tahoma"/>
          <w:szCs w:val="18"/>
          <w:lang w:val="de-DE"/>
        </w:rPr>
        <w:t>Genehmigen von Anbieterrechnungen für die indirekte Beschaffung</w:t>
      </w:r>
    </w:p>
    <w:p w:rsidR="00E73313" w:rsidRPr="00571807" w:rsidRDefault="00E73313" w:rsidP="00BA264B">
      <w:pPr>
        <w:numPr>
          <w:ilvl w:val="1"/>
          <w:numId w:val="88"/>
        </w:numPr>
        <w:ind w:left="1440" w:right="720" w:hanging="540"/>
        <w:rPr>
          <w:lang w:val="de-DE"/>
        </w:rPr>
      </w:pPr>
      <w:r w:rsidRPr="00571807">
        <w:rPr>
          <w:rFonts w:eastAsia="Calibri" w:cs="Tahoma"/>
          <w:szCs w:val="18"/>
          <w:lang w:val="de-DE"/>
        </w:rPr>
        <w:t>Aufgaben-CAL-Nutzer können keine Workflow-Genehmigungen vornehmen</w:t>
      </w:r>
      <w:r w:rsidR="006257A7">
        <w:rPr>
          <w:rFonts w:eastAsia="Calibri" w:cs="Tahoma"/>
          <w:szCs w:val="18"/>
          <w:lang w:val="de-DE"/>
        </w:rPr>
        <w:t xml:space="preserve">. </w:t>
      </w:r>
    </w:p>
    <w:p w:rsidR="00E73313" w:rsidRPr="00571807" w:rsidRDefault="00E73313" w:rsidP="00E73313">
      <w:pPr>
        <w:autoSpaceDE w:val="0"/>
        <w:autoSpaceDN w:val="0"/>
        <w:adjustRightInd w:val="0"/>
        <w:ind w:left="1260" w:right="720"/>
        <w:rPr>
          <w:lang w:val="de-DE"/>
        </w:rPr>
      </w:pPr>
    </w:p>
    <w:p w:rsidR="00E73313" w:rsidRPr="00571807" w:rsidRDefault="00E73313" w:rsidP="00E73313">
      <w:pPr>
        <w:numPr>
          <w:ilvl w:val="0"/>
          <w:numId w:val="88"/>
        </w:numPr>
        <w:ind w:left="900" w:right="720"/>
        <w:rPr>
          <w:lang w:val="de-DE"/>
        </w:rPr>
      </w:pPr>
      <w:r w:rsidRPr="00571807">
        <w:rPr>
          <w:rFonts w:eastAsia="Calibri" w:cs="Tahoma"/>
          <w:b/>
          <w:szCs w:val="18"/>
          <w:lang w:val="de-DE"/>
        </w:rPr>
        <w:t>Funktions-CAL (Aufgaben-CAL + Zusätzliche Funktions-CAL)</w:t>
      </w:r>
    </w:p>
    <w:p w:rsidR="00E73313" w:rsidRPr="00BA264B" w:rsidRDefault="00E73313" w:rsidP="00BA264B">
      <w:pPr>
        <w:numPr>
          <w:ilvl w:val="1"/>
          <w:numId w:val="88"/>
        </w:numPr>
        <w:ind w:left="1440" w:right="720" w:hanging="540"/>
        <w:rPr>
          <w:rFonts w:eastAsia="Calibri" w:cs="Tahoma"/>
          <w:szCs w:val="18"/>
          <w:lang w:val="de-DE"/>
        </w:rPr>
      </w:pPr>
      <w:r w:rsidRPr="00BA264B">
        <w:rPr>
          <w:rFonts w:eastAsia="Calibri" w:cs="Tahoma"/>
          <w:szCs w:val="18"/>
          <w:lang w:val="de-DE"/>
        </w:rPr>
        <w:t>Umfasst Nutzungsrechte von Aufgaben-CAL</w:t>
      </w:r>
    </w:p>
    <w:p w:rsidR="00E73313" w:rsidRPr="00BA264B" w:rsidRDefault="00E73313" w:rsidP="00BA264B">
      <w:pPr>
        <w:numPr>
          <w:ilvl w:val="1"/>
          <w:numId w:val="88"/>
        </w:numPr>
        <w:ind w:left="1440" w:right="720" w:hanging="540"/>
        <w:rPr>
          <w:rFonts w:eastAsia="Calibri" w:cs="Tahoma"/>
          <w:szCs w:val="18"/>
          <w:lang w:val="de-DE"/>
        </w:rPr>
      </w:pPr>
      <w:r w:rsidRPr="00571807">
        <w:rPr>
          <w:rFonts w:eastAsia="Calibri" w:cs="Tahoma"/>
          <w:szCs w:val="18"/>
          <w:lang w:val="de-DE"/>
        </w:rPr>
        <w:t>Management einer Produktionseinheit in einem Produktions- oder Fertigungszyklus</w:t>
      </w:r>
    </w:p>
    <w:p w:rsidR="00E73313" w:rsidRPr="00BA264B" w:rsidRDefault="00E73313" w:rsidP="00BA264B">
      <w:pPr>
        <w:numPr>
          <w:ilvl w:val="1"/>
          <w:numId w:val="88"/>
        </w:numPr>
        <w:ind w:left="1440" w:right="720" w:hanging="540"/>
        <w:rPr>
          <w:rFonts w:eastAsia="Calibri" w:cs="Tahoma"/>
          <w:szCs w:val="18"/>
          <w:lang w:val="de-DE"/>
        </w:rPr>
      </w:pPr>
      <w:r w:rsidRPr="00BA264B">
        <w:rPr>
          <w:rFonts w:eastAsia="Calibri" w:cs="Tahoma"/>
          <w:szCs w:val="18"/>
          <w:lang w:val="de-DE"/>
        </w:rPr>
        <w:t>Management von Projekten und Ressourcen</w:t>
      </w:r>
    </w:p>
    <w:p w:rsidR="00E73313" w:rsidRPr="00BA264B" w:rsidRDefault="00E73313" w:rsidP="00BA264B">
      <w:pPr>
        <w:numPr>
          <w:ilvl w:val="1"/>
          <w:numId w:val="88"/>
        </w:numPr>
        <w:ind w:left="1440" w:right="720" w:hanging="540"/>
        <w:rPr>
          <w:rFonts w:eastAsia="Calibri" w:cs="Tahoma"/>
          <w:szCs w:val="18"/>
          <w:lang w:val="de-DE"/>
        </w:rPr>
      </w:pPr>
      <w:r w:rsidRPr="00BA264B">
        <w:rPr>
          <w:rFonts w:eastAsia="Calibri" w:cs="Tahoma"/>
          <w:szCs w:val="18"/>
          <w:lang w:val="de-DE"/>
        </w:rPr>
        <w:t>Management von Personalzyklen</w:t>
      </w:r>
    </w:p>
    <w:p w:rsidR="00E73313" w:rsidRPr="00BA264B" w:rsidRDefault="00E73313" w:rsidP="00BA264B">
      <w:pPr>
        <w:numPr>
          <w:ilvl w:val="1"/>
          <w:numId w:val="88"/>
        </w:numPr>
        <w:ind w:left="1440" w:right="720" w:hanging="540"/>
        <w:rPr>
          <w:rFonts w:eastAsia="Calibri" w:cs="Tahoma"/>
          <w:szCs w:val="18"/>
          <w:lang w:val="de-DE"/>
        </w:rPr>
      </w:pPr>
      <w:r w:rsidRPr="00571807">
        <w:rPr>
          <w:rFonts w:eastAsia="Calibri" w:cs="Tahoma"/>
          <w:szCs w:val="18"/>
          <w:lang w:val="de-DE"/>
        </w:rPr>
        <w:t>Management von Budgetübertragungen und organisatorischen Anforderungen</w:t>
      </w:r>
    </w:p>
    <w:p w:rsidR="00E73313" w:rsidRPr="00BA264B" w:rsidRDefault="00E73313" w:rsidP="00BA264B">
      <w:pPr>
        <w:numPr>
          <w:ilvl w:val="1"/>
          <w:numId w:val="88"/>
        </w:numPr>
        <w:ind w:left="1440" w:right="720" w:hanging="540"/>
        <w:rPr>
          <w:rFonts w:eastAsia="Calibri" w:cs="Tahoma"/>
          <w:szCs w:val="18"/>
          <w:lang w:val="de-DE"/>
        </w:rPr>
      </w:pPr>
      <w:r w:rsidRPr="00571807">
        <w:rPr>
          <w:rFonts w:eastAsia="Calibri" w:cs="Tahoma"/>
          <w:szCs w:val="18"/>
          <w:lang w:val="de-DE"/>
        </w:rPr>
        <w:t>Erstellen von Stammdatensätzen für Bewerber und Mitarbeiter</w:t>
      </w:r>
    </w:p>
    <w:p w:rsidR="00E73313" w:rsidRPr="00BA264B" w:rsidRDefault="00E73313" w:rsidP="00BA264B">
      <w:pPr>
        <w:numPr>
          <w:ilvl w:val="1"/>
          <w:numId w:val="88"/>
        </w:numPr>
        <w:ind w:left="1440" w:right="720" w:hanging="540"/>
        <w:rPr>
          <w:rFonts w:eastAsia="Calibri" w:cs="Tahoma"/>
          <w:szCs w:val="18"/>
          <w:lang w:val="de-DE"/>
        </w:rPr>
      </w:pPr>
      <w:r w:rsidRPr="00571807">
        <w:rPr>
          <w:rFonts w:eastAsia="Calibri" w:cs="Tahoma"/>
          <w:szCs w:val="18"/>
          <w:lang w:val="de-DE"/>
        </w:rPr>
        <w:t xml:space="preserve">Erstellen einer Stellen- oder Personalanforderung; </w:t>
      </w:r>
    </w:p>
    <w:p w:rsidR="00E73313" w:rsidRPr="00BA264B" w:rsidRDefault="00E73313" w:rsidP="00BA264B">
      <w:pPr>
        <w:numPr>
          <w:ilvl w:val="1"/>
          <w:numId w:val="88"/>
        </w:numPr>
        <w:ind w:left="1440" w:right="720" w:hanging="540"/>
        <w:rPr>
          <w:rFonts w:eastAsia="Calibri" w:cs="Tahoma"/>
          <w:szCs w:val="18"/>
          <w:lang w:val="de-DE"/>
        </w:rPr>
      </w:pPr>
      <w:r w:rsidRPr="00571807">
        <w:rPr>
          <w:rFonts w:eastAsia="Calibri" w:cs="Tahoma"/>
          <w:szCs w:val="18"/>
          <w:lang w:val="de-DE"/>
        </w:rPr>
        <w:t xml:space="preserve">Eskalieren oder Anfordern der Genehmigung von Rechnungen in Bezug auf ihre Kunden; </w:t>
      </w:r>
    </w:p>
    <w:p w:rsidR="00E73313" w:rsidRPr="00BA264B" w:rsidRDefault="00E73313" w:rsidP="00BA264B">
      <w:pPr>
        <w:numPr>
          <w:ilvl w:val="1"/>
          <w:numId w:val="88"/>
        </w:numPr>
        <w:ind w:left="1440" w:right="720" w:hanging="540"/>
        <w:rPr>
          <w:rFonts w:eastAsia="Calibri" w:cs="Tahoma"/>
          <w:szCs w:val="18"/>
          <w:lang w:val="de-DE"/>
        </w:rPr>
      </w:pPr>
      <w:r w:rsidRPr="00571807">
        <w:rPr>
          <w:rFonts w:eastAsia="Calibri" w:cs="Tahoma"/>
          <w:szCs w:val="18"/>
          <w:lang w:val="de-DE"/>
        </w:rPr>
        <w:t>Genehmigen von Anbieterrechnungen oder Belegen für erbrachte Services</w:t>
      </w:r>
    </w:p>
    <w:p w:rsidR="00E73313" w:rsidRPr="00BA264B" w:rsidRDefault="00E73313" w:rsidP="00BA264B">
      <w:pPr>
        <w:numPr>
          <w:ilvl w:val="1"/>
          <w:numId w:val="88"/>
        </w:numPr>
        <w:ind w:left="1440" w:right="720" w:hanging="540"/>
        <w:rPr>
          <w:rFonts w:eastAsia="Calibri" w:cs="Tahoma"/>
          <w:szCs w:val="18"/>
          <w:lang w:val="de-DE"/>
        </w:rPr>
      </w:pPr>
      <w:r w:rsidRPr="00571807">
        <w:rPr>
          <w:rFonts w:eastAsia="Calibri" w:cs="Tahoma"/>
          <w:szCs w:val="18"/>
          <w:lang w:val="de-DE"/>
        </w:rPr>
        <w:t>Erstellen und Verwalten von Stammdatensätzen für Kunden, Anbieter, Produktbestände oder Kataloge und/oder</w:t>
      </w:r>
    </w:p>
    <w:p w:rsidR="00E73313" w:rsidRPr="00571807" w:rsidRDefault="00E73313" w:rsidP="00BA264B">
      <w:pPr>
        <w:numPr>
          <w:ilvl w:val="1"/>
          <w:numId w:val="88"/>
        </w:numPr>
        <w:ind w:left="1440" w:right="720" w:hanging="540"/>
        <w:rPr>
          <w:lang w:val="de-DE"/>
        </w:rPr>
      </w:pPr>
      <w:r w:rsidRPr="00571807">
        <w:rPr>
          <w:rFonts w:eastAsia="Calibri" w:cs="Tahoma"/>
          <w:szCs w:val="18"/>
          <w:lang w:val="de-DE"/>
        </w:rPr>
        <w:t>Genehmigen von Anforderungen von Self-Service-CAL- oder Aufgaben-CAL-Nutzern</w:t>
      </w:r>
      <w:r w:rsidR="006257A7">
        <w:rPr>
          <w:rFonts w:eastAsia="Calibri" w:cs="Tahoma"/>
          <w:szCs w:val="18"/>
          <w:lang w:val="de-DE"/>
        </w:rPr>
        <w:t xml:space="preserve">. </w:t>
      </w:r>
    </w:p>
    <w:p w:rsidR="00E73313" w:rsidRPr="00571807" w:rsidRDefault="00E73313" w:rsidP="00E73313">
      <w:pPr>
        <w:autoSpaceDE w:val="0"/>
        <w:autoSpaceDN w:val="0"/>
        <w:adjustRightInd w:val="0"/>
        <w:ind w:left="1260" w:right="720" w:hanging="360"/>
        <w:rPr>
          <w:lang w:val="de-DE"/>
        </w:rPr>
      </w:pPr>
    </w:p>
    <w:p w:rsidR="00E73313" w:rsidRPr="00571807" w:rsidRDefault="00E73313" w:rsidP="00E73313">
      <w:pPr>
        <w:numPr>
          <w:ilvl w:val="0"/>
          <w:numId w:val="88"/>
        </w:numPr>
        <w:ind w:left="900" w:right="720"/>
        <w:rPr>
          <w:lang w:val="de-DE"/>
        </w:rPr>
      </w:pPr>
      <w:r w:rsidRPr="00571807">
        <w:rPr>
          <w:rFonts w:eastAsia="Calibri" w:cs="Tahoma"/>
          <w:b/>
          <w:szCs w:val="18"/>
          <w:lang w:val="de-DE"/>
        </w:rPr>
        <w:t>Enterprise CAL (Funktions-CAL + Zusätzliche Enterprise CAL)</w:t>
      </w:r>
    </w:p>
    <w:p w:rsidR="00E73313" w:rsidRPr="00BA264B" w:rsidRDefault="00E73313" w:rsidP="00BA264B">
      <w:pPr>
        <w:numPr>
          <w:ilvl w:val="1"/>
          <w:numId w:val="88"/>
        </w:numPr>
        <w:ind w:left="1440" w:right="720" w:hanging="540"/>
        <w:rPr>
          <w:rFonts w:eastAsia="Calibri" w:cs="Tahoma"/>
          <w:szCs w:val="18"/>
          <w:lang w:val="de-DE"/>
        </w:rPr>
      </w:pPr>
      <w:r w:rsidRPr="00BA264B">
        <w:rPr>
          <w:rFonts w:eastAsia="Calibri" w:cs="Tahoma"/>
          <w:szCs w:val="18"/>
          <w:lang w:val="de-DE"/>
        </w:rPr>
        <w:t>Volle Nutzungsrechte</w:t>
      </w:r>
    </w:p>
    <w:p w:rsidR="00E73313" w:rsidRPr="0062435A" w:rsidRDefault="00E73313" w:rsidP="00E73313">
      <w:pPr>
        <w:autoSpaceDE w:val="0"/>
        <w:autoSpaceDN w:val="0"/>
        <w:adjustRightInd w:val="0"/>
        <w:ind w:left="900" w:right="720"/>
      </w:pPr>
    </w:p>
    <w:p w:rsidR="00E73313" w:rsidRPr="00571807" w:rsidRDefault="00E73313" w:rsidP="00382D51">
      <w:pPr>
        <w:autoSpaceDE w:val="0"/>
        <w:autoSpaceDN w:val="0"/>
        <w:adjustRightInd w:val="0"/>
        <w:ind w:left="720" w:right="720"/>
        <w:rPr>
          <w:lang w:val="de-DE"/>
        </w:rPr>
      </w:pPr>
      <w:r w:rsidRPr="00571807">
        <w:rPr>
          <w:rFonts w:eastAsia="Calibri" w:cs="Tahoma"/>
          <w:szCs w:val="18"/>
          <w:lang w:val="de-DE"/>
        </w:rPr>
        <w:t xml:space="preserve">Weitere Details und Erläuterungen zu den erforderlichen CALs finden Sie unter </w:t>
      </w:r>
      <w:r w:rsidR="00382D51" w:rsidRPr="00382D51">
        <w:rPr>
          <w:rFonts w:eastAsia="Calibri" w:cs="Tahoma"/>
          <w:szCs w:val="18"/>
          <w:lang w:val="de-DE"/>
        </w:rPr>
        <w:t>http://www</w:t>
      </w:r>
      <w:r w:rsidR="006257A7">
        <w:rPr>
          <w:rFonts w:eastAsia="Calibri" w:cs="Tahoma"/>
          <w:szCs w:val="18"/>
          <w:lang w:val="de-DE"/>
        </w:rPr>
        <w:t>.</w:t>
      </w:r>
      <w:r w:rsidRPr="00571807">
        <w:rPr>
          <w:rFonts w:eastAsia="Calibri" w:cs="Tahoma"/>
          <w:szCs w:val="18"/>
          <w:lang w:val="de-DE"/>
        </w:rPr>
        <w:t>microsoft</w:t>
      </w:r>
      <w:r w:rsidR="00382D51">
        <w:rPr>
          <w:rFonts w:eastAsia="Calibri" w:cs="Tahoma"/>
          <w:szCs w:val="18"/>
          <w:lang w:val="de-DE"/>
        </w:rPr>
        <w:t>.</w:t>
      </w:r>
      <w:r w:rsidRPr="00571807">
        <w:rPr>
          <w:rFonts w:eastAsia="Calibri" w:cs="Tahoma"/>
          <w:szCs w:val="18"/>
          <w:lang w:val="de-DE"/>
        </w:rPr>
        <w:t>com/en-us/dynamics/erp-buy-ax-software</w:t>
      </w:r>
      <w:r w:rsidR="00382D51">
        <w:rPr>
          <w:rFonts w:eastAsia="Calibri" w:cs="Tahoma"/>
          <w:szCs w:val="18"/>
          <w:lang w:val="de-DE"/>
        </w:rPr>
        <w:t>.</w:t>
      </w:r>
      <w:r w:rsidRPr="00571807">
        <w:rPr>
          <w:rFonts w:eastAsia="Calibri" w:cs="Tahoma"/>
          <w:szCs w:val="18"/>
          <w:lang w:val="de-DE"/>
        </w:rPr>
        <w:t>aspx</w:t>
      </w:r>
      <w:r w:rsidR="006257A7">
        <w:rPr>
          <w:rFonts w:eastAsia="Calibri" w:cs="Tahoma"/>
          <w:szCs w:val="18"/>
          <w:lang w:val="de-DE"/>
        </w:rPr>
        <w:t xml:space="preserve">. </w:t>
      </w:r>
    </w:p>
    <w:p w:rsidR="00E73313" w:rsidRPr="00571807" w:rsidRDefault="00E73313" w:rsidP="00E73313">
      <w:pPr>
        <w:ind w:left="720" w:hanging="180"/>
        <w:rPr>
          <w:lang w:val="de-DE"/>
        </w:rPr>
      </w:pPr>
    </w:p>
    <w:p w:rsidR="00E73313" w:rsidRPr="00571807" w:rsidRDefault="00E73313" w:rsidP="00E73313">
      <w:pPr>
        <w:spacing w:after="60"/>
        <w:ind w:left="734" w:hanging="194"/>
        <w:rPr>
          <w:lang w:val="de-DE"/>
        </w:rPr>
      </w:pPr>
      <w:r w:rsidRPr="00571807">
        <w:rPr>
          <w:rFonts w:cs="Tahoma"/>
          <w:b/>
          <w:bCs/>
          <w:lang w:val="de-DE"/>
        </w:rPr>
        <w:t>Ergänzende Lizenzbestimmungen</w:t>
      </w:r>
    </w:p>
    <w:p w:rsidR="00E73313" w:rsidRPr="00571807" w:rsidRDefault="00E73313" w:rsidP="00BA264B">
      <w:pPr>
        <w:pStyle w:val="PURBody-Indented"/>
        <w:spacing w:after="0"/>
        <w:ind w:left="547"/>
        <w:rPr>
          <w:lang w:val="de-DE"/>
        </w:rPr>
      </w:pPr>
      <w:r w:rsidRPr="00571807">
        <w:rPr>
          <w:rFonts w:ascii="Tahoma" w:eastAsia="Calibri" w:hAnsi="Tahoma" w:cs="Tahoma"/>
          <w:sz w:val="18"/>
          <w:szCs w:val="18"/>
          <w:lang w:val="de-DE"/>
        </w:rPr>
        <w:t>Ihre Nutzung der eCommerce-Komponenten, Point-of-Sale-Komponenten und ähnlicher Updates und Ergänzungen für Microsoft Dynamics AX 2012 R2 unterliegt den Ergänzenden Lizenzbestimmungen, die Sie</w:t>
      </w:r>
      <w:r w:rsidR="00BA264B">
        <w:rPr>
          <w:rFonts w:ascii="Tahoma" w:eastAsia="Calibri" w:hAnsi="Tahoma" w:cs="Tahoma"/>
          <w:sz w:val="18"/>
          <w:szCs w:val="18"/>
          <w:lang w:val="de-DE"/>
        </w:rPr>
        <w:t> </w:t>
      </w:r>
      <w:r w:rsidRPr="00571807">
        <w:rPr>
          <w:rFonts w:ascii="Tahoma" w:eastAsia="Calibri" w:hAnsi="Tahoma" w:cs="Tahoma"/>
          <w:sz w:val="18"/>
          <w:szCs w:val="18"/>
          <w:lang w:val="de-DE"/>
        </w:rPr>
        <w:t xml:space="preserve">hier finden: </w:t>
      </w:r>
      <w:hyperlink r:id="rId48" w:history="1">
        <w:r w:rsidR="00981EB6" w:rsidRPr="00420E1C">
          <w:rPr>
            <w:rStyle w:val="Hyperlink"/>
            <w:rFonts w:ascii="Tahoma" w:eastAsia="Calibri" w:hAnsi="Tahoma" w:cs="Tahoma"/>
            <w:sz w:val="18"/>
            <w:szCs w:val="18"/>
            <w:lang w:val="de-DE"/>
          </w:rPr>
          <w:t>http://www.microsoft.com/en-us/dynamics/erp-buy-ax-software.aspx</w:t>
        </w:r>
      </w:hyperlink>
      <w:r w:rsidR="006257A7">
        <w:rPr>
          <w:rFonts w:ascii="Tahoma" w:eastAsia="Calibri" w:hAnsi="Tahoma" w:cs="Tahoma"/>
          <w:sz w:val="18"/>
          <w:szCs w:val="18"/>
          <w:lang w:val="de-DE"/>
        </w:rPr>
        <w:t xml:space="preserve">. </w:t>
      </w:r>
    </w:p>
    <w:p w:rsidR="00BA264B" w:rsidRDefault="00BA264B" w:rsidP="00E73313">
      <w:pPr>
        <w:rPr>
          <w:lang w:val="de-DE"/>
        </w:rPr>
      </w:pPr>
      <w:bookmarkStart w:id="1396" w:name="_Toc336338328"/>
    </w:p>
    <w:p w:rsidR="00F25255" w:rsidRDefault="00F25255" w:rsidP="00E73313">
      <w:pPr>
        <w:rPr>
          <w:lang w:val="de-DE"/>
        </w:rPr>
      </w:pPr>
    </w:p>
    <w:p w:rsidR="00F25255" w:rsidRDefault="00F25255" w:rsidP="00E73313">
      <w:pPr>
        <w:rPr>
          <w:lang w:val="de-DE"/>
        </w:rPr>
      </w:pPr>
    </w:p>
    <w:p w:rsidR="00F25255" w:rsidRDefault="00F25255" w:rsidP="00E73313">
      <w:pPr>
        <w:rPr>
          <w:lang w:val="de-DE"/>
        </w:rPr>
      </w:pPr>
    </w:p>
    <w:p w:rsidR="00F25255" w:rsidRDefault="00F25255" w:rsidP="00E73313">
      <w:pPr>
        <w:rPr>
          <w:lang w:val="de-DE"/>
        </w:rPr>
      </w:pPr>
    </w:p>
    <w:p w:rsidR="00F25255" w:rsidRDefault="00F25255" w:rsidP="00E73313">
      <w:pPr>
        <w:rPr>
          <w:lang w:val="de-DE"/>
        </w:rPr>
      </w:pPr>
    </w:p>
    <w:p w:rsidR="00F25255" w:rsidRDefault="00F25255" w:rsidP="00E73313">
      <w:pPr>
        <w:rPr>
          <w:lang w:val="de-DE"/>
        </w:rPr>
      </w:pPr>
    </w:p>
    <w:p w:rsidR="00F25255" w:rsidRPr="00571807" w:rsidRDefault="00F25255" w:rsidP="00E73313">
      <w:pPr>
        <w:rPr>
          <w:lang w:val="de-DE"/>
        </w:rPr>
      </w:pPr>
    </w:p>
    <w:p w:rsidR="00E73313" w:rsidRPr="00571807" w:rsidRDefault="00E73313" w:rsidP="00E73313">
      <w:pPr>
        <w:pStyle w:val="Heading3"/>
        <w:keepNext/>
        <w:rPr>
          <w:lang w:val="de-DE"/>
        </w:rPr>
      </w:pPr>
      <w:bookmarkStart w:id="1397" w:name="_70_Microsoft_Dynamics"/>
      <w:bookmarkStart w:id="1398" w:name="_73_Microsoft_Dynamics"/>
      <w:bookmarkStart w:id="1399" w:name="_Toc363999070"/>
      <w:bookmarkEnd w:id="1397"/>
      <w:bookmarkEnd w:id="1398"/>
      <w:r w:rsidRPr="00571807">
        <w:rPr>
          <w:rFonts w:ascii="Tahoma" w:hAnsi="Tahoma"/>
          <w:color w:val="F66400"/>
          <w:sz w:val="22"/>
          <w:vertAlign w:val="superscript"/>
          <w:lang w:val="de-DE"/>
        </w:rPr>
        <w:t>73</w:t>
      </w:r>
      <w:r w:rsidRPr="00571807">
        <w:rPr>
          <w:rFonts w:ascii="Tahoma" w:hAnsi="Tahoma"/>
          <w:color w:val="F66400"/>
          <w:sz w:val="22"/>
          <w:lang w:val="de-DE"/>
        </w:rPr>
        <w:t xml:space="preserve"> Microsoft Dynamics CRM 2011</w:t>
      </w:r>
      <w:bookmarkEnd w:id="1396"/>
      <w:bookmarkEnd w:id="1399"/>
    </w:p>
    <w:bookmarkEnd w:id="1392"/>
    <w:bookmarkEnd w:id="1393"/>
    <w:p w:rsidR="00E73313" w:rsidRPr="00571807" w:rsidRDefault="00E73313" w:rsidP="00E73313">
      <w:pPr>
        <w:keepNext/>
        <w:rPr>
          <w:lang w:val="de-DE"/>
        </w:rPr>
      </w:pPr>
    </w:p>
    <w:p w:rsidR="00E73313" w:rsidRPr="00571807" w:rsidRDefault="00E73313" w:rsidP="00E73313">
      <w:pPr>
        <w:keepNext/>
        <w:spacing w:after="60"/>
        <w:ind w:left="720"/>
        <w:rPr>
          <w:lang w:val="de-DE"/>
        </w:rPr>
      </w:pPr>
      <w:r w:rsidRPr="00571807">
        <w:rPr>
          <w:rFonts w:cs="Tahoma"/>
          <w:b/>
          <w:bCs/>
          <w:color w:val="000000"/>
          <w:szCs w:val="20"/>
          <w:lang w:val="de-DE"/>
        </w:rPr>
        <w:t>Software Assurance-Migrationspfad für Microsoft Dynamics CRM 4</w:t>
      </w:r>
      <w:r w:rsidR="00844B7C">
        <w:rPr>
          <w:rFonts w:cs="Tahoma"/>
          <w:b/>
          <w:bCs/>
          <w:color w:val="000000"/>
          <w:szCs w:val="20"/>
          <w:lang w:val="de-DE"/>
        </w:rPr>
        <w:t>.</w:t>
      </w:r>
      <w:r w:rsidRPr="00571807">
        <w:rPr>
          <w:rFonts w:cs="Tahoma"/>
          <w:b/>
          <w:bCs/>
          <w:color w:val="000000"/>
          <w:szCs w:val="20"/>
          <w:lang w:val="de-DE"/>
        </w:rPr>
        <w:t>0</w:t>
      </w:r>
    </w:p>
    <w:p w:rsidR="00E73313" w:rsidRPr="00571807" w:rsidRDefault="00E73313" w:rsidP="00BA264B">
      <w:pPr>
        <w:ind w:left="720"/>
        <w:rPr>
          <w:lang w:val="de-DE"/>
        </w:rPr>
      </w:pPr>
      <w:r w:rsidRPr="00571807">
        <w:rPr>
          <w:rFonts w:cs="Tahoma"/>
          <w:color w:val="000000"/>
          <w:szCs w:val="20"/>
          <w:lang w:val="de-DE"/>
        </w:rPr>
        <w:t>Kunden, die ihre Microsoft Dynamics CRM 4</w:t>
      </w:r>
      <w:r w:rsidR="00844B7C">
        <w:rPr>
          <w:rFonts w:cs="Tahoma"/>
          <w:color w:val="000000"/>
          <w:szCs w:val="20"/>
          <w:lang w:val="de-DE"/>
        </w:rPr>
        <w:t>.</w:t>
      </w:r>
      <w:r w:rsidRPr="00571807">
        <w:rPr>
          <w:rFonts w:cs="Tahoma"/>
          <w:color w:val="000000"/>
          <w:szCs w:val="20"/>
          <w:lang w:val="de-DE"/>
        </w:rPr>
        <w:t>0-Lizenzen erworben haben und zum 1</w:t>
      </w:r>
      <w:r w:rsidR="006257A7">
        <w:rPr>
          <w:rFonts w:cs="Tahoma"/>
          <w:color w:val="000000"/>
          <w:szCs w:val="20"/>
          <w:lang w:val="de-DE"/>
        </w:rPr>
        <w:t xml:space="preserve">. </w:t>
      </w:r>
      <w:r w:rsidRPr="00571807">
        <w:rPr>
          <w:rFonts w:cs="Tahoma"/>
          <w:color w:val="000000"/>
          <w:szCs w:val="20"/>
          <w:lang w:val="de-DE"/>
        </w:rPr>
        <w:t>April 2011 oder später</w:t>
      </w:r>
      <w:r w:rsidR="00BA264B">
        <w:rPr>
          <w:rFonts w:cs="Tahoma"/>
          <w:color w:val="000000"/>
          <w:szCs w:val="20"/>
          <w:lang w:val="de-DE"/>
        </w:rPr>
        <w:t> </w:t>
      </w:r>
      <w:r w:rsidRPr="00571807">
        <w:rPr>
          <w:rFonts w:cs="Tahoma"/>
          <w:color w:val="000000"/>
          <w:szCs w:val="20"/>
          <w:lang w:val="de-DE"/>
        </w:rPr>
        <w:t>über aktive Software Assurance für diese Lizenzen verfügen, sind berechtigt, diese Lizenzen wie nachstehend aufgeführt zu aktualisieren:</w:t>
      </w:r>
    </w:p>
    <w:p w:rsidR="00E73313" w:rsidRPr="00571807" w:rsidRDefault="00E73313" w:rsidP="00E73313">
      <w:pPr>
        <w:rPr>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E73313" w:rsidRPr="00CE2BD2" w:rsidTr="00E328C3">
        <w:tc>
          <w:tcPr>
            <w:tcW w:w="4248" w:type="dxa"/>
            <w:tcBorders>
              <w:top w:val="single" w:sz="4" w:space="0" w:color="000000"/>
              <w:bottom w:val="single" w:sz="6" w:space="0" w:color="000000"/>
            </w:tcBorders>
            <w:shd w:val="clear" w:color="auto" w:fill="FABF8F"/>
          </w:tcPr>
          <w:p w:rsidR="00E73313" w:rsidRPr="00571807" w:rsidRDefault="00E73313" w:rsidP="00E328C3">
            <w:pPr>
              <w:jc w:val="center"/>
              <w:rPr>
                <w:rFonts w:cs="Tahoma"/>
                <w:b/>
                <w:color w:val="000000"/>
                <w:szCs w:val="20"/>
                <w:lang w:val="de-DE"/>
              </w:rPr>
            </w:pPr>
            <w:r w:rsidRPr="00571807">
              <w:rPr>
                <w:rFonts w:cs="Tahoma"/>
                <w:b/>
                <w:color w:val="000000"/>
                <w:szCs w:val="20"/>
                <w:lang w:val="de-DE"/>
              </w:rPr>
              <w:t>Qualifizierende Microsoft Dynamics CRM 4</w:t>
            </w:r>
            <w:r w:rsidR="00844B7C">
              <w:rPr>
                <w:rFonts w:cs="Tahoma"/>
                <w:b/>
                <w:color w:val="000000"/>
                <w:szCs w:val="20"/>
                <w:lang w:val="de-DE"/>
              </w:rPr>
              <w:t>.</w:t>
            </w:r>
            <w:r w:rsidRPr="00571807">
              <w:rPr>
                <w:rFonts w:cs="Tahoma"/>
                <w:b/>
                <w:color w:val="000000"/>
                <w:szCs w:val="20"/>
                <w:lang w:val="de-DE"/>
              </w:rPr>
              <w:t>0-Lizenzen</w:t>
            </w:r>
          </w:p>
        </w:tc>
        <w:tc>
          <w:tcPr>
            <w:tcW w:w="4212" w:type="dxa"/>
            <w:tcBorders>
              <w:top w:val="single" w:sz="4" w:space="0" w:color="000000"/>
              <w:bottom w:val="single" w:sz="6" w:space="0" w:color="000000"/>
            </w:tcBorders>
            <w:shd w:val="clear" w:color="auto" w:fill="FABF8F"/>
          </w:tcPr>
          <w:p w:rsidR="00E73313" w:rsidRPr="00CE2BD2" w:rsidRDefault="00E73313" w:rsidP="00E328C3">
            <w:pPr>
              <w:jc w:val="center"/>
              <w:rPr>
                <w:rFonts w:cs="Tahoma"/>
                <w:b/>
                <w:color w:val="000000"/>
                <w:szCs w:val="20"/>
              </w:rPr>
            </w:pPr>
            <w:r>
              <w:rPr>
                <w:rFonts w:cs="Tahoma"/>
                <w:b/>
                <w:color w:val="000000"/>
                <w:szCs w:val="20"/>
              </w:rPr>
              <w:t>Entsprechende CRM 2011-Lizenzen</w:t>
            </w:r>
          </w:p>
        </w:tc>
      </w:tr>
      <w:tr w:rsidR="00E73313" w:rsidRPr="001B6F67" w:rsidTr="00E328C3">
        <w:tc>
          <w:tcPr>
            <w:tcW w:w="4248" w:type="dxa"/>
            <w:tcBorders>
              <w:top w:val="single" w:sz="6" w:space="0" w:color="000000"/>
            </w:tcBorders>
            <w:shd w:val="clear" w:color="auto" w:fill="FFFFFF"/>
          </w:tcPr>
          <w:p w:rsidR="00E73313" w:rsidRPr="00571807" w:rsidRDefault="00E73313" w:rsidP="00E328C3">
            <w:pPr>
              <w:rPr>
                <w:rFonts w:cs="Tahoma"/>
                <w:color w:val="000000"/>
                <w:szCs w:val="20"/>
                <w:lang w:val="de-DE"/>
              </w:rPr>
            </w:pPr>
            <w:r w:rsidRPr="00571807">
              <w:rPr>
                <w:rFonts w:cs="Tahoma"/>
                <w:color w:val="000000"/>
                <w:szCs w:val="20"/>
                <w:lang w:val="de-DE"/>
              </w:rPr>
              <w:t>Zusätzliche CAL zur Vollständigen Verwendung von Microsoft Dynamics CRM 4</w:t>
            </w:r>
            <w:r w:rsidR="00844B7C">
              <w:rPr>
                <w:rFonts w:cs="Tahoma"/>
                <w:color w:val="000000"/>
                <w:szCs w:val="20"/>
                <w:lang w:val="de-DE"/>
              </w:rPr>
              <w:t>.</w:t>
            </w:r>
            <w:r w:rsidRPr="00571807">
              <w:rPr>
                <w:rFonts w:cs="Tahoma"/>
                <w:color w:val="000000"/>
                <w:szCs w:val="20"/>
                <w:lang w:val="de-DE"/>
              </w:rPr>
              <w:t>0</w:t>
            </w:r>
          </w:p>
        </w:tc>
        <w:tc>
          <w:tcPr>
            <w:tcW w:w="4212" w:type="dxa"/>
            <w:tcBorders>
              <w:top w:val="single" w:sz="6" w:space="0" w:color="000000"/>
            </w:tcBorders>
            <w:shd w:val="clear" w:color="auto" w:fill="FFFFFF"/>
          </w:tcPr>
          <w:p w:rsidR="00E73313" w:rsidRPr="00571807" w:rsidRDefault="00E73313" w:rsidP="00E328C3">
            <w:pPr>
              <w:rPr>
                <w:rFonts w:cs="Tahoma"/>
                <w:color w:val="000000"/>
                <w:szCs w:val="20"/>
                <w:lang w:val="de-DE"/>
              </w:rPr>
            </w:pPr>
            <w:r w:rsidRPr="00571807">
              <w:rPr>
                <w:rFonts w:cs="Tahoma"/>
                <w:color w:val="000000"/>
                <w:szCs w:val="20"/>
                <w:lang w:val="de-DE"/>
              </w:rPr>
              <w:t>1 Zusätzliche CAL zur Vollständigen Verwendung von Microsoft Dynamics CRM 2011</w:t>
            </w:r>
          </w:p>
        </w:tc>
      </w:tr>
      <w:tr w:rsidR="00E73313" w:rsidRPr="001B6F67" w:rsidTr="00E328C3">
        <w:tc>
          <w:tcPr>
            <w:tcW w:w="4248" w:type="dxa"/>
            <w:tcBorders>
              <w:top w:val="single" w:sz="6" w:space="0" w:color="000000"/>
            </w:tcBorders>
            <w:shd w:val="clear" w:color="auto" w:fill="FFFFFF"/>
          </w:tcPr>
          <w:p w:rsidR="00E73313" w:rsidRPr="00571807" w:rsidRDefault="00E73313" w:rsidP="00E328C3">
            <w:pPr>
              <w:rPr>
                <w:rFonts w:cs="Tahoma"/>
                <w:color w:val="000000"/>
                <w:szCs w:val="20"/>
                <w:lang w:val="de-DE"/>
              </w:rPr>
            </w:pPr>
            <w:r w:rsidRPr="00571807">
              <w:rPr>
                <w:rFonts w:cs="Tahoma"/>
                <w:color w:val="000000"/>
                <w:szCs w:val="20"/>
                <w:lang w:val="de-DE"/>
              </w:rPr>
              <w:t>Beschränkte CAL für Microsoft Dynamics CRM 4</w:t>
            </w:r>
            <w:r w:rsidR="00844B7C">
              <w:rPr>
                <w:rFonts w:cs="Tahoma"/>
                <w:color w:val="000000"/>
                <w:szCs w:val="20"/>
                <w:lang w:val="de-DE"/>
              </w:rPr>
              <w:t>.</w:t>
            </w:r>
            <w:r w:rsidRPr="00571807">
              <w:rPr>
                <w:rFonts w:cs="Tahoma"/>
                <w:color w:val="000000"/>
                <w:szCs w:val="20"/>
                <w:lang w:val="de-DE"/>
              </w:rPr>
              <w:t>0</w:t>
            </w:r>
          </w:p>
        </w:tc>
        <w:tc>
          <w:tcPr>
            <w:tcW w:w="4212" w:type="dxa"/>
            <w:tcBorders>
              <w:top w:val="single" w:sz="6" w:space="0" w:color="000000"/>
            </w:tcBorders>
            <w:shd w:val="clear" w:color="auto" w:fill="FFFFFF"/>
          </w:tcPr>
          <w:p w:rsidR="00E73313" w:rsidRPr="00571807" w:rsidRDefault="00E73313" w:rsidP="00E328C3">
            <w:pPr>
              <w:rPr>
                <w:rFonts w:cs="Tahoma"/>
                <w:color w:val="000000"/>
                <w:szCs w:val="20"/>
                <w:lang w:val="de-DE"/>
              </w:rPr>
            </w:pPr>
            <w:r w:rsidRPr="00571807">
              <w:rPr>
                <w:rFonts w:cs="Tahoma"/>
                <w:color w:val="000000"/>
                <w:szCs w:val="20"/>
                <w:lang w:val="de-DE"/>
              </w:rPr>
              <w:t>1 CAL für Microsoft Dynamics CRM 2011 Employee Self Service und 1 Zusätzliche CAL zur Eingeschränkten Verwendung von Microsoft Dynamics CRM 2011</w:t>
            </w:r>
          </w:p>
        </w:tc>
      </w:tr>
      <w:tr w:rsidR="00E73313" w:rsidRPr="00CE2BD2" w:rsidTr="00E328C3">
        <w:tc>
          <w:tcPr>
            <w:tcW w:w="4248" w:type="dxa"/>
            <w:tcBorders>
              <w:top w:val="single" w:sz="6" w:space="0" w:color="000000"/>
            </w:tcBorders>
            <w:shd w:val="clear" w:color="auto" w:fill="FFFFFF"/>
          </w:tcPr>
          <w:p w:rsidR="00E73313" w:rsidRPr="00571807" w:rsidRDefault="00E73313" w:rsidP="00E328C3">
            <w:pPr>
              <w:rPr>
                <w:lang w:val="de-DE"/>
              </w:rPr>
            </w:pPr>
            <w:r w:rsidRPr="00571807">
              <w:rPr>
                <w:rFonts w:cs="Tahoma"/>
                <w:color w:val="000000"/>
                <w:szCs w:val="20"/>
                <w:lang w:val="de-DE"/>
              </w:rPr>
              <w:t>Beschränkter Externer Connector für Microsoft Dynamics CRM 4</w:t>
            </w:r>
            <w:r w:rsidR="00844B7C">
              <w:rPr>
                <w:rFonts w:cs="Tahoma"/>
                <w:color w:val="000000"/>
                <w:szCs w:val="20"/>
                <w:lang w:val="de-DE"/>
              </w:rPr>
              <w:t>.</w:t>
            </w:r>
            <w:r w:rsidRPr="00571807">
              <w:rPr>
                <w:rFonts w:cs="Tahoma"/>
                <w:color w:val="000000"/>
                <w:szCs w:val="20"/>
                <w:lang w:val="de-DE"/>
              </w:rPr>
              <w:t>0</w:t>
            </w:r>
          </w:p>
          <w:p w:rsidR="00E73313" w:rsidRPr="00571807" w:rsidRDefault="00E73313" w:rsidP="00E328C3">
            <w:pPr>
              <w:rPr>
                <w:rFonts w:cs="Tahoma"/>
                <w:color w:val="000000"/>
                <w:szCs w:val="20"/>
                <w:lang w:val="de-DE"/>
              </w:rPr>
            </w:pPr>
            <w:r w:rsidRPr="00571807">
              <w:rPr>
                <w:rFonts w:cs="Tahoma"/>
                <w:color w:val="000000"/>
                <w:szCs w:val="20"/>
                <w:lang w:val="de-DE"/>
              </w:rPr>
              <w:t xml:space="preserve">(entweder allein </w:t>
            </w:r>
            <w:r w:rsidRPr="00571807">
              <w:rPr>
                <w:color w:val="000000"/>
                <w:lang w:val="de-DE"/>
              </w:rPr>
              <w:t>ODER als Bestandteil der Kombination Beschränkter Externer Connector für Microsoft Dynamics CRM 4</w:t>
            </w:r>
            <w:r w:rsidR="00844B7C">
              <w:rPr>
                <w:color w:val="000000"/>
                <w:lang w:val="de-DE"/>
              </w:rPr>
              <w:t>.</w:t>
            </w:r>
            <w:r w:rsidRPr="00571807">
              <w:rPr>
                <w:color w:val="000000"/>
                <w:lang w:val="de-DE"/>
              </w:rPr>
              <w:t>0</w:t>
            </w:r>
            <w:r w:rsidR="003002D3">
              <w:rPr>
                <w:color w:val="000000"/>
                <w:lang w:val="de-DE"/>
              </w:rPr>
              <w:t xml:space="preserve"> </w:t>
            </w:r>
            <w:r w:rsidRPr="00571807">
              <w:rPr>
                <w:color w:val="000000"/>
                <w:lang w:val="de-DE"/>
              </w:rPr>
              <w:t>und</w:t>
            </w:r>
            <w:r w:rsidRPr="00571807">
              <w:rPr>
                <w:rFonts w:cs="Tahoma"/>
                <w:color w:val="000000"/>
                <w:szCs w:val="18"/>
                <w:lang w:val="de-DE"/>
              </w:rPr>
              <w:t xml:space="preserve"> </w:t>
            </w:r>
            <w:r w:rsidRPr="00571807">
              <w:rPr>
                <w:color w:val="000000"/>
                <w:lang w:val="de-DE"/>
              </w:rPr>
              <w:t>Zusätzlicher Externer Connector zur Vollständigen Verwendung von Microsoft Dynamics CRM 4</w:t>
            </w:r>
            <w:r w:rsidR="00844B7C">
              <w:rPr>
                <w:color w:val="000000"/>
                <w:lang w:val="de-DE"/>
              </w:rPr>
              <w:t>.</w:t>
            </w:r>
            <w:r w:rsidRPr="00571807">
              <w:rPr>
                <w:color w:val="000000"/>
                <w:lang w:val="de-DE"/>
              </w:rPr>
              <w:t>0)</w:t>
            </w:r>
          </w:p>
        </w:tc>
        <w:tc>
          <w:tcPr>
            <w:tcW w:w="4212" w:type="dxa"/>
            <w:tcBorders>
              <w:top w:val="single" w:sz="6" w:space="0" w:color="000000"/>
            </w:tcBorders>
            <w:shd w:val="clear" w:color="auto" w:fill="FFFFFF"/>
          </w:tcPr>
          <w:p w:rsidR="00E73313" w:rsidRPr="00CE2BD2" w:rsidRDefault="00E73313" w:rsidP="00BA264B">
            <w:pPr>
              <w:rPr>
                <w:rFonts w:cs="Tahoma"/>
                <w:color w:val="000000"/>
                <w:szCs w:val="20"/>
              </w:rPr>
            </w:pPr>
            <w:r>
              <w:rPr>
                <w:rFonts w:cs="Tahoma"/>
                <w:color w:val="000000"/>
                <w:szCs w:val="20"/>
              </w:rPr>
              <w:t>1 Externer Connector für Microsoft Dynamics CRM</w:t>
            </w:r>
            <w:r w:rsidR="00BA264B">
              <w:rPr>
                <w:rFonts w:cs="Tahoma"/>
                <w:color w:val="000000"/>
                <w:szCs w:val="20"/>
              </w:rPr>
              <w:t> </w:t>
            </w:r>
            <w:r>
              <w:rPr>
                <w:rFonts w:cs="Tahoma"/>
                <w:color w:val="000000"/>
                <w:szCs w:val="20"/>
              </w:rPr>
              <w:t>2011</w:t>
            </w:r>
            <w:r>
              <w:rPr>
                <w:rFonts w:cs="Tahoma"/>
                <w:color w:val="000000"/>
                <w:szCs w:val="20"/>
                <w:vertAlign w:val="superscript"/>
              </w:rPr>
              <w:t>1</w:t>
            </w:r>
          </w:p>
        </w:tc>
      </w:tr>
      <w:tr w:rsidR="00E73313" w:rsidRPr="00CE2BD2" w:rsidTr="00E328C3">
        <w:tc>
          <w:tcPr>
            <w:tcW w:w="4248" w:type="dxa"/>
            <w:tcBorders>
              <w:top w:val="single" w:sz="6" w:space="0" w:color="000000"/>
            </w:tcBorders>
            <w:shd w:val="clear" w:color="auto" w:fill="FFFFFF"/>
          </w:tcPr>
          <w:p w:rsidR="00E73313" w:rsidRPr="00CE2BD2" w:rsidRDefault="00E73313" w:rsidP="00E328C3">
            <w:pPr>
              <w:rPr>
                <w:rFonts w:cs="Tahoma"/>
                <w:color w:val="000000"/>
                <w:szCs w:val="20"/>
              </w:rPr>
            </w:pPr>
            <w:r>
              <w:rPr>
                <w:rFonts w:cs="Tahoma"/>
                <w:color w:val="000000"/>
                <w:szCs w:val="20"/>
              </w:rPr>
              <w:t>Microsoft Dynamics CRM 4</w:t>
            </w:r>
            <w:r w:rsidR="00844B7C">
              <w:rPr>
                <w:rFonts w:cs="Tahoma"/>
                <w:color w:val="000000"/>
                <w:szCs w:val="20"/>
              </w:rPr>
              <w:t>.</w:t>
            </w:r>
            <w:r>
              <w:rPr>
                <w:rFonts w:cs="Tahoma"/>
                <w:color w:val="000000"/>
                <w:szCs w:val="20"/>
              </w:rPr>
              <w:t>0 Workgroup Server</w:t>
            </w:r>
          </w:p>
        </w:tc>
        <w:tc>
          <w:tcPr>
            <w:tcW w:w="4212" w:type="dxa"/>
            <w:tcBorders>
              <w:top w:val="single" w:sz="6" w:space="0" w:color="000000"/>
            </w:tcBorders>
            <w:shd w:val="clear" w:color="auto" w:fill="FFFFFF"/>
          </w:tcPr>
          <w:p w:rsidR="00E73313" w:rsidRPr="00CE2BD2" w:rsidRDefault="00E73313" w:rsidP="00BA264B">
            <w:pPr>
              <w:rPr>
                <w:rFonts w:cs="Tahoma"/>
                <w:color w:val="000000"/>
                <w:szCs w:val="20"/>
              </w:rPr>
            </w:pPr>
            <w:r>
              <w:rPr>
                <w:rFonts w:cs="Tahoma"/>
                <w:color w:val="000000"/>
                <w:szCs w:val="20"/>
              </w:rPr>
              <w:t>1 Microsoft Dynamics CRM Workgroup Server</w:t>
            </w:r>
            <w:r w:rsidR="00BA264B">
              <w:rPr>
                <w:rFonts w:cs="Tahoma"/>
                <w:color w:val="000000"/>
                <w:szCs w:val="20"/>
              </w:rPr>
              <w:t> </w:t>
            </w:r>
            <w:r>
              <w:rPr>
                <w:rFonts w:cs="Tahoma"/>
                <w:color w:val="000000"/>
                <w:szCs w:val="20"/>
              </w:rPr>
              <w:t>2011</w:t>
            </w:r>
          </w:p>
        </w:tc>
      </w:tr>
      <w:tr w:rsidR="00E73313" w:rsidRPr="00CE2BD2" w:rsidTr="00E328C3">
        <w:tc>
          <w:tcPr>
            <w:tcW w:w="4248" w:type="dxa"/>
            <w:shd w:val="clear" w:color="auto" w:fill="FFFFFF"/>
          </w:tcPr>
          <w:p w:rsidR="00E73313" w:rsidRPr="00CE2BD2" w:rsidRDefault="00E73313" w:rsidP="00E328C3">
            <w:pPr>
              <w:rPr>
                <w:rFonts w:cs="Tahoma"/>
                <w:color w:val="000000"/>
                <w:szCs w:val="20"/>
              </w:rPr>
            </w:pPr>
            <w:r>
              <w:rPr>
                <w:rFonts w:cs="Tahoma"/>
                <w:color w:val="000000"/>
                <w:szCs w:val="20"/>
              </w:rPr>
              <w:t>Microsoft Dynamics CRM 4</w:t>
            </w:r>
            <w:r w:rsidR="00844B7C">
              <w:rPr>
                <w:rFonts w:cs="Tahoma"/>
                <w:color w:val="000000"/>
                <w:szCs w:val="20"/>
              </w:rPr>
              <w:t>.</w:t>
            </w:r>
            <w:r>
              <w:rPr>
                <w:rFonts w:cs="Tahoma"/>
                <w:color w:val="000000"/>
                <w:szCs w:val="20"/>
              </w:rPr>
              <w:t>0 Professional Server</w:t>
            </w:r>
          </w:p>
        </w:tc>
        <w:tc>
          <w:tcPr>
            <w:tcW w:w="4212" w:type="dxa"/>
            <w:shd w:val="clear" w:color="auto" w:fill="FFFFFF"/>
          </w:tcPr>
          <w:p w:rsidR="00E73313" w:rsidRPr="00CE2BD2" w:rsidRDefault="00E73313" w:rsidP="00E328C3">
            <w:pPr>
              <w:rPr>
                <w:rFonts w:cs="Tahoma"/>
                <w:color w:val="000000"/>
                <w:szCs w:val="20"/>
              </w:rPr>
            </w:pPr>
            <w:r>
              <w:rPr>
                <w:rFonts w:cs="Tahoma"/>
                <w:color w:val="000000"/>
                <w:szCs w:val="20"/>
              </w:rPr>
              <w:t>1 Microsoft Dynamics CRM Server 2011</w:t>
            </w:r>
          </w:p>
        </w:tc>
      </w:tr>
      <w:tr w:rsidR="00E73313" w:rsidRPr="00CE2BD2" w:rsidTr="00E328C3">
        <w:tc>
          <w:tcPr>
            <w:tcW w:w="4248" w:type="dxa"/>
            <w:shd w:val="clear" w:color="auto" w:fill="FFFFFF"/>
          </w:tcPr>
          <w:p w:rsidR="00E73313" w:rsidRDefault="00E73313" w:rsidP="00E328C3">
            <w:pPr>
              <w:rPr>
                <w:rFonts w:cs="Tahoma"/>
                <w:color w:val="000000"/>
                <w:szCs w:val="20"/>
              </w:rPr>
            </w:pPr>
            <w:r>
              <w:rPr>
                <w:rFonts w:cs="Tahoma"/>
                <w:color w:val="000000"/>
                <w:szCs w:val="20"/>
              </w:rPr>
              <w:t>Microsoft Dynamics CRM 4</w:t>
            </w:r>
            <w:r w:rsidR="00844B7C">
              <w:rPr>
                <w:rFonts w:cs="Tahoma"/>
                <w:color w:val="000000"/>
                <w:szCs w:val="20"/>
              </w:rPr>
              <w:t>.</w:t>
            </w:r>
            <w:r>
              <w:rPr>
                <w:rFonts w:cs="Tahoma"/>
                <w:color w:val="000000"/>
                <w:szCs w:val="20"/>
              </w:rPr>
              <w:t>0 Enterprise Server</w:t>
            </w:r>
          </w:p>
        </w:tc>
        <w:tc>
          <w:tcPr>
            <w:tcW w:w="4212" w:type="dxa"/>
            <w:shd w:val="clear" w:color="auto" w:fill="FFFFFF"/>
          </w:tcPr>
          <w:p w:rsidR="00E73313" w:rsidRDefault="00E73313" w:rsidP="00E328C3">
            <w:pPr>
              <w:rPr>
                <w:rFonts w:cs="Tahoma"/>
                <w:color w:val="000000"/>
                <w:szCs w:val="20"/>
              </w:rPr>
            </w:pPr>
            <w:r>
              <w:rPr>
                <w:rFonts w:cs="Tahoma"/>
                <w:color w:val="000000"/>
                <w:szCs w:val="20"/>
              </w:rPr>
              <w:t>1 Microsoft Dynamics CRM Server 2011</w:t>
            </w:r>
          </w:p>
        </w:tc>
      </w:tr>
    </w:tbl>
    <w:p w:rsidR="00E73313" w:rsidRPr="0062435A" w:rsidRDefault="00E73313" w:rsidP="00E73313">
      <w:pPr>
        <w:ind w:left="540"/>
      </w:pPr>
    </w:p>
    <w:p w:rsidR="00E73313" w:rsidRPr="00571807" w:rsidRDefault="00E73313" w:rsidP="00E73313">
      <w:pPr>
        <w:ind w:left="810"/>
        <w:rPr>
          <w:lang w:val="de-DE"/>
        </w:rPr>
      </w:pPr>
      <w:r w:rsidRPr="00571807">
        <w:rPr>
          <w:rFonts w:cs="Tahoma"/>
          <w:i/>
          <w:color w:val="000000"/>
          <w:sz w:val="16"/>
          <w:szCs w:val="18"/>
          <w:bdr w:val="none" w:sz="0" w:space="0" w:color="auto" w:frame="1"/>
          <w:vertAlign w:val="superscript"/>
          <w:lang w:val="de-DE"/>
        </w:rPr>
        <w:t>1</w:t>
      </w:r>
      <w:r w:rsidRPr="00571807">
        <w:rPr>
          <w:i/>
          <w:color w:val="000000"/>
          <w:sz w:val="16"/>
          <w:bdr w:val="none" w:sz="0" w:space="0" w:color="auto" w:frame="1"/>
          <w:lang w:val="de-DE"/>
        </w:rPr>
        <w:t>Externer Connector für CRM 2011 ist die einzige verfügbare externe Connector-Lizenz in dieser Version</w:t>
      </w:r>
      <w:r w:rsidR="006257A7">
        <w:rPr>
          <w:i/>
          <w:color w:val="000000"/>
          <w:sz w:val="16"/>
          <w:bdr w:val="none" w:sz="0" w:space="0" w:color="auto" w:frame="1"/>
          <w:lang w:val="de-DE"/>
        </w:rPr>
        <w:t xml:space="preserve">. </w:t>
      </w:r>
      <w:r w:rsidRPr="00571807">
        <w:rPr>
          <w:i/>
          <w:color w:val="000000"/>
          <w:sz w:val="16"/>
          <w:lang w:val="de-DE"/>
        </w:rPr>
        <w:t>Kunden verfügen für jede qualifizierende Beschränkte Externe Connector-Lizenz für CRM 4</w:t>
      </w:r>
      <w:r w:rsidR="00844B7C">
        <w:rPr>
          <w:i/>
          <w:color w:val="000000"/>
          <w:sz w:val="16"/>
          <w:lang w:val="de-DE"/>
        </w:rPr>
        <w:t>.</w:t>
      </w:r>
      <w:r w:rsidRPr="00571807">
        <w:rPr>
          <w:i/>
          <w:color w:val="000000"/>
          <w:sz w:val="16"/>
          <w:lang w:val="de-DE"/>
        </w:rPr>
        <w:t>0, die sie besitzen, über Upgraderechte auf eine Externe Connector-Lizenz für CRM 4</w:t>
      </w:r>
      <w:r w:rsidR="00844B7C">
        <w:rPr>
          <w:i/>
          <w:color w:val="000000"/>
          <w:sz w:val="16"/>
          <w:lang w:val="de-DE"/>
        </w:rPr>
        <w:t>.</w:t>
      </w:r>
      <w:r w:rsidRPr="00571807">
        <w:rPr>
          <w:i/>
          <w:color w:val="000000"/>
          <w:sz w:val="16"/>
          <w:lang w:val="de-DE"/>
        </w:rPr>
        <w:t>0, unabhängig davon, ob diese Beschränkte Externe Connector-Lizenz für CRM 4</w:t>
      </w:r>
      <w:r w:rsidR="00844B7C">
        <w:rPr>
          <w:i/>
          <w:color w:val="000000"/>
          <w:sz w:val="16"/>
          <w:lang w:val="de-DE"/>
        </w:rPr>
        <w:t>.</w:t>
      </w:r>
      <w:r w:rsidRPr="00571807">
        <w:rPr>
          <w:i/>
          <w:color w:val="000000"/>
          <w:sz w:val="16"/>
          <w:lang w:val="de-DE"/>
        </w:rPr>
        <w:t>0 allein genutzt wurde, um den Zugriff auf dieser Basislizenz entsprechende Funktionen zu ermöglichen, oder ob sie zusammen mit einem Zusätzlichen Externen Connector zur Vollständigen Verwendung von CRM 4</w:t>
      </w:r>
      <w:r w:rsidR="00844B7C">
        <w:rPr>
          <w:i/>
          <w:color w:val="000000"/>
          <w:sz w:val="16"/>
          <w:lang w:val="de-DE"/>
        </w:rPr>
        <w:t>.</w:t>
      </w:r>
      <w:r w:rsidRPr="00571807">
        <w:rPr>
          <w:i/>
          <w:color w:val="000000"/>
          <w:sz w:val="16"/>
          <w:lang w:val="de-DE"/>
        </w:rPr>
        <w:t>0 verwendet wurde, um den Zugriff auf sämtliche CRM 4</w:t>
      </w:r>
      <w:r w:rsidR="00844B7C">
        <w:rPr>
          <w:i/>
          <w:color w:val="000000"/>
          <w:sz w:val="16"/>
          <w:lang w:val="de-DE"/>
        </w:rPr>
        <w:t>.</w:t>
      </w:r>
      <w:r w:rsidRPr="00571807">
        <w:rPr>
          <w:i/>
          <w:color w:val="000000"/>
          <w:sz w:val="16"/>
          <w:lang w:val="de-DE"/>
        </w:rPr>
        <w:t>0-Funktionen zu ermöglichen</w:t>
      </w:r>
      <w:r w:rsidR="006257A7">
        <w:rPr>
          <w:i/>
          <w:color w:val="000000"/>
          <w:sz w:val="16"/>
          <w:lang w:val="de-DE"/>
        </w:rPr>
        <w:t xml:space="preserve">. </w:t>
      </w:r>
      <w:r w:rsidRPr="00571807">
        <w:rPr>
          <w:i/>
          <w:color w:val="000000"/>
          <w:sz w:val="16"/>
          <w:lang w:val="de-DE"/>
        </w:rPr>
        <w:t>Kunden verfügen über die Anzahl Externer Connector-Lizenzen für CRM Server 2011, die der Anzahl der qualifizierenden Beschränkten Externen Connector-Lizenzen für CRM 4</w:t>
      </w:r>
      <w:r w:rsidR="006257A7">
        <w:rPr>
          <w:i/>
          <w:color w:val="000000"/>
          <w:sz w:val="16"/>
          <w:lang w:val="de-DE"/>
        </w:rPr>
        <w:t>.</w:t>
      </w:r>
      <w:r w:rsidRPr="00571807">
        <w:rPr>
          <w:i/>
          <w:color w:val="000000"/>
          <w:sz w:val="16"/>
          <w:lang w:val="de-DE"/>
        </w:rPr>
        <w:t>0 entspricht, die sie besitzen</w:t>
      </w:r>
      <w:r w:rsidR="006257A7">
        <w:rPr>
          <w:rFonts w:cs="Tahoma"/>
          <w:i/>
          <w:color w:val="000000"/>
          <w:sz w:val="16"/>
          <w:szCs w:val="18"/>
          <w:bdr w:val="none" w:sz="0" w:space="0" w:color="auto" w:frame="1"/>
          <w:lang w:val="de-DE"/>
        </w:rPr>
        <w:t xml:space="preserve">. </w:t>
      </w:r>
    </w:p>
    <w:p w:rsidR="00E73313" w:rsidRPr="00571807" w:rsidRDefault="00E73313" w:rsidP="00E73313">
      <w:pPr>
        <w:ind w:left="720"/>
        <w:rPr>
          <w:lang w:val="de-DE"/>
        </w:rPr>
      </w:pPr>
    </w:p>
    <w:p w:rsidR="00E73313" w:rsidRPr="00571807" w:rsidRDefault="00E73313" w:rsidP="00BA264B">
      <w:pPr>
        <w:ind w:left="720"/>
        <w:rPr>
          <w:lang w:val="de-DE"/>
        </w:rPr>
      </w:pPr>
      <w:r w:rsidRPr="00571807">
        <w:rPr>
          <w:rFonts w:cs="Tahoma"/>
          <w:color w:val="000000"/>
          <w:szCs w:val="20"/>
          <w:lang w:val="de-DE"/>
        </w:rPr>
        <w:t>Das Recht des Kunden zur Nutzung von Microsoft Dynamics CRM 2011 wird durch diesen Hinweis auf die</w:t>
      </w:r>
      <w:r w:rsidR="00BA264B">
        <w:rPr>
          <w:rFonts w:cs="Tahoma"/>
          <w:color w:val="000000"/>
          <w:szCs w:val="20"/>
          <w:lang w:val="de-DE"/>
        </w:rPr>
        <w:t> </w:t>
      </w:r>
      <w:r w:rsidRPr="00571807">
        <w:rPr>
          <w:rFonts w:cs="Tahoma"/>
          <w:color w:val="000000"/>
          <w:szCs w:val="20"/>
          <w:lang w:val="de-DE"/>
        </w:rPr>
        <w:t>Produktbedingungen sowie den Nachweis der entsprechenden Lizenzen und Software Assurance für Microsoft Dynamics CRM 4</w:t>
      </w:r>
      <w:r w:rsidR="00844B7C">
        <w:rPr>
          <w:rFonts w:cs="Tahoma"/>
          <w:color w:val="000000"/>
          <w:szCs w:val="20"/>
          <w:lang w:val="de-DE"/>
        </w:rPr>
        <w:t>.</w:t>
      </w:r>
      <w:r w:rsidRPr="00571807">
        <w:rPr>
          <w:rFonts w:cs="Tahoma"/>
          <w:color w:val="000000"/>
          <w:szCs w:val="20"/>
          <w:lang w:val="de-DE"/>
        </w:rPr>
        <w:t>0 belegt</w:t>
      </w:r>
      <w:r w:rsidR="006257A7">
        <w:rPr>
          <w:rFonts w:cs="Tahoma"/>
          <w:color w:val="000000"/>
          <w:szCs w:val="20"/>
          <w:lang w:val="de-DE"/>
        </w:rPr>
        <w:t xml:space="preserve">. </w:t>
      </w:r>
      <w:r w:rsidRPr="00571807">
        <w:rPr>
          <w:rFonts w:cs="Tahoma"/>
          <w:color w:val="000000"/>
          <w:szCs w:val="20"/>
          <w:lang w:val="de-DE"/>
        </w:rPr>
        <w:t>Das Recht eines Kunden zur Nutzung der Microsoft Dynamics CRM 2011-Software im Rahmen dieses Migratrionsangebots unterliegt den Bestimmungen des Volumenlizenzvertrages des Kunden</w:t>
      </w:r>
      <w:r w:rsidR="006257A7">
        <w:rPr>
          <w:rFonts w:cs="Tahoma"/>
          <w:color w:val="000000"/>
          <w:szCs w:val="20"/>
          <w:lang w:val="de-DE"/>
        </w:rPr>
        <w:t xml:space="preserve">. </w:t>
      </w:r>
      <w:r w:rsidRPr="00571807">
        <w:rPr>
          <w:rFonts w:cs="Tahoma"/>
          <w:color w:val="000000"/>
          <w:szCs w:val="20"/>
          <w:lang w:val="de-DE"/>
        </w:rPr>
        <w:t>Dieses</w:t>
      </w:r>
      <w:r w:rsidRPr="00571807">
        <w:rPr>
          <w:rStyle w:val="CommentReference"/>
          <w:sz w:val="18"/>
          <w:szCs w:val="20"/>
          <w:lang w:val="de-DE"/>
        </w:rPr>
        <w:t xml:space="preserve"> </w:t>
      </w:r>
      <w:r w:rsidRPr="00571807">
        <w:rPr>
          <w:rFonts w:cs="Tahoma"/>
          <w:color w:val="000000"/>
          <w:szCs w:val="20"/>
          <w:lang w:val="de-DE"/>
        </w:rPr>
        <w:t>Recht gilt bis zum Ablauf oder zur Beendigung des Rechts zur</w:t>
      </w:r>
      <w:r w:rsidR="00BA264B">
        <w:rPr>
          <w:rFonts w:cs="Tahoma"/>
          <w:color w:val="000000"/>
          <w:szCs w:val="20"/>
          <w:lang w:val="de-DE"/>
        </w:rPr>
        <w:t> </w:t>
      </w:r>
      <w:r w:rsidRPr="00571807">
        <w:rPr>
          <w:rFonts w:cs="Tahoma"/>
          <w:color w:val="000000"/>
          <w:szCs w:val="20"/>
          <w:lang w:val="de-DE"/>
        </w:rPr>
        <w:t>Nutzung von Microsoft Dynamics CRM 4</w:t>
      </w:r>
      <w:r w:rsidR="00844B7C">
        <w:rPr>
          <w:rFonts w:cs="Tahoma"/>
          <w:color w:val="000000"/>
          <w:szCs w:val="20"/>
          <w:lang w:val="de-DE"/>
        </w:rPr>
        <w:t>.</w:t>
      </w:r>
      <w:r w:rsidRPr="00571807">
        <w:rPr>
          <w:rFonts w:cs="Tahoma"/>
          <w:color w:val="000000"/>
          <w:szCs w:val="20"/>
          <w:lang w:val="de-DE"/>
        </w:rPr>
        <w:t>0 gemäß den zugehörigen qualifizierenden Microsoft Dynamics CRM 4</w:t>
      </w:r>
      <w:r w:rsidR="00844B7C">
        <w:rPr>
          <w:rFonts w:cs="Tahoma"/>
          <w:color w:val="000000"/>
          <w:szCs w:val="20"/>
          <w:lang w:val="de-DE"/>
        </w:rPr>
        <w:t>.</w:t>
      </w:r>
      <w:r w:rsidRPr="00571807">
        <w:rPr>
          <w:rFonts w:cs="Tahoma"/>
          <w:color w:val="000000"/>
          <w:szCs w:val="20"/>
          <w:lang w:val="de-DE"/>
        </w:rPr>
        <w:t>0-Lizenzen</w:t>
      </w:r>
      <w:r w:rsidR="006257A7">
        <w:rPr>
          <w:rFonts w:cs="Tahoma"/>
          <w:color w:val="000000"/>
          <w:szCs w:val="20"/>
          <w:lang w:val="de-DE"/>
        </w:rPr>
        <w:t xml:space="preserve">. </w:t>
      </w:r>
      <w:r w:rsidRPr="00571807">
        <w:rPr>
          <w:rFonts w:cs="Tahoma"/>
          <w:color w:val="000000"/>
          <w:szCs w:val="20"/>
          <w:lang w:val="de-DE"/>
        </w:rPr>
        <w:t>Nach Ablauf von Software Assurance für die Microsoft Dynamics CRM 4</w:t>
      </w:r>
      <w:r w:rsidR="00844B7C">
        <w:rPr>
          <w:rFonts w:cs="Tahoma"/>
          <w:color w:val="000000"/>
          <w:szCs w:val="20"/>
          <w:lang w:val="de-DE"/>
        </w:rPr>
        <w:t>.</w:t>
      </w:r>
      <w:r w:rsidRPr="00571807">
        <w:rPr>
          <w:rFonts w:cs="Tahoma"/>
          <w:color w:val="000000"/>
          <w:szCs w:val="20"/>
          <w:lang w:val="de-DE"/>
        </w:rPr>
        <w:t>0-Lizenzen kann der Kunde diese für die gewährten Microsoft Dynamics CRM 2011-Lizenzen verlängern</w:t>
      </w:r>
      <w:r w:rsidR="006257A7">
        <w:rPr>
          <w:rFonts w:cs="Tahoma"/>
          <w:color w:val="000000"/>
          <w:szCs w:val="20"/>
          <w:lang w:val="de-DE"/>
        </w:rPr>
        <w:t xml:space="preserve">. </w:t>
      </w:r>
    </w:p>
    <w:p w:rsidR="00E73313" w:rsidRPr="00571807" w:rsidRDefault="00E73313" w:rsidP="00E73313">
      <w:pPr>
        <w:ind w:left="720"/>
        <w:rPr>
          <w:lang w:val="de-DE"/>
        </w:rPr>
      </w:pPr>
    </w:p>
    <w:p w:rsidR="00E73313" w:rsidRPr="00571807" w:rsidRDefault="00E73313" w:rsidP="00BA264B">
      <w:pPr>
        <w:ind w:left="720"/>
        <w:rPr>
          <w:lang w:val="de-DE"/>
        </w:rPr>
      </w:pPr>
      <w:r w:rsidRPr="00571807">
        <w:rPr>
          <w:rFonts w:cs="Tahoma"/>
          <w:color w:val="000000"/>
          <w:lang w:val="de-DE"/>
        </w:rPr>
        <w:t>Dieses Angebot gilt auch für Kunden, die Lizenzen für Microsoft Dynamics CRM 4</w:t>
      </w:r>
      <w:r w:rsidR="00844B7C">
        <w:rPr>
          <w:rFonts w:cs="Tahoma"/>
          <w:color w:val="000000"/>
          <w:lang w:val="de-DE"/>
        </w:rPr>
        <w:t>.</w:t>
      </w:r>
      <w:r w:rsidRPr="00571807">
        <w:rPr>
          <w:rFonts w:cs="Tahoma"/>
          <w:color w:val="000000"/>
          <w:lang w:val="de-DE"/>
        </w:rPr>
        <w:t>0 durch eine Migration von</w:t>
      </w:r>
      <w:r w:rsidR="00BA264B">
        <w:rPr>
          <w:rFonts w:cs="Tahoma"/>
          <w:color w:val="000000"/>
          <w:lang w:val="de-DE"/>
        </w:rPr>
        <w:t> </w:t>
      </w:r>
      <w:r w:rsidRPr="00571807">
        <w:rPr>
          <w:rFonts w:cs="Tahoma"/>
          <w:color w:val="000000"/>
          <w:lang w:val="de-DE"/>
        </w:rPr>
        <w:t>einem anderen Produkt erhalten haben, solange sie aktive Software Assurance für diese Lizenzen ab dem 1</w:t>
      </w:r>
      <w:r w:rsidR="006257A7">
        <w:rPr>
          <w:rFonts w:cs="Tahoma"/>
          <w:color w:val="000000"/>
          <w:lang w:val="de-DE"/>
        </w:rPr>
        <w:t xml:space="preserve">. </w:t>
      </w:r>
      <w:r w:rsidRPr="00571807">
        <w:rPr>
          <w:rFonts w:cs="Tahoma"/>
          <w:color w:val="000000"/>
          <w:lang w:val="de-DE"/>
        </w:rPr>
        <w:t>April 2011 besitzen</w:t>
      </w:r>
      <w:r w:rsidR="006257A7">
        <w:rPr>
          <w:rFonts w:cs="Tahoma"/>
          <w:color w:val="000000"/>
          <w:lang w:val="de-DE"/>
        </w:rPr>
        <w:t xml:space="preserve">. </w:t>
      </w:r>
    </w:p>
    <w:p w:rsidR="00E73313" w:rsidRPr="00571807" w:rsidRDefault="00E73313" w:rsidP="00E73313">
      <w:pPr>
        <w:ind w:left="720"/>
        <w:rPr>
          <w:lang w:val="de-DE"/>
        </w:rPr>
      </w:pPr>
    </w:p>
    <w:p w:rsidR="00E73313" w:rsidRPr="00571807" w:rsidRDefault="00E73313" w:rsidP="00E73313">
      <w:pPr>
        <w:pStyle w:val="EndnoteText"/>
        <w:ind w:left="720"/>
        <w:rPr>
          <w:lang w:val="de-DE"/>
        </w:rPr>
      </w:pPr>
      <w:r w:rsidRPr="00571807">
        <w:rPr>
          <w:rFonts w:ascii="Tahoma" w:hAnsi="Tahoma" w:cs="Tahoma"/>
          <w:bCs/>
          <w:sz w:val="18"/>
          <w:szCs w:val="18"/>
          <w:lang w:val="de-DE"/>
        </w:rPr>
        <w:t>Bei Kunden mit Konzernvertrag, die zu diesen oben beschriebenen zusätzlichen Lizenzen und Rechten berechtigt sind, gelten Microsoft Dynamics CRM 4</w:t>
      </w:r>
      <w:r w:rsidR="00844B7C">
        <w:rPr>
          <w:rFonts w:ascii="Tahoma" w:hAnsi="Tahoma" w:cs="Tahoma"/>
          <w:bCs/>
          <w:sz w:val="18"/>
          <w:szCs w:val="18"/>
          <w:lang w:val="de-DE"/>
        </w:rPr>
        <w:t>.</w:t>
      </w:r>
      <w:r w:rsidRPr="00571807">
        <w:rPr>
          <w:rFonts w:ascii="Tahoma" w:hAnsi="Tahoma" w:cs="Tahoma"/>
          <w:bCs/>
          <w:sz w:val="18"/>
          <w:szCs w:val="18"/>
          <w:lang w:val="de-DE"/>
        </w:rPr>
        <w:t>0-Lizenzen, die während der aktuellen Laufzeit des Beitritts unter dem jährlichen True Up-Prozess erworben wurden, ebenfalls als qualifizierende Lizenzen</w:t>
      </w:r>
      <w:r w:rsidR="006257A7">
        <w:rPr>
          <w:rFonts w:ascii="Tahoma" w:hAnsi="Tahoma" w:cs="Tahoma"/>
          <w:bCs/>
          <w:sz w:val="18"/>
          <w:szCs w:val="18"/>
          <w:lang w:val="de-DE"/>
        </w:rPr>
        <w:t xml:space="preserve">. </w:t>
      </w:r>
    </w:p>
    <w:p w:rsidR="00E73313" w:rsidRPr="00571807" w:rsidRDefault="00E73313" w:rsidP="00E73313">
      <w:pPr>
        <w:pStyle w:val="EndnoteText"/>
        <w:ind w:left="720"/>
        <w:rPr>
          <w:lang w:val="de-DE"/>
        </w:rPr>
      </w:pPr>
    </w:p>
    <w:p w:rsidR="00E73313" w:rsidRDefault="00E73313" w:rsidP="00BA264B">
      <w:pPr>
        <w:pStyle w:val="EndnoteText"/>
        <w:ind w:left="720"/>
        <w:rPr>
          <w:rFonts w:ascii="Tahoma" w:hAnsi="Tahoma" w:cs="Tahoma"/>
          <w:bCs/>
          <w:color w:val="000000"/>
          <w:sz w:val="18"/>
          <w:szCs w:val="18"/>
          <w:lang w:val="de-DE"/>
        </w:rPr>
      </w:pPr>
      <w:r w:rsidRPr="00571807">
        <w:rPr>
          <w:rFonts w:ascii="Tahoma" w:hAnsi="Tahoma" w:cs="Tahoma"/>
          <w:bCs/>
          <w:color w:val="000000"/>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BA264B">
        <w:rPr>
          <w:rFonts w:ascii="Tahoma" w:hAnsi="Tahoma" w:cs="Tahoma"/>
          <w:bCs/>
          <w:color w:val="000000"/>
          <w:sz w:val="18"/>
          <w:szCs w:val="18"/>
          <w:lang w:val="de-DE"/>
        </w:rPr>
        <w:t> </w:t>
      </w:r>
      <w:r w:rsidRPr="00571807">
        <w:rPr>
          <w:rFonts w:ascii="Tahoma" w:hAnsi="Tahoma" w:cs="Tahoma"/>
          <w:bCs/>
          <w:color w:val="000000"/>
          <w:sz w:val="18"/>
          <w:szCs w:val="18"/>
          <w:lang w:val="de-DE"/>
        </w:rPr>
        <w:t>Kunde das Abonnement ununterbrochen aufrechterhält</w:t>
      </w:r>
      <w:r w:rsidR="006257A7">
        <w:rPr>
          <w:rFonts w:ascii="Tahoma" w:hAnsi="Tahoma" w:cs="Tahoma"/>
          <w:bCs/>
          <w:color w:val="000000"/>
          <w:sz w:val="18"/>
          <w:szCs w:val="18"/>
          <w:lang w:val="de-DE"/>
        </w:rPr>
        <w:t xml:space="preserve">. </w:t>
      </w:r>
      <w:r w:rsidRPr="00571807">
        <w:rPr>
          <w:rFonts w:ascii="Tahoma" w:hAnsi="Tahoma" w:cs="Tahoma"/>
          <w:bCs/>
          <w:color w:val="000000"/>
          <w:sz w:val="18"/>
          <w:szCs w:val="18"/>
          <w:lang w:val="de-DE"/>
        </w:rPr>
        <w:t>Diese Rechte werden erst nach Ausübung der</w:t>
      </w:r>
      <w:r w:rsidR="00BA264B">
        <w:rPr>
          <w:rFonts w:ascii="Tahoma" w:hAnsi="Tahoma" w:cs="Tahoma"/>
          <w:bCs/>
          <w:color w:val="000000"/>
          <w:sz w:val="18"/>
          <w:szCs w:val="18"/>
          <w:lang w:val="de-DE"/>
        </w:rPr>
        <w:t> </w:t>
      </w:r>
      <w:r w:rsidRPr="00571807">
        <w:rPr>
          <w:rFonts w:ascii="Tahoma" w:hAnsi="Tahoma" w:cs="Tahoma"/>
          <w:bCs/>
          <w:color w:val="000000"/>
          <w:sz w:val="18"/>
          <w:szCs w:val="18"/>
          <w:lang w:val="de-DE"/>
        </w:rPr>
        <w:t>Buy-Out-Option zeitlich unbeschränkt und unterliegen weiterhin allen Bestimmungen des Lizenzvertrages des Kunden</w:t>
      </w:r>
      <w:r w:rsidR="006257A7">
        <w:rPr>
          <w:rFonts w:ascii="Tahoma" w:hAnsi="Tahoma" w:cs="Tahoma"/>
          <w:bCs/>
          <w:color w:val="000000"/>
          <w:sz w:val="18"/>
          <w:szCs w:val="18"/>
          <w:lang w:val="de-DE"/>
        </w:rPr>
        <w:t xml:space="preserve">. </w:t>
      </w:r>
    </w:p>
    <w:p w:rsidR="00E73313" w:rsidRPr="00571807" w:rsidRDefault="00E73313" w:rsidP="00E73313">
      <w:pPr>
        <w:spacing w:after="60"/>
        <w:ind w:left="720"/>
        <w:rPr>
          <w:lang w:val="de-DE"/>
        </w:rPr>
      </w:pPr>
      <w:r w:rsidRPr="00571807">
        <w:rPr>
          <w:rFonts w:cs="Tahoma"/>
          <w:b/>
          <w:bCs/>
          <w:szCs w:val="20"/>
          <w:lang w:val="de-DE"/>
        </w:rPr>
        <w:t xml:space="preserve">Downgraderechte für Microsoft Dynamics CRM 2011 </w:t>
      </w:r>
    </w:p>
    <w:p w:rsidR="00E73313" w:rsidRPr="00571807" w:rsidRDefault="00E73313" w:rsidP="00E73313">
      <w:pPr>
        <w:ind w:left="720"/>
        <w:rPr>
          <w:lang w:val="de-DE"/>
        </w:rPr>
      </w:pPr>
      <w:r w:rsidRPr="00571807">
        <w:rPr>
          <w:rFonts w:cs="Tahoma"/>
          <w:szCs w:val="20"/>
          <w:lang w:val="de-DE"/>
        </w:rPr>
        <w:t>Kunden mit Microsoft Dynamics CRM 2011-Lizenzen sind berechtigt, Microsoft Dynamics CRM 4</w:t>
      </w:r>
      <w:r w:rsidR="00844B7C">
        <w:rPr>
          <w:rFonts w:cs="Tahoma"/>
          <w:szCs w:val="20"/>
          <w:lang w:val="de-DE"/>
        </w:rPr>
        <w:t>.</w:t>
      </w:r>
      <w:r w:rsidRPr="00571807">
        <w:rPr>
          <w:rFonts w:cs="Tahoma"/>
          <w:szCs w:val="20"/>
          <w:lang w:val="de-DE"/>
        </w:rPr>
        <w:t>0 anstelle von Microsoft Dynamics CRM 2011 zu verwenden</w:t>
      </w:r>
      <w:r w:rsidR="006257A7">
        <w:rPr>
          <w:rFonts w:cs="Tahoma"/>
          <w:szCs w:val="20"/>
          <w:lang w:val="de-DE"/>
        </w:rPr>
        <w:t xml:space="preserve">. </w:t>
      </w:r>
      <w:r w:rsidRPr="00571807">
        <w:rPr>
          <w:rFonts w:cs="Tahoma"/>
          <w:szCs w:val="20"/>
          <w:lang w:val="de-DE"/>
        </w:rPr>
        <w:t>Ihre Mirosoft Dynamics CRM 2011-Lizenzen können wie folgt als CRM 4</w:t>
      </w:r>
      <w:r w:rsidR="00844B7C">
        <w:rPr>
          <w:rFonts w:cs="Tahoma"/>
          <w:szCs w:val="20"/>
          <w:lang w:val="de-DE"/>
        </w:rPr>
        <w:t>.</w:t>
      </w:r>
      <w:r w:rsidRPr="00571807">
        <w:rPr>
          <w:rFonts w:cs="Tahoma"/>
          <w:szCs w:val="20"/>
          <w:lang w:val="de-DE"/>
        </w:rPr>
        <w:t>0-Lizenzen bereitgestellt werden:</w:t>
      </w:r>
    </w:p>
    <w:p w:rsidR="00E73313" w:rsidRPr="00571807" w:rsidRDefault="00E73313" w:rsidP="00E73313">
      <w:pPr>
        <w:ind w:left="540"/>
        <w:rPr>
          <w:lang w:val="de-DE"/>
        </w:rPr>
      </w:pPr>
    </w:p>
    <w:p w:rsidR="00E73313" w:rsidRPr="00571807" w:rsidRDefault="00E73313" w:rsidP="00E73313">
      <w:pPr>
        <w:ind w:left="900"/>
        <w:rPr>
          <w:lang w:val="de-DE"/>
        </w:rPr>
      </w:pPr>
    </w:p>
    <w:tbl>
      <w:tblPr>
        <w:tblW w:w="8410" w:type="dxa"/>
        <w:tblInd w:w="878" w:type="dxa"/>
        <w:tblCellMar>
          <w:left w:w="0" w:type="dxa"/>
          <w:right w:w="0" w:type="dxa"/>
        </w:tblCellMar>
        <w:tblLook w:val="04A0" w:firstRow="1" w:lastRow="0" w:firstColumn="1" w:lastColumn="0" w:noHBand="0" w:noVBand="1"/>
      </w:tblPr>
      <w:tblGrid>
        <w:gridCol w:w="4140"/>
        <w:gridCol w:w="4270"/>
      </w:tblGrid>
      <w:tr w:rsidR="00E73313" w:rsidTr="00382D51">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E73313" w:rsidRPr="00571807" w:rsidRDefault="00E73313" w:rsidP="00E328C3">
            <w:pPr>
              <w:keepNext/>
              <w:ind w:left="360"/>
              <w:rPr>
                <w:rFonts w:cs="Tahoma"/>
                <w:b/>
                <w:bCs/>
                <w:szCs w:val="20"/>
                <w:lang w:val="de-DE"/>
              </w:rPr>
            </w:pPr>
            <w:r w:rsidRPr="00571807">
              <w:rPr>
                <w:rFonts w:cs="Tahoma"/>
                <w:b/>
                <w:bCs/>
                <w:szCs w:val="20"/>
                <w:lang w:val="de-DE"/>
              </w:rPr>
              <w:t>Qualifizierende Microsoft Dynamics CRM 2011-Lizenz</w:t>
            </w:r>
          </w:p>
        </w:tc>
        <w:tc>
          <w:tcPr>
            <w:tcW w:w="4270" w:type="dxa"/>
            <w:tcBorders>
              <w:top w:val="single" w:sz="8" w:space="0" w:color="000000"/>
              <w:left w:val="nil"/>
              <w:bottom w:val="single" w:sz="8" w:space="0" w:color="000000"/>
              <w:right w:val="single" w:sz="8" w:space="0" w:color="auto"/>
            </w:tcBorders>
            <w:shd w:val="clear" w:color="auto" w:fill="FABF8F"/>
          </w:tcPr>
          <w:p w:rsidR="00E73313" w:rsidRDefault="00E73313" w:rsidP="00E328C3">
            <w:pPr>
              <w:ind w:left="360"/>
              <w:rPr>
                <w:rFonts w:cs="Tahoma"/>
                <w:b/>
                <w:bCs/>
                <w:szCs w:val="20"/>
              </w:rPr>
            </w:pPr>
            <w:r>
              <w:rPr>
                <w:rFonts w:cs="Tahoma"/>
                <w:b/>
                <w:bCs/>
                <w:szCs w:val="20"/>
              </w:rPr>
              <w:t>Entsprechende CRM 4</w:t>
            </w:r>
            <w:r w:rsidR="00844B7C">
              <w:rPr>
                <w:rFonts w:cs="Tahoma"/>
                <w:b/>
                <w:bCs/>
                <w:szCs w:val="20"/>
              </w:rPr>
              <w:t>.</w:t>
            </w:r>
            <w:r>
              <w:rPr>
                <w:rFonts w:cs="Tahoma"/>
                <w:b/>
                <w:bCs/>
                <w:szCs w:val="20"/>
              </w:rPr>
              <w:t>0-Lizenzen</w:t>
            </w:r>
          </w:p>
        </w:tc>
      </w:tr>
      <w:tr w:rsidR="00E73313" w:rsidRPr="001B6F67" w:rsidTr="00382D51">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73313" w:rsidRPr="00571807" w:rsidRDefault="00E73313" w:rsidP="00E328C3">
            <w:pPr>
              <w:keepNext/>
              <w:rPr>
                <w:rFonts w:cs="Tahoma"/>
                <w:color w:val="000000"/>
                <w:szCs w:val="20"/>
                <w:lang w:val="de-DE"/>
              </w:rPr>
            </w:pPr>
            <w:r w:rsidRPr="00571807">
              <w:rPr>
                <w:rFonts w:cs="Tahoma"/>
                <w:szCs w:val="20"/>
                <w:lang w:val="de-DE"/>
              </w:rPr>
              <w:t>Zusätzliche CAL zur Vollständigen Verwendung von Microsoft Dynamics CRM 2011</w:t>
            </w:r>
          </w:p>
        </w:tc>
        <w:tc>
          <w:tcPr>
            <w:tcW w:w="4270" w:type="dxa"/>
            <w:tcBorders>
              <w:top w:val="nil"/>
              <w:left w:val="nil"/>
              <w:bottom w:val="single" w:sz="8" w:space="0" w:color="000000"/>
              <w:right w:val="single" w:sz="8" w:space="0" w:color="000000"/>
            </w:tcBorders>
            <w:vAlign w:val="center"/>
          </w:tcPr>
          <w:p w:rsidR="00E73313" w:rsidRPr="00571807" w:rsidRDefault="00E73313" w:rsidP="00E328C3">
            <w:pPr>
              <w:pStyle w:val="ColorfulList-Accent11"/>
              <w:spacing w:line="276" w:lineRule="auto"/>
              <w:ind w:left="288" w:right="162" w:hanging="180"/>
              <w:rPr>
                <w:rFonts w:ascii="Tahoma" w:hAnsi="Tahoma" w:cs="Tahoma"/>
                <w:sz w:val="18"/>
                <w:szCs w:val="20"/>
                <w:lang w:val="de-DE"/>
              </w:rPr>
            </w:pPr>
            <w:r w:rsidRPr="00571807">
              <w:rPr>
                <w:rFonts w:ascii="Tahoma" w:hAnsi="Tahoma" w:cs="Tahoma"/>
                <w:sz w:val="18"/>
                <w:szCs w:val="20"/>
                <w:lang w:val="de-DE"/>
              </w:rPr>
              <w:t>1 Zusätzliche CAL zur Vollständigen Verwendung von Microsoft Dynamics CRM 4</w:t>
            </w:r>
            <w:r w:rsidR="00844B7C">
              <w:rPr>
                <w:rFonts w:ascii="Tahoma" w:hAnsi="Tahoma" w:cs="Tahoma"/>
                <w:sz w:val="18"/>
                <w:szCs w:val="20"/>
                <w:lang w:val="de-DE"/>
              </w:rPr>
              <w:t>.</w:t>
            </w:r>
            <w:r w:rsidRPr="00571807">
              <w:rPr>
                <w:rFonts w:ascii="Tahoma" w:hAnsi="Tahoma" w:cs="Tahoma"/>
                <w:sz w:val="18"/>
                <w:szCs w:val="20"/>
                <w:lang w:val="de-DE"/>
              </w:rPr>
              <w:t>0</w:t>
            </w:r>
          </w:p>
        </w:tc>
      </w:tr>
      <w:tr w:rsidR="00E73313" w:rsidRPr="001B6F67" w:rsidTr="00382D51">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73313" w:rsidRPr="00571807" w:rsidRDefault="00E73313" w:rsidP="00E328C3">
            <w:pPr>
              <w:rPr>
                <w:rFonts w:cs="Tahoma"/>
                <w:color w:val="000000"/>
                <w:szCs w:val="20"/>
                <w:lang w:val="de-DE"/>
              </w:rPr>
            </w:pPr>
            <w:r w:rsidRPr="00571807">
              <w:rPr>
                <w:rFonts w:cs="Tahoma"/>
                <w:szCs w:val="20"/>
                <w:lang w:val="de-DE"/>
              </w:rPr>
              <w:t>Zusätzliche CAL zur Eingeschränkten Verwendung von Microsoft Dynamics CRM 2011</w:t>
            </w:r>
          </w:p>
        </w:tc>
        <w:tc>
          <w:tcPr>
            <w:tcW w:w="4270" w:type="dxa"/>
            <w:tcBorders>
              <w:top w:val="nil"/>
              <w:left w:val="nil"/>
              <w:bottom w:val="single" w:sz="8" w:space="0" w:color="000000"/>
              <w:right w:val="single" w:sz="8" w:space="0" w:color="000000"/>
            </w:tcBorders>
            <w:vAlign w:val="center"/>
          </w:tcPr>
          <w:p w:rsidR="00E73313" w:rsidRPr="00571807" w:rsidRDefault="00E73313" w:rsidP="00BA264B">
            <w:pPr>
              <w:pStyle w:val="ColorfulList-Accent11"/>
              <w:spacing w:line="276" w:lineRule="auto"/>
              <w:ind w:left="256" w:right="162" w:hanging="148"/>
              <w:rPr>
                <w:rFonts w:ascii="Tahoma" w:hAnsi="Tahoma" w:cs="Tahoma"/>
                <w:sz w:val="18"/>
                <w:szCs w:val="20"/>
                <w:lang w:val="de-DE"/>
              </w:rPr>
            </w:pPr>
            <w:r w:rsidRPr="00571807">
              <w:rPr>
                <w:rFonts w:ascii="Tahoma" w:hAnsi="Tahoma" w:cs="Tahoma"/>
                <w:sz w:val="18"/>
                <w:szCs w:val="20"/>
                <w:lang w:val="de-DE"/>
              </w:rPr>
              <w:t>1 Beschränkte CAL für Microsoft Dynamics CRM 4</w:t>
            </w:r>
            <w:r w:rsidR="00844B7C">
              <w:rPr>
                <w:rFonts w:ascii="Tahoma" w:hAnsi="Tahoma" w:cs="Tahoma"/>
                <w:sz w:val="18"/>
                <w:szCs w:val="20"/>
                <w:lang w:val="de-DE"/>
              </w:rPr>
              <w:t>.</w:t>
            </w:r>
            <w:r w:rsidRPr="00571807">
              <w:rPr>
                <w:rFonts w:ascii="Tahoma" w:hAnsi="Tahoma" w:cs="Tahoma"/>
                <w:sz w:val="18"/>
                <w:szCs w:val="20"/>
                <w:lang w:val="de-DE"/>
              </w:rPr>
              <w:t>0</w:t>
            </w:r>
          </w:p>
        </w:tc>
      </w:tr>
      <w:tr w:rsidR="00E73313" w:rsidRPr="001B6F67" w:rsidTr="00382D51">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73313" w:rsidRDefault="00E73313" w:rsidP="00F25255">
            <w:pPr>
              <w:rPr>
                <w:rFonts w:cs="Tahoma"/>
                <w:szCs w:val="20"/>
              </w:rPr>
            </w:pPr>
            <w:r>
              <w:rPr>
                <w:rFonts w:cs="Tahoma"/>
                <w:szCs w:val="20"/>
              </w:rPr>
              <w:t>Externer Connector für Microsoft Dynamics CRM</w:t>
            </w:r>
            <w:r w:rsidR="00F25255">
              <w:rPr>
                <w:rFonts w:cs="Tahoma"/>
                <w:szCs w:val="20"/>
              </w:rPr>
              <w:t> </w:t>
            </w:r>
            <w:r>
              <w:rPr>
                <w:rFonts w:cs="Tahoma"/>
                <w:szCs w:val="20"/>
              </w:rPr>
              <w:t>2011</w:t>
            </w:r>
          </w:p>
        </w:tc>
        <w:tc>
          <w:tcPr>
            <w:tcW w:w="4270" w:type="dxa"/>
            <w:tcBorders>
              <w:top w:val="nil"/>
              <w:left w:val="nil"/>
              <w:bottom w:val="single" w:sz="8" w:space="0" w:color="000000"/>
              <w:right w:val="single" w:sz="8" w:space="0" w:color="000000"/>
            </w:tcBorders>
            <w:vAlign w:val="center"/>
          </w:tcPr>
          <w:p w:rsidR="00E73313" w:rsidRPr="00571807" w:rsidRDefault="00E73313" w:rsidP="00BA264B">
            <w:pPr>
              <w:pStyle w:val="ColorfulList-Accent11"/>
              <w:spacing w:line="276" w:lineRule="auto"/>
              <w:ind w:left="256" w:right="162" w:hanging="148"/>
              <w:rPr>
                <w:lang w:val="de-DE"/>
              </w:rPr>
            </w:pPr>
            <w:r w:rsidRPr="00571807">
              <w:rPr>
                <w:rFonts w:ascii="Tahoma" w:hAnsi="Tahoma" w:cs="Tahoma"/>
                <w:sz w:val="18"/>
                <w:szCs w:val="20"/>
                <w:lang w:val="de-DE"/>
              </w:rPr>
              <w:t>1 Beschränkter Externer Connector für Microsoft Dynamics CRM 4</w:t>
            </w:r>
            <w:r w:rsidR="00844B7C">
              <w:rPr>
                <w:rFonts w:ascii="Tahoma" w:hAnsi="Tahoma" w:cs="Tahoma"/>
                <w:sz w:val="18"/>
                <w:szCs w:val="20"/>
                <w:lang w:val="de-DE"/>
              </w:rPr>
              <w:t>.</w:t>
            </w:r>
            <w:r w:rsidRPr="00571807">
              <w:rPr>
                <w:rFonts w:ascii="Tahoma" w:hAnsi="Tahoma" w:cs="Tahoma"/>
                <w:sz w:val="18"/>
                <w:szCs w:val="20"/>
                <w:lang w:val="de-DE"/>
              </w:rPr>
              <w:t>0</w:t>
            </w:r>
          </w:p>
          <w:p w:rsidR="00E73313" w:rsidRPr="00571807" w:rsidRDefault="00E73313" w:rsidP="00E328C3">
            <w:pPr>
              <w:pStyle w:val="ColorfulList-Accent11"/>
              <w:spacing w:line="276" w:lineRule="auto"/>
              <w:ind w:left="288" w:right="162" w:hanging="180"/>
              <w:jc w:val="center"/>
              <w:rPr>
                <w:lang w:val="de-DE"/>
              </w:rPr>
            </w:pPr>
            <w:r w:rsidRPr="00571807">
              <w:rPr>
                <w:rFonts w:ascii="Tahoma" w:hAnsi="Tahoma" w:cs="Tahoma"/>
                <w:sz w:val="18"/>
                <w:szCs w:val="20"/>
                <w:lang w:val="de-DE"/>
              </w:rPr>
              <w:t>UND</w:t>
            </w:r>
          </w:p>
          <w:p w:rsidR="00E73313" w:rsidRPr="00571807" w:rsidRDefault="00E73313" w:rsidP="00BA264B">
            <w:pPr>
              <w:pStyle w:val="ColorfulList-Accent11"/>
              <w:spacing w:line="276" w:lineRule="auto"/>
              <w:ind w:left="256" w:right="162" w:hanging="148"/>
              <w:rPr>
                <w:rFonts w:ascii="Tahoma" w:hAnsi="Tahoma" w:cs="Tahoma"/>
                <w:sz w:val="18"/>
                <w:szCs w:val="20"/>
                <w:lang w:val="de-DE"/>
              </w:rPr>
            </w:pPr>
            <w:r w:rsidRPr="00571807">
              <w:rPr>
                <w:rFonts w:ascii="Tahoma" w:hAnsi="Tahoma" w:cs="Tahoma"/>
                <w:sz w:val="18"/>
                <w:szCs w:val="20"/>
                <w:lang w:val="de-DE"/>
              </w:rPr>
              <w:t>1 Zusätzlicher Externen Connector zur Vollständigen Verwendung von Microsoft Dynamics CRM 4</w:t>
            </w:r>
            <w:r w:rsidR="00844B7C">
              <w:rPr>
                <w:rFonts w:ascii="Tahoma" w:hAnsi="Tahoma" w:cs="Tahoma"/>
                <w:sz w:val="18"/>
                <w:szCs w:val="20"/>
                <w:lang w:val="de-DE"/>
              </w:rPr>
              <w:t>.</w:t>
            </w:r>
            <w:r w:rsidRPr="00571807">
              <w:rPr>
                <w:rFonts w:ascii="Tahoma" w:hAnsi="Tahoma" w:cs="Tahoma"/>
                <w:sz w:val="18"/>
                <w:szCs w:val="20"/>
                <w:lang w:val="de-DE"/>
              </w:rPr>
              <w:t>0</w:t>
            </w:r>
          </w:p>
        </w:tc>
      </w:tr>
      <w:tr w:rsidR="00E73313" w:rsidTr="00382D51">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73313" w:rsidRDefault="00E73313" w:rsidP="00E328C3">
            <w:pPr>
              <w:rPr>
                <w:rFonts w:cs="Tahoma"/>
                <w:color w:val="000000"/>
                <w:szCs w:val="20"/>
              </w:rPr>
            </w:pPr>
            <w:r>
              <w:rPr>
                <w:rFonts w:cs="Tahoma"/>
                <w:color w:val="000000"/>
                <w:szCs w:val="20"/>
              </w:rPr>
              <w:t>Microsoft Dynamics CRM Server 2011</w:t>
            </w:r>
          </w:p>
        </w:tc>
        <w:tc>
          <w:tcPr>
            <w:tcW w:w="4270" w:type="dxa"/>
            <w:tcBorders>
              <w:top w:val="nil"/>
              <w:left w:val="nil"/>
              <w:bottom w:val="single" w:sz="8" w:space="0" w:color="000000"/>
              <w:right w:val="single" w:sz="8" w:space="0" w:color="000000"/>
            </w:tcBorders>
          </w:tcPr>
          <w:p w:rsidR="00E73313" w:rsidRPr="0062435A" w:rsidRDefault="00E73313" w:rsidP="00BA264B">
            <w:pPr>
              <w:pStyle w:val="ColorfulList-Accent11"/>
              <w:spacing w:line="276" w:lineRule="auto"/>
              <w:ind w:left="256" w:right="162" w:hanging="148"/>
            </w:pPr>
            <w:r>
              <w:rPr>
                <w:rFonts w:ascii="Tahoma" w:hAnsi="Tahoma" w:cs="Tahoma"/>
                <w:sz w:val="18"/>
                <w:szCs w:val="20"/>
              </w:rPr>
              <w:t>1 Microsoft Dynamics CRM 4</w:t>
            </w:r>
            <w:r w:rsidR="00844B7C">
              <w:rPr>
                <w:rFonts w:ascii="Tahoma" w:hAnsi="Tahoma" w:cs="Tahoma"/>
                <w:sz w:val="18"/>
                <w:szCs w:val="20"/>
              </w:rPr>
              <w:t>.</w:t>
            </w:r>
            <w:r>
              <w:rPr>
                <w:rFonts w:ascii="Tahoma" w:hAnsi="Tahoma" w:cs="Tahoma"/>
                <w:sz w:val="18"/>
                <w:szCs w:val="20"/>
              </w:rPr>
              <w:t xml:space="preserve">0 Professional Server </w:t>
            </w:r>
          </w:p>
          <w:p w:rsidR="00E73313" w:rsidRPr="0062435A" w:rsidRDefault="00E73313" w:rsidP="00E328C3">
            <w:pPr>
              <w:pStyle w:val="ColorfulList-Accent11"/>
              <w:spacing w:line="276" w:lineRule="auto"/>
              <w:ind w:left="288" w:right="162" w:hanging="180"/>
              <w:jc w:val="center"/>
            </w:pPr>
            <w:r>
              <w:rPr>
                <w:rFonts w:ascii="Tahoma" w:hAnsi="Tahoma" w:cs="Tahoma"/>
                <w:sz w:val="18"/>
                <w:szCs w:val="20"/>
              </w:rPr>
              <w:t>ODER</w:t>
            </w:r>
          </w:p>
          <w:p w:rsidR="00E73313" w:rsidRDefault="00E73313" w:rsidP="00E328C3">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w:t>
            </w:r>
            <w:r w:rsidR="00844B7C">
              <w:rPr>
                <w:rFonts w:ascii="Tahoma" w:hAnsi="Tahoma" w:cs="Tahoma"/>
                <w:sz w:val="18"/>
                <w:szCs w:val="20"/>
              </w:rPr>
              <w:t>.</w:t>
            </w:r>
            <w:r>
              <w:rPr>
                <w:rFonts w:ascii="Tahoma" w:hAnsi="Tahoma" w:cs="Tahoma"/>
                <w:sz w:val="18"/>
                <w:szCs w:val="20"/>
              </w:rPr>
              <w:t xml:space="preserve">0 Enterprise Server </w:t>
            </w:r>
          </w:p>
        </w:tc>
      </w:tr>
      <w:tr w:rsidR="00E73313" w:rsidTr="00382D51">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73313" w:rsidRPr="00B70B6E" w:rsidRDefault="00E73313" w:rsidP="00E328C3">
            <w:pPr>
              <w:rPr>
                <w:rFonts w:cs="Tahoma"/>
                <w:color w:val="000000"/>
                <w:szCs w:val="20"/>
              </w:rPr>
            </w:pPr>
            <w:r>
              <w:rPr>
                <w:rFonts w:cs="Tahoma"/>
                <w:color w:val="000000"/>
                <w:szCs w:val="20"/>
              </w:rPr>
              <w:t>Microsoft Dynamics CRM Workgroup Server 2011</w:t>
            </w:r>
          </w:p>
        </w:tc>
        <w:tc>
          <w:tcPr>
            <w:tcW w:w="4270" w:type="dxa"/>
            <w:tcBorders>
              <w:top w:val="nil"/>
              <w:left w:val="nil"/>
              <w:bottom w:val="single" w:sz="8" w:space="0" w:color="000000"/>
              <w:right w:val="single" w:sz="8" w:space="0" w:color="000000"/>
            </w:tcBorders>
          </w:tcPr>
          <w:p w:rsidR="00E73313" w:rsidRPr="00B70B6E" w:rsidRDefault="00E73313" w:rsidP="00BA264B">
            <w:pPr>
              <w:pStyle w:val="ColorfulList-Accent11"/>
              <w:spacing w:line="276" w:lineRule="auto"/>
              <w:ind w:left="256" w:right="162" w:hanging="148"/>
              <w:rPr>
                <w:rFonts w:ascii="Tahoma" w:hAnsi="Tahoma" w:cs="Tahoma"/>
                <w:sz w:val="18"/>
                <w:szCs w:val="20"/>
              </w:rPr>
            </w:pPr>
            <w:r>
              <w:rPr>
                <w:rFonts w:ascii="Tahoma" w:hAnsi="Tahoma" w:cs="Tahoma"/>
                <w:sz w:val="18"/>
                <w:szCs w:val="20"/>
              </w:rPr>
              <w:t>1 Microsoft Dynamics CRM 4</w:t>
            </w:r>
            <w:r w:rsidR="00844B7C">
              <w:rPr>
                <w:rFonts w:ascii="Tahoma" w:hAnsi="Tahoma" w:cs="Tahoma"/>
                <w:sz w:val="18"/>
                <w:szCs w:val="20"/>
              </w:rPr>
              <w:t>.</w:t>
            </w:r>
            <w:r>
              <w:rPr>
                <w:rFonts w:ascii="Tahoma" w:hAnsi="Tahoma" w:cs="Tahoma"/>
                <w:sz w:val="18"/>
                <w:szCs w:val="20"/>
              </w:rPr>
              <w:t xml:space="preserve">0 Workgroup Server </w:t>
            </w:r>
          </w:p>
        </w:tc>
      </w:tr>
    </w:tbl>
    <w:p w:rsidR="00E73313" w:rsidRPr="0062435A" w:rsidRDefault="00E73313" w:rsidP="00E73313">
      <w:r>
        <w:rPr>
          <w:rFonts w:cs="Tahoma"/>
          <w:szCs w:val="20"/>
        </w:rPr>
        <w:t xml:space="preserve"> </w:t>
      </w:r>
    </w:p>
    <w:p w:rsidR="00E73313" w:rsidRPr="00571807" w:rsidRDefault="00E73313" w:rsidP="00BA264B">
      <w:pPr>
        <w:ind w:left="720"/>
        <w:rPr>
          <w:lang w:val="de-DE"/>
        </w:rPr>
      </w:pPr>
      <w:r w:rsidRPr="00571807">
        <w:rPr>
          <w:rFonts w:cs="Tahoma"/>
          <w:szCs w:val="20"/>
          <w:lang w:val="de-DE"/>
        </w:rPr>
        <w:t>Das Recht eines Kunden zur Verwendung von Microsoft Dynamics CRM 4</w:t>
      </w:r>
      <w:r w:rsidR="00844B7C">
        <w:rPr>
          <w:rFonts w:cs="Tahoma"/>
          <w:szCs w:val="20"/>
          <w:lang w:val="de-DE"/>
        </w:rPr>
        <w:t>.</w:t>
      </w:r>
      <w:r w:rsidRPr="00571807">
        <w:rPr>
          <w:rFonts w:cs="Tahoma"/>
          <w:szCs w:val="20"/>
          <w:lang w:val="de-DE"/>
        </w:rPr>
        <w:t>0 unterliegt den Bestimmungen des Lizenzvertrages des Kunden, den Produktbenutzungsrechten für Microsoft Dynamics CRM 4</w:t>
      </w:r>
      <w:r w:rsidR="00844B7C">
        <w:rPr>
          <w:rFonts w:cs="Tahoma"/>
          <w:szCs w:val="20"/>
          <w:lang w:val="de-DE"/>
        </w:rPr>
        <w:t>.</w:t>
      </w:r>
      <w:r w:rsidRPr="00571807">
        <w:rPr>
          <w:rFonts w:cs="Tahoma"/>
          <w:szCs w:val="20"/>
          <w:lang w:val="de-DE"/>
        </w:rPr>
        <w:t>0 und diesen Bestimmungen</w:t>
      </w:r>
      <w:r w:rsidR="006257A7">
        <w:rPr>
          <w:rFonts w:cs="Tahoma"/>
          <w:szCs w:val="20"/>
          <w:lang w:val="de-DE"/>
        </w:rPr>
        <w:t xml:space="preserve">. </w:t>
      </w:r>
      <w:r w:rsidRPr="00571807">
        <w:rPr>
          <w:rFonts w:cs="Tahoma"/>
          <w:szCs w:val="20"/>
          <w:lang w:val="de-DE"/>
        </w:rPr>
        <w:t>Dieses Recht gilt bis zum Ablauf oder zur Beendigung seines Rechts zur Nutzung von</w:t>
      </w:r>
      <w:r w:rsidR="00BA264B">
        <w:rPr>
          <w:rFonts w:cs="Tahoma"/>
          <w:szCs w:val="20"/>
          <w:lang w:val="de-DE"/>
        </w:rPr>
        <w:t> </w:t>
      </w:r>
      <w:r w:rsidRPr="00571807">
        <w:rPr>
          <w:rFonts w:cs="Tahoma"/>
          <w:szCs w:val="20"/>
          <w:lang w:val="de-DE"/>
        </w:rPr>
        <w:t>Microsoft Dynamics CRM 2011 gemäß den zugehörigen qualifizierenden Microsoft Dynamics CRM 2011-Lizenzen</w:t>
      </w:r>
      <w:r w:rsidR="006257A7">
        <w:rPr>
          <w:rFonts w:cs="Tahoma"/>
          <w:szCs w:val="20"/>
          <w:lang w:val="de-DE"/>
        </w:rPr>
        <w:t xml:space="preserve">. </w:t>
      </w:r>
    </w:p>
    <w:p w:rsidR="00E73313" w:rsidRPr="00571807" w:rsidRDefault="00E73313" w:rsidP="00E73313">
      <w:pPr>
        <w:ind w:left="540"/>
        <w:rPr>
          <w:lang w:val="de-DE"/>
        </w:rPr>
      </w:pPr>
    </w:p>
    <w:p w:rsidR="00E73313" w:rsidRPr="00571807" w:rsidRDefault="00E73313" w:rsidP="00E73313">
      <w:pPr>
        <w:spacing w:after="60"/>
        <w:ind w:left="720"/>
        <w:rPr>
          <w:lang w:val="de-DE"/>
        </w:rPr>
      </w:pPr>
      <w:r w:rsidRPr="00571807">
        <w:rPr>
          <w:rFonts w:cs="Tahoma"/>
          <w:b/>
          <w:bCs/>
          <w:color w:val="000000"/>
          <w:szCs w:val="20"/>
          <w:lang w:val="de-DE"/>
        </w:rPr>
        <w:t>Client-Zugriffslizenz- und externe Connector-Lizenzoptionen</w:t>
      </w:r>
    </w:p>
    <w:p w:rsidR="00E73313" w:rsidRPr="00571807" w:rsidRDefault="00E73313" w:rsidP="00BA264B">
      <w:pPr>
        <w:ind w:left="720"/>
        <w:rPr>
          <w:lang w:val="de-DE"/>
        </w:rPr>
      </w:pPr>
      <w:r w:rsidRPr="00571807">
        <w:rPr>
          <w:rFonts w:cs="Tahoma"/>
          <w:color w:val="000000"/>
          <w:szCs w:val="20"/>
          <w:lang w:val="de-DE"/>
        </w:rPr>
        <w:t>Die unter den verschiedenen CALs für Microsoft Dynamics CRM 2011 zulässigen Verwendungszwecke sind in</w:t>
      </w:r>
      <w:r w:rsidR="00BA264B">
        <w:rPr>
          <w:rFonts w:cs="Tahoma"/>
          <w:color w:val="000000"/>
          <w:szCs w:val="20"/>
          <w:lang w:val="de-DE"/>
        </w:rPr>
        <w:t> </w:t>
      </w:r>
      <w:r w:rsidRPr="00571807">
        <w:rPr>
          <w:rFonts w:cs="Tahoma"/>
          <w:color w:val="000000"/>
          <w:szCs w:val="20"/>
          <w:lang w:val="de-DE"/>
        </w:rPr>
        <w:t>der Tabelle unten dargelegt</w:t>
      </w:r>
      <w:r w:rsidR="006257A7">
        <w:rPr>
          <w:rFonts w:cs="Tahoma"/>
          <w:color w:val="000000"/>
          <w:szCs w:val="20"/>
          <w:lang w:val="de-DE"/>
        </w:rPr>
        <w:t xml:space="preserve">. </w:t>
      </w:r>
      <w:r w:rsidRPr="00571807">
        <w:rPr>
          <w:rFonts w:cs="Tahoma"/>
          <w:color w:val="000000"/>
          <w:szCs w:val="20"/>
          <w:lang w:val="de-DE"/>
        </w:rPr>
        <w:t>Die Beschränkte CAL und die Unbeschränkte CAL sind Angebote, die mehrere Lizenzen umfassen</w:t>
      </w:r>
      <w:r w:rsidR="006257A7">
        <w:rPr>
          <w:rFonts w:cs="Tahoma"/>
          <w:color w:val="000000"/>
          <w:szCs w:val="20"/>
          <w:lang w:val="de-DE"/>
        </w:rPr>
        <w:t xml:space="preserve">. </w:t>
      </w:r>
    </w:p>
    <w:p w:rsidR="00E73313" w:rsidRPr="00571807" w:rsidRDefault="00E73313" w:rsidP="00E73313">
      <w:pPr>
        <w:pStyle w:val="ListParagraph"/>
        <w:ind w:left="0"/>
        <w:rPr>
          <w:lang w:val="de-DE"/>
        </w:rPr>
      </w:pPr>
    </w:p>
    <w:tbl>
      <w:tblPr>
        <w:tblW w:w="8950" w:type="dxa"/>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1840"/>
        <w:gridCol w:w="720"/>
        <w:gridCol w:w="900"/>
        <w:gridCol w:w="990"/>
        <w:gridCol w:w="1773"/>
        <w:gridCol w:w="1512"/>
        <w:gridCol w:w="1215"/>
      </w:tblGrid>
      <w:tr w:rsidR="00BA264B" w:rsidRPr="0033725C" w:rsidTr="00382D51">
        <w:trPr>
          <w:trHeight w:val="226"/>
          <w:tblHeader/>
        </w:trPr>
        <w:tc>
          <w:tcPr>
            <w:tcW w:w="1840" w:type="dxa"/>
            <w:shd w:val="clear" w:color="auto" w:fill="FABF8F"/>
          </w:tcPr>
          <w:p w:rsidR="00E73313" w:rsidRPr="00257CF3" w:rsidRDefault="00E73313" w:rsidP="00E328C3">
            <w:pPr>
              <w:pStyle w:val="TableHeading"/>
              <w:rPr>
                <w:rFonts w:ascii="Tahoma" w:hAnsi="Tahoma" w:cs="Tahoma"/>
                <w:color w:val="000000"/>
                <w:sz w:val="18"/>
                <w:szCs w:val="18"/>
              </w:rPr>
            </w:pPr>
            <w:r>
              <w:rPr>
                <w:rFonts w:ascii="Tahoma" w:hAnsi="Tahoma" w:cs="Tahoma"/>
                <w:color w:val="000000"/>
                <w:sz w:val="18"/>
                <w:szCs w:val="18"/>
              </w:rPr>
              <w:t>Nutzungsrecht</w:t>
            </w:r>
          </w:p>
        </w:tc>
        <w:tc>
          <w:tcPr>
            <w:tcW w:w="720" w:type="dxa"/>
            <w:shd w:val="clear" w:color="auto" w:fill="FABF8F"/>
          </w:tcPr>
          <w:p w:rsidR="00E73313" w:rsidRPr="00257CF3" w:rsidRDefault="00E73313" w:rsidP="00E328C3">
            <w:pPr>
              <w:pStyle w:val="TableHeading"/>
              <w:rPr>
                <w:rFonts w:ascii="Tahoma" w:hAnsi="Tahoma" w:cs="Tahoma"/>
                <w:color w:val="000000"/>
                <w:sz w:val="18"/>
                <w:szCs w:val="18"/>
              </w:rPr>
            </w:pPr>
            <w:r>
              <w:rPr>
                <w:rFonts w:ascii="Tahoma" w:hAnsi="Tahoma" w:cs="Tahoma"/>
                <w:color w:val="000000"/>
                <w:sz w:val="18"/>
                <w:szCs w:val="18"/>
              </w:rPr>
              <w:t>ESS-CAL</w:t>
            </w:r>
          </w:p>
        </w:tc>
        <w:tc>
          <w:tcPr>
            <w:tcW w:w="900" w:type="dxa"/>
            <w:shd w:val="clear" w:color="auto" w:fill="FABF8F"/>
          </w:tcPr>
          <w:p w:rsidR="00E73313" w:rsidRPr="00257CF3" w:rsidRDefault="00E73313" w:rsidP="00E328C3">
            <w:pPr>
              <w:pStyle w:val="TableHeading"/>
              <w:rPr>
                <w:rFonts w:ascii="Tahoma" w:hAnsi="Tahoma" w:cs="Tahoma"/>
                <w:color w:val="000000"/>
                <w:sz w:val="18"/>
                <w:szCs w:val="18"/>
              </w:rPr>
            </w:pPr>
            <w:r>
              <w:rPr>
                <w:rFonts w:ascii="Tahoma" w:hAnsi="Tahoma" w:cs="Tahoma"/>
                <w:color w:val="000000"/>
                <w:sz w:val="18"/>
                <w:szCs w:val="18"/>
              </w:rPr>
              <w:t>Beschränkte CAL</w:t>
            </w:r>
          </w:p>
        </w:tc>
        <w:tc>
          <w:tcPr>
            <w:tcW w:w="990" w:type="dxa"/>
            <w:shd w:val="clear" w:color="auto" w:fill="FABF8F"/>
          </w:tcPr>
          <w:p w:rsidR="00E73313" w:rsidRPr="00257CF3" w:rsidRDefault="00E73313" w:rsidP="00E328C3">
            <w:pPr>
              <w:pStyle w:val="TableHeading"/>
              <w:rPr>
                <w:rFonts w:ascii="Tahoma" w:hAnsi="Tahoma" w:cs="Tahoma"/>
                <w:color w:val="000000"/>
                <w:sz w:val="18"/>
                <w:szCs w:val="18"/>
              </w:rPr>
            </w:pPr>
            <w:r>
              <w:rPr>
                <w:rFonts w:ascii="Tahoma" w:hAnsi="Tahoma" w:cs="Tahoma"/>
                <w:color w:val="000000"/>
                <w:sz w:val="18"/>
                <w:szCs w:val="18"/>
              </w:rPr>
              <w:t>Unbeschränkte CAL</w:t>
            </w:r>
          </w:p>
        </w:tc>
        <w:tc>
          <w:tcPr>
            <w:tcW w:w="1773" w:type="dxa"/>
            <w:shd w:val="clear" w:color="auto" w:fill="FABF8F"/>
          </w:tcPr>
          <w:p w:rsidR="00E73313" w:rsidRPr="00571807" w:rsidRDefault="00E73313" w:rsidP="00BA264B">
            <w:pPr>
              <w:pStyle w:val="TableHeading"/>
              <w:rPr>
                <w:rFonts w:ascii="Tahoma" w:hAnsi="Tahoma" w:cs="Tahoma"/>
                <w:color w:val="000000"/>
                <w:sz w:val="18"/>
                <w:szCs w:val="18"/>
                <w:lang w:val="de-DE"/>
              </w:rPr>
            </w:pPr>
            <w:r w:rsidRPr="00571807">
              <w:rPr>
                <w:rFonts w:ascii="Tahoma" w:hAnsi="Tahoma" w:cs="Tahoma"/>
                <w:color w:val="000000"/>
                <w:sz w:val="18"/>
                <w:szCs w:val="18"/>
                <w:lang w:val="de-DE"/>
              </w:rPr>
              <w:t>Zusätzliche CAL</w:t>
            </w:r>
            <w:r w:rsidR="00BA264B">
              <w:rPr>
                <w:rFonts w:ascii="Tahoma" w:hAnsi="Tahoma" w:cs="Tahoma"/>
                <w:color w:val="000000"/>
                <w:sz w:val="18"/>
                <w:szCs w:val="18"/>
                <w:lang w:val="de-DE"/>
              </w:rPr>
              <w:t> </w:t>
            </w:r>
            <w:r w:rsidRPr="00571807">
              <w:rPr>
                <w:rFonts w:ascii="Tahoma" w:hAnsi="Tahoma" w:cs="Tahoma"/>
                <w:color w:val="000000"/>
                <w:sz w:val="18"/>
                <w:szCs w:val="18"/>
                <w:lang w:val="de-DE"/>
              </w:rPr>
              <w:t>zur Eingeschränkten Verwendung</w:t>
            </w:r>
          </w:p>
        </w:tc>
        <w:tc>
          <w:tcPr>
            <w:tcW w:w="1512" w:type="dxa"/>
            <w:shd w:val="clear" w:color="auto" w:fill="FABF8F"/>
          </w:tcPr>
          <w:p w:rsidR="00E73313" w:rsidRPr="00571807" w:rsidRDefault="00E73313" w:rsidP="00E328C3">
            <w:pPr>
              <w:pStyle w:val="TableHeading"/>
              <w:rPr>
                <w:rFonts w:ascii="Tahoma" w:hAnsi="Tahoma" w:cs="Tahoma"/>
                <w:color w:val="000000"/>
                <w:sz w:val="18"/>
                <w:szCs w:val="18"/>
                <w:lang w:val="de-DE"/>
              </w:rPr>
            </w:pPr>
            <w:r w:rsidRPr="00571807">
              <w:rPr>
                <w:rFonts w:ascii="Tahoma" w:hAnsi="Tahoma" w:cs="Tahoma"/>
                <w:color w:val="000000"/>
                <w:sz w:val="18"/>
                <w:szCs w:val="18"/>
                <w:lang w:val="de-DE"/>
              </w:rPr>
              <w:t>Zusätzliche CAL zur Vollständigen Verwendung</w:t>
            </w:r>
          </w:p>
        </w:tc>
        <w:tc>
          <w:tcPr>
            <w:tcW w:w="1215" w:type="dxa"/>
            <w:shd w:val="clear" w:color="auto" w:fill="FABF8F"/>
          </w:tcPr>
          <w:p w:rsidR="00E73313" w:rsidRPr="00257CF3" w:rsidRDefault="00E73313" w:rsidP="00E328C3">
            <w:pPr>
              <w:pStyle w:val="TableHeading"/>
              <w:rPr>
                <w:rFonts w:ascii="Tahoma" w:hAnsi="Tahoma" w:cs="Tahoma"/>
                <w:color w:val="000000"/>
                <w:sz w:val="18"/>
                <w:szCs w:val="18"/>
              </w:rPr>
            </w:pPr>
            <w:r>
              <w:rPr>
                <w:rFonts w:ascii="Tahoma" w:hAnsi="Tahoma" w:cs="Tahoma"/>
                <w:color w:val="000000"/>
                <w:sz w:val="18"/>
                <w:szCs w:val="18"/>
              </w:rPr>
              <w:t>Externer Connector</w:t>
            </w:r>
          </w:p>
        </w:tc>
      </w:tr>
      <w:tr w:rsidR="00BA264B" w:rsidRPr="0061361A" w:rsidTr="00382D51">
        <w:trPr>
          <w:trHeight w:val="199"/>
        </w:trPr>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Konten durch API-Zugriff erstellen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rPr>
          <w:trHeight w:val="352"/>
        </w:trPr>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Kontakte durch API-Zugriff erstellen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Fälle durch API-Zugriff erstellen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Leads durch API-Zugriff erstellen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Aktivitäten durch API-Zugriff erstellen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Notizen durch API-Zugriff erstellen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rPr>
          <w:cantSplit/>
        </w:trPr>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Benutzerdefinierte Entitätsdatensätze durch API-Zugriff erstellen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Konten durch API-Zugriff aktualisieren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Kontakte durch API-Zugriff aktualisieren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Fälle durch API-Zugriff aktualisieren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Leads durch API-Zugriff aktualisieren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Aktivitäten durch API-Zugriff aktualisieren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Notizen durch API-Zugriff aktualisieren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Benutzerdefinierte Entitätsdatensätze durch API-Zugriff aktualisieren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Konten durch API-Zugriff anfügen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Kontakte durch API-Zugriff anfügen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Fälle durch API-Zugriff anfügen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Leads durch API-Zugriff anfügen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Aktivitäten durch API-Zugriff anfügen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Notizen durch API-Zugriff anfügen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Benutzerdefinierte Entitätsdatensätze durch API-Zugriff anfügen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Durch API-Zugriff an Konten anfügen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Durch API-Zugriff an Konten anfügen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Durch API-Zugriff an Fälle anfügen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Durch API-Zugriff an Leads anfügen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Durch API-Zugriff an Aktivitäten anfügen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Durch API-Zugriff an Notizen anfügen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Durch API-Zugriff an benutzerdefinierte Entitätsdatensätze anfügen</w:t>
            </w:r>
          </w:p>
        </w:tc>
        <w:tc>
          <w:tcPr>
            <w:tcW w:w="72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Konten durch API-Zugriff löschen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Kontakte durch API-Zugriff löschen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rPr>
          <w:cantSplit/>
        </w:trPr>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Fälle durch API-Zugriff löschen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Leads durch API-Zugriff löschen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Aktivitäten durch API-Zugriff löschen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Notizen durch API-Zugriff löschen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Benutzerdefinierte Entitätsdatensätze durch API-Zugriff löschen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Konten durch API-Zugriff zuweisen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Kontakte durch API-Zugriff zuweisen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Fälle durch API-Zugriff zuweisen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Leads durch API-Zugriff zuweisen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Aktivitäten durch API-Zugriff zuweisen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Benutzerdefinierte Entitätsdatensätze durch API-Zugriff zuweisen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Konten durch API-Zugriff freigeben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Kontakte durch API-Zugriff freigeben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Fälle durch API-Zugriff freigeben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Leads durch API-Zugriff freigeben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Aktivitäten durch API-Zugriff freigeben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Benutzerdefinierte Entitätsdatensätze durch API-Zugriff freigeben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Konten durch Microsoft Dynamics CRM-Clients erstellen</w:t>
            </w:r>
            <w:r w:rsidRPr="00571807">
              <w:rPr>
                <w:rFonts w:ascii="Tahoma" w:eastAsia="Calibri" w:hAnsi="Tahoma" w:cs="Tahoma"/>
                <w:b/>
                <w:sz w:val="18"/>
                <w:szCs w:val="18"/>
                <w:vertAlign w:val="superscript"/>
                <w:lang w:val="de-DE"/>
              </w:rPr>
              <w:t>1</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Kontakte durch Microsoft Dynamics CRM-Clients erstellen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6C3A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rPr>
          <w:cantSplit/>
        </w:trPr>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Fälle durch Microsoft Dynamics CRM-Clients erstellen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Leads durch Microsoft Dynamics CRM-Clients erstellen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rPr>
          <w:cantSplit/>
        </w:trPr>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Aktivitäten durch Microsoft Dynamics CRM-Clients erstellen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Notizen durch Microsoft Dynamics CRM-Clients erstellen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Konten durch Microsoft Dynamics CRM-Clients aktualisieren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6C3A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Kontakte durch Microsoft Dynamics CRM-Clients aktualisieren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Fälle durch Microsoft Dynamics CRM-Clients aktualisieren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6C3A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Leads durch Microsoft Dynamics CRM-Clients aktualisieren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6C3A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Aktivitäten durch Microsoft Dynamics CRM-Clients aktualisieren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6C3A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Notizen durch Microsoft Dynamics CRM-Clients aktualisieren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6C3A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Konten durch Microsoft Dynamics CRM-Clients anfügen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6C3A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Kontakte durch Microsoft Dynamics CRM-Clients anfügen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6C3A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Fälle durch Microsoft Dynamics CRM-Clients anfügen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6C3A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Leads durch Microsoft Dynamics CRM-Clients anfügen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6C3A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Aktivitäten durch Microsoft Dynamics CRM-Clients anfügen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6C3A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Notizen durch Microsoft Dynamics CRM-Clients anfügen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6C3A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Durch Microsoft Dynamics CRM-Clients an Konten anfügen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6C3A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Durch Microsoft Dynamics CRM-Clients an Kontakte anfügen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Durch Microsoft Dynamics CRM-Clients an Fälle anfügen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Durch Microsoft Dynamics CRM-Clients an Leads anfügen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Durch Microsoft Dynamics CRM-Clients an Aktivitäten anfügen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Durch Microsoft Dynamics CRM-Clients an Notizen anfügen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Konten durch Microsoft Dynamics CRM-Clients löschen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Kontakte durch Microsoft Dynamics CRM-Clients löschen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Fälle durch Microsoft Dynamics CRM-Clients löschen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Leads durch Microsoft Dynamics CRM-Clients löschen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Aktivitäten durch Microsoft Dynamics CRM-Clients löschen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Notizen durch Microsoft Dynamics CRM-Clients löschen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Konten durch Microsoft Dynamics CRM-Clients zuweisen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Kontakte durch Microsoft Dynamics CRM-Clients zuweisen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Fälle durch Microsoft Dynamics CRM-Clients zuweisen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Leads durch Microsoft Dynamics CRM-Clients zuweisen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Aktivitäten durch Microsoft Dynamics CRM-Clients zuweisen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rPr>
          <w:cantSplit/>
          <w:trHeight w:val="309"/>
        </w:trPr>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Konten durch Microsoft Dynamics CRM-Clients freigeben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Kontakte durch Microsoft Dynamics CRM-Clients freigeben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Fälle durch Microsoft Dynamics CRM-Clients freigeben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Leads durch Microsoft Dynamics CRM-Clients freigeben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Aktivitäten durch Microsoft Dynamics CRM-Clients freigeben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r>
              <w:rPr>
                <w:rFonts w:eastAsia="Calibri" w:cs="Segoe UI"/>
                <w:b/>
                <w:sz w:val="24"/>
                <w:szCs w:val="24"/>
                <w:vertAlign w:val="superscript"/>
              </w:rPr>
              <w:t>2</w:t>
            </w:r>
          </w:p>
        </w:tc>
        <w:tc>
          <w:tcPr>
            <w:tcW w:w="990" w:type="dxa"/>
            <w:shd w:val="clear" w:color="auto" w:fill="FFFFFF"/>
          </w:tcPr>
          <w:p w:rsidR="00E73313" w:rsidRPr="004C11FA" w:rsidRDefault="00E73313" w:rsidP="00E328C3">
            <w:pPr>
              <w:pStyle w:val="TableText"/>
              <w:rPr>
                <w:rFonts w:ascii="Segoe" w:eastAsia="Calibri" w:hAnsi="Segoe"/>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2</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Benutzerdefinierte Entitätsdatensätze durch Microsoft Dynamics CRM-Clients erstellen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571807" w:rsidRDefault="00E73313" w:rsidP="00E328C3">
            <w:pPr>
              <w:pStyle w:val="TableText"/>
              <w:rPr>
                <w:rFonts w:eastAsia="Calibri" w:cs="Segoe UI"/>
                <w:b/>
                <w:sz w:val="24"/>
                <w:szCs w:val="24"/>
                <w:lang w:val="de-DE"/>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Benutzerdefinierte Entitätsdatensätze durch Microsoft Dynamics CRM-Clients aktualisieren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571807" w:rsidRDefault="00E73313" w:rsidP="00E328C3">
            <w:pPr>
              <w:pStyle w:val="TableText"/>
              <w:rPr>
                <w:rFonts w:eastAsia="Calibri" w:cs="Segoe UI"/>
                <w:b/>
                <w:sz w:val="24"/>
                <w:szCs w:val="24"/>
                <w:lang w:val="de-DE"/>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Berechtigung für benutzerdefinierte Aktivitätsdatensätze durch Microsoft Dynamics CRM-Clients anhängen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3</w:t>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3</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Berechtigung für benutzerdefinierte Entitätsdatensätze (außer benutzerdefinierte Aktivitätsdatensätze) durch Microsoft Dynamics CRM-Clients anhängen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571807" w:rsidRDefault="00E73313" w:rsidP="00E328C3">
            <w:pPr>
              <w:pStyle w:val="TableText"/>
              <w:rPr>
                <w:rFonts w:eastAsia="Calibri" w:cs="Segoe UI"/>
                <w:b/>
                <w:sz w:val="24"/>
                <w:szCs w:val="24"/>
                <w:lang w:val="de-DE"/>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rPr>
          <w:cantSplit/>
        </w:trPr>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Durch Microsoft Dynamics CRM-Clients an Berechtigung für benutzerdefinierte Entitätsdatensätze anhängen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rPr>
          <w:cantSplit/>
        </w:trPr>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Benutzerdefinierte Entitätsdatensätze durch Microsoft Dynamics CRM-Clients löschen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571807" w:rsidRDefault="00E73313" w:rsidP="00E328C3">
            <w:pPr>
              <w:pStyle w:val="TableText"/>
              <w:rPr>
                <w:rFonts w:eastAsia="Calibri" w:cs="Segoe UI"/>
                <w:b/>
                <w:sz w:val="24"/>
                <w:szCs w:val="24"/>
                <w:lang w:val="de-DE"/>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Benutzerdefinierte Entitätsdatensätze durch Microsoft Dynamics CRM-Clients zuweisen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571807" w:rsidRDefault="00E73313" w:rsidP="00E328C3">
            <w:pPr>
              <w:pStyle w:val="TableText"/>
              <w:rPr>
                <w:rFonts w:eastAsia="Calibri" w:cs="Segoe UI"/>
                <w:b/>
                <w:sz w:val="24"/>
                <w:szCs w:val="24"/>
                <w:lang w:val="de-DE"/>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Benutzerdefinierte Entitätsdatensätze durch Microsoft Dynamics CRM-Clients freigeben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571807" w:rsidRDefault="00E73313" w:rsidP="00E328C3">
            <w:pPr>
              <w:pStyle w:val="TableText"/>
              <w:rPr>
                <w:rFonts w:eastAsia="Calibri" w:cs="Segoe UI"/>
                <w:b/>
                <w:sz w:val="24"/>
                <w:szCs w:val="24"/>
                <w:lang w:val="de-DE"/>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Customer Care Accelerator Framework</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„Erweiterte Suchabfragen“ erstellen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„Erweiterte Suchabfragen“ speichern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Persönliche Ansichten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Systemdashboard erstellen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auto"/>
          </w:tcPr>
          <w:p w:rsidR="00E73313" w:rsidRPr="004C11FA" w:rsidRDefault="00E73313" w:rsidP="00E328C3">
            <w:pPr>
              <w:pStyle w:val="TableText"/>
              <w:rPr>
                <w:rFonts w:eastAsia="Calibri" w:cs="Segoe UI"/>
                <w:b/>
                <w:sz w:val="24"/>
                <w:szCs w:val="24"/>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Systemdashboard freigeben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auto"/>
          </w:tcPr>
          <w:p w:rsidR="00E73313" w:rsidRPr="004C11FA" w:rsidRDefault="00E73313" w:rsidP="00E328C3">
            <w:pPr>
              <w:pStyle w:val="TableText"/>
              <w:rPr>
                <w:rFonts w:eastAsia="Calibri" w:cs="Segoe UI"/>
                <w:b/>
                <w:sz w:val="24"/>
                <w:szCs w:val="24"/>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Persönliches Dashboard erstellen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A0765A" w:rsidRDefault="00E73313" w:rsidP="00E328C3">
            <w:pPr>
              <w:pStyle w:val="TableText"/>
              <w:jc w:val="left"/>
              <w:rPr>
                <w:rFonts w:ascii="Tahoma" w:eastAsia="Calibri" w:hAnsi="Tahoma" w:cs="Tahoma"/>
                <w:sz w:val="18"/>
                <w:szCs w:val="18"/>
              </w:rPr>
            </w:pPr>
            <w:r>
              <w:rPr>
                <w:rFonts w:ascii="Tahoma" w:eastAsia="Calibri" w:hAnsi="Tahoma" w:cs="Tahoma"/>
                <w:sz w:val="18"/>
                <w:szCs w:val="18"/>
              </w:rPr>
              <w:t>Persönliches Dashboard freigeben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F11BEC" w:rsidRDefault="00E73313" w:rsidP="00E328C3">
            <w:pPr>
              <w:pStyle w:val="TableText"/>
              <w:jc w:val="left"/>
              <w:rPr>
                <w:rFonts w:ascii="Tahoma" w:eastAsia="Calibri" w:hAnsi="Tahoma" w:cs="Tahoma"/>
                <w:sz w:val="18"/>
                <w:szCs w:val="18"/>
              </w:rPr>
            </w:pPr>
            <w:r>
              <w:rPr>
                <w:rFonts w:ascii="Tahoma" w:eastAsia="Calibri" w:hAnsi="Tahoma" w:cs="Tahoma"/>
                <w:sz w:val="18"/>
                <w:szCs w:val="18"/>
              </w:rPr>
              <w:t>Workflow erstellen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eastAsia="Calibri" w:cs="Segoe UI"/>
                <w:b/>
                <w:sz w:val="24"/>
                <w:szCs w:val="24"/>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F11BEC" w:rsidRDefault="00E73313" w:rsidP="00E328C3">
            <w:pPr>
              <w:pStyle w:val="TableText"/>
              <w:jc w:val="left"/>
              <w:rPr>
                <w:rFonts w:ascii="Tahoma" w:eastAsia="Calibri" w:hAnsi="Tahoma" w:cs="Tahoma"/>
                <w:sz w:val="18"/>
                <w:szCs w:val="18"/>
              </w:rPr>
            </w:pPr>
            <w:r>
              <w:rPr>
                <w:rFonts w:ascii="Tahoma" w:eastAsia="Calibri" w:hAnsi="Tahoma" w:cs="Tahoma"/>
                <w:sz w:val="18"/>
                <w:szCs w:val="18"/>
              </w:rPr>
              <w:t>Workflow aktualisieren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eastAsia="Calibri" w:cs="Segoe UI"/>
                <w:b/>
                <w:sz w:val="24"/>
                <w:szCs w:val="24"/>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F11BEC" w:rsidRDefault="00E73313" w:rsidP="00E328C3">
            <w:pPr>
              <w:pStyle w:val="TableText"/>
              <w:jc w:val="left"/>
              <w:rPr>
                <w:rFonts w:ascii="Tahoma" w:eastAsia="Calibri" w:hAnsi="Tahoma" w:cs="Tahoma"/>
                <w:sz w:val="18"/>
                <w:szCs w:val="18"/>
              </w:rPr>
            </w:pPr>
            <w:r>
              <w:rPr>
                <w:rFonts w:ascii="Tahoma" w:eastAsia="Calibri" w:hAnsi="Tahoma" w:cs="Tahoma"/>
                <w:sz w:val="18"/>
                <w:szCs w:val="18"/>
              </w:rPr>
              <w:t>Automatisierten Workflow ausführen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auto"/>
          </w:tcPr>
          <w:p w:rsidR="00E73313" w:rsidRPr="00CA14C9"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5</w:t>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5</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F11BEC" w:rsidRDefault="00E73313" w:rsidP="00E328C3">
            <w:pPr>
              <w:pStyle w:val="TableText"/>
              <w:jc w:val="left"/>
              <w:rPr>
                <w:rFonts w:ascii="Tahoma" w:eastAsia="Calibri" w:hAnsi="Tahoma" w:cs="Tahoma"/>
                <w:sz w:val="18"/>
                <w:szCs w:val="18"/>
              </w:rPr>
            </w:pPr>
            <w:r>
              <w:rPr>
                <w:rFonts w:ascii="Tahoma" w:eastAsia="Calibri" w:hAnsi="Tahoma" w:cs="Tahoma"/>
                <w:sz w:val="18"/>
                <w:szCs w:val="18"/>
              </w:rPr>
              <w:t>Bedarfsgesteuerten Workflow ausführen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auto"/>
          </w:tcPr>
          <w:p w:rsidR="00E73313" w:rsidRPr="004C11FA" w:rsidRDefault="00E73313" w:rsidP="00E328C3">
            <w:pPr>
              <w:pStyle w:val="TableText"/>
              <w:rPr>
                <w:rFonts w:eastAsia="Calibri" w:cs="Segoe UI"/>
                <w:b/>
                <w:sz w:val="24"/>
                <w:szCs w:val="24"/>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F11BEC" w:rsidRDefault="00E73313" w:rsidP="00E328C3">
            <w:pPr>
              <w:pStyle w:val="TableText"/>
              <w:jc w:val="left"/>
              <w:rPr>
                <w:rFonts w:ascii="Tahoma" w:eastAsia="Calibri" w:hAnsi="Tahoma" w:cs="Tahoma"/>
                <w:sz w:val="18"/>
                <w:szCs w:val="18"/>
              </w:rPr>
            </w:pPr>
            <w:r>
              <w:rPr>
                <w:rFonts w:ascii="Tahoma" w:eastAsia="Calibri" w:hAnsi="Tahoma" w:cs="Tahoma"/>
                <w:sz w:val="18"/>
                <w:szCs w:val="18"/>
              </w:rPr>
              <w:t>Dialog erstellen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eastAsia="Calibri" w:cs="Segoe UI"/>
                <w:b/>
                <w:sz w:val="24"/>
                <w:szCs w:val="24"/>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F11BEC" w:rsidRDefault="00E73313" w:rsidP="00E328C3">
            <w:pPr>
              <w:pStyle w:val="TableText"/>
              <w:jc w:val="left"/>
              <w:rPr>
                <w:rFonts w:ascii="Tahoma" w:eastAsia="Calibri" w:hAnsi="Tahoma" w:cs="Tahoma"/>
                <w:sz w:val="18"/>
                <w:szCs w:val="18"/>
              </w:rPr>
            </w:pPr>
            <w:r>
              <w:rPr>
                <w:rFonts w:ascii="Tahoma" w:eastAsia="Calibri" w:hAnsi="Tahoma" w:cs="Tahoma"/>
                <w:sz w:val="18"/>
                <w:szCs w:val="18"/>
              </w:rPr>
              <w:t>Dialog aktualisieren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eastAsia="Calibri" w:cs="Segoe UI"/>
                <w:b/>
                <w:sz w:val="24"/>
                <w:szCs w:val="24"/>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F11BEC" w:rsidRDefault="00E73313" w:rsidP="00E328C3">
            <w:pPr>
              <w:pStyle w:val="TableText"/>
              <w:jc w:val="left"/>
              <w:rPr>
                <w:rFonts w:ascii="Tahoma" w:eastAsia="Calibri" w:hAnsi="Tahoma" w:cs="Tahoma"/>
                <w:sz w:val="18"/>
                <w:szCs w:val="18"/>
              </w:rPr>
            </w:pPr>
            <w:r>
              <w:rPr>
                <w:rFonts w:ascii="Tahoma" w:eastAsia="Calibri" w:hAnsi="Tahoma" w:cs="Tahoma"/>
                <w:sz w:val="18"/>
                <w:szCs w:val="18"/>
              </w:rPr>
              <w:t>Dialog starten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auto"/>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5</w:t>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5</w:t>
            </w: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F11BEC" w:rsidRDefault="00E73313" w:rsidP="00E328C3">
            <w:pPr>
              <w:pStyle w:val="TableText"/>
              <w:jc w:val="left"/>
              <w:rPr>
                <w:rFonts w:ascii="Tahoma" w:eastAsia="Calibri" w:hAnsi="Tahoma" w:cs="Tahoma"/>
                <w:sz w:val="18"/>
                <w:szCs w:val="18"/>
              </w:rPr>
            </w:pPr>
            <w:r>
              <w:rPr>
                <w:rFonts w:ascii="Tahoma" w:eastAsia="Calibri" w:hAnsi="Tahoma" w:cs="Tahoma"/>
                <w:sz w:val="18"/>
                <w:szCs w:val="18"/>
              </w:rPr>
              <w:t>Bericht erstellen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F11BEC" w:rsidRDefault="00E73313" w:rsidP="00E328C3">
            <w:pPr>
              <w:pStyle w:val="TableText"/>
              <w:jc w:val="left"/>
              <w:rPr>
                <w:rFonts w:ascii="Tahoma" w:eastAsia="Calibri" w:hAnsi="Tahoma" w:cs="Tahoma"/>
                <w:sz w:val="18"/>
                <w:szCs w:val="18"/>
              </w:rPr>
            </w:pPr>
            <w:r>
              <w:rPr>
                <w:rFonts w:ascii="Tahoma" w:eastAsia="Calibri" w:hAnsi="Tahoma" w:cs="Tahoma"/>
                <w:sz w:val="18"/>
                <w:szCs w:val="18"/>
              </w:rPr>
              <w:t>Bericht ausführen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F11BEC" w:rsidRDefault="00E73313" w:rsidP="00E328C3">
            <w:pPr>
              <w:pStyle w:val="TableText"/>
              <w:jc w:val="left"/>
              <w:rPr>
                <w:rFonts w:ascii="Tahoma" w:eastAsia="Calibri" w:hAnsi="Tahoma" w:cs="Tahoma"/>
                <w:sz w:val="18"/>
                <w:szCs w:val="18"/>
              </w:rPr>
            </w:pPr>
            <w:r>
              <w:rPr>
                <w:rFonts w:ascii="Tahoma" w:eastAsia="Calibri" w:hAnsi="Tahoma" w:cs="Tahoma"/>
                <w:sz w:val="18"/>
                <w:szCs w:val="18"/>
              </w:rPr>
              <w:t>Seriendruck ausführen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eastAsia="Calibri" w:cs="Segoe UI"/>
                <w:b/>
                <w:sz w:val="24"/>
                <w:szCs w:val="24"/>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F11BEC" w:rsidRDefault="00E73313" w:rsidP="00E328C3">
            <w:pPr>
              <w:pStyle w:val="TableText"/>
              <w:jc w:val="left"/>
              <w:rPr>
                <w:rFonts w:ascii="Tahoma" w:eastAsia="Calibri" w:hAnsi="Tahoma" w:cs="Tahoma"/>
                <w:sz w:val="18"/>
                <w:szCs w:val="18"/>
              </w:rPr>
            </w:pPr>
            <w:r>
              <w:rPr>
                <w:rFonts w:ascii="Tahoma" w:eastAsia="Calibri" w:hAnsi="Tahoma" w:cs="Tahoma"/>
                <w:sz w:val="18"/>
                <w:szCs w:val="18"/>
              </w:rPr>
              <w:t>Daten in Microsoft Excel exportieren</w:t>
            </w:r>
          </w:p>
        </w:tc>
        <w:tc>
          <w:tcPr>
            <w:tcW w:w="720" w:type="dxa"/>
            <w:shd w:val="clear" w:color="auto" w:fill="FFFFFF"/>
          </w:tcPr>
          <w:p w:rsidR="00E73313" w:rsidRPr="004C11FA" w:rsidRDefault="00E73313" w:rsidP="00E328C3">
            <w:pPr>
              <w:pStyle w:val="TableText"/>
              <w:rPr>
                <w:rFonts w:eastAsia="Calibri" w:cs="Segoe UI"/>
                <w:b/>
                <w:sz w:val="24"/>
                <w:szCs w:val="24"/>
              </w:rPr>
            </w:pPr>
          </w:p>
        </w:tc>
        <w:tc>
          <w:tcPr>
            <w:tcW w:w="90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rPr>
          <w:cantSplit/>
        </w:trPr>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Aktivitätsfeeds für Konten, Kontakte, Leads und Benutzerdefinierte Entitätsdatensätze durch API-Zugriff verfolgen und veröffentlichen</w:t>
            </w:r>
          </w:p>
        </w:tc>
        <w:tc>
          <w:tcPr>
            <w:tcW w:w="72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90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Aktivitätsfeeds für Dynamics CRM-Standardentitätsdatensätze durch Dynamics CRM-Clients verfolgen und veröffentlichen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Aktivitätsfeeds für benutzerdefinierte Entitätsdatensätze durch Dynamics CRM-Clients verfolgen und veröffentlichen</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571807" w:rsidRDefault="00E73313" w:rsidP="00E328C3">
            <w:pPr>
              <w:pStyle w:val="TableText"/>
              <w:rPr>
                <w:rFonts w:eastAsia="Calibri" w:cs="Segoe UI"/>
                <w:b/>
                <w:sz w:val="24"/>
                <w:szCs w:val="24"/>
                <w:lang w:val="de-DE"/>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Lesezugriff auf gesamte Microsoft Dynamics CRM-Funktionalität</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512" w:type="dxa"/>
            <w:shd w:val="clear" w:color="auto" w:fill="FFFFFF"/>
          </w:tcPr>
          <w:p w:rsidR="00E73313" w:rsidRPr="004C11FA" w:rsidRDefault="00E73313" w:rsidP="00E328C3">
            <w:pPr>
              <w:pStyle w:val="TableText"/>
              <w:rPr>
                <w:rFonts w:eastAsia="Calibri" w:cs="Segoe UI"/>
                <w:b/>
                <w:sz w:val="24"/>
                <w:szCs w:val="24"/>
              </w:rPr>
            </w:pPr>
          </w:p>
        </w:tc>
        <w:tc>
          <w:tcPr>
            <w:tcW w:w="1215"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4</w:t>
            </w:r>
          </w:p>
        </w:tc>
      </w:tr>
      <w:tr w:rsidR="00BA264B" w:rsidRPr="0061361A" w:rsidTr="00382D51">
        <w:tc>
          <w:tcPr>
            <w:tcW w:w="1840" w:type="dxa"/>
            <w:shd w:val="clear" w:color="auto" w:fill="FFFFFF"/>
          </w:tcPr>
          <w:p w:rsidR="00E73313" w:rsidRPr="00571807" w:rsidRDefault="00E73313" w:rsidP="00E328C3">
            <w:pPr>
              <w:pStyle w:val="TableText"/>
              <w:jc w:val="left"/>
              <w:rPr>
                <w:rFonts w:ascii="Tahoma" w:eastAsia="Calibri" w:hAnsi="Tahoma" w:cs="Tahoma"/>
                <w:sz w:val="18"/>
                <w:szCs w:val="18"/>
                <w:lang w:val="de-DE"/>
              </w:rPr>
            </w:pPr>
            <w:r w:rsidRPr="00571807">
              <w:rPr>
                <w:rFonts w:ascii="Tahoma" w:eastAsia="Calibri" w:hAnsi="Tahoma" w:cs="Tahoma"/>
                <w:sz w:val="18"/>
                <w:szCs w:val="18"/>
                <w:lang w:val="de-DE"/>
              </w:rPr>
              <w:t>Schreibzugriff auf gesamte Microsoft Dynamics CRM-Funktionalität</w:t>
            </w:r>
          </w:p>
        </w:tc>
        <w:tc>
          <w:tcPr>
            <w:tcW w:w="720" w:type="dxa"/>
            <w:shd w:val="clear" w:color="auto" w:fill="FFFFFF"/>
          </w:tcPr>
          <w:p w:rsidR="00E73313" w:rsidRPr="00571807" w:rsidRDefault="00E73313" w:rsidP="00E328C3">
            <w:pPr>
              <w:pStyle w:val="TableText"/>
              <w:rPr>
                <w:rFonts w:eastAsia="Calibri" w:cs="Segoe UI"/>
                <w:b/>
                <w:sz w:val="24"/>
                <w:szCs w:val="24"/>
                <w:lang w:val="de-DE"/>
              </w:rPr>
            </w:pPr>
          </w:p>
        </w:tc>
        <w:tc>
          <w:tcPr>
            <w:tcW w:w="900" w:type="dxa"/>
            <w:shd w:val="clear" w:color="auto" w:fill="FFFFFF"/>
          </w:tcPr>
          <w:p w:rsidR="00E73313" w:rsidRPr="00571807" w:rsidRDefault="00E73313" w:rsidP="00E328C3">
            <w:pPr>
              <w:pStyle w:val="TableText"/>
              <w:rPr>
                <w:rFonts w:eastAsia="Calibri" w:cs="Segoe UI"/>
                <w:b/>
                <w:sz w:val="24"/>
                <w:szCs w:val="24"/>
                <w:lang w:val="de-DE"/>
              </w:rPr>
            </w:pPr>
          </w:p>
        </w:tc>
        <w:tc>
          <w:tcPr>
            <w:tcW w:w="990"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773" w:type="dxa"/>
            <w:shd w:val="clear" w:color="auto" w:fill="FFFFFF"/>
          </w:tcPr>
          <w:p w:rsidR="00E73313" w:rsidRPr="004C11FA" w:rsidRDefault="00E73313" w:rsidP="00E328C3">
            <w:pPr>
              <w:pStyle w:val="TableText"/>
              <w:rPr>
                <w:rFonts w:eastAsia="Calibri" w:cs="Segoe UI"/>
                <w:b/>
                <w:sz w:val="24"/>
                <w:szCs w:val="24"/>
              </w:rPr>
            </w:pPr>
          </w:p>
        </w:tc>
        <w:tc>
          <w:tcPr>
            <w:tcW w:w="1512"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p>
        </w:tc>
        <w:tc>
          <w:tcPr>
            <w:tcW w:w="1215" w:type="dxa"/>
            <w:shd w:val="clear" w:color="auto" w:fill="FFFFFF"/>
          </w:tcPr>
          <w:p w:rsidR="00E73313" w:rsidRPr="004C11FA" w:rsidRDefault="00E73313" w:rsidP="00E328C3">
            <w:pPr>
              <w:pStyle w:val="TableText"/>
              <w:rPr>
                <w:rFonts w:eastAsia="Calibri" w:cs="Segoe UI"/>
                <w:b/>
                <w:sz w:val="24"/>
                <w:szCs w:val="24"/>
              </w:rPr>
            </w:pPr>
            <w:r>
              <w:rPr>
                <w:rFonts w:eastAsia="Calibri" w:cs="Segoe UI"/>
                <w:b/>
                <w:sz w:val="24"/>
                <w:szCs w:val="24"/>
              </w:rPr>
              <w:sym w:font="Wingdings" w:char="00FC"/>
            </w:r>
            <w:r>
              <w:rPr>
                <w:rFonts w:eastAsia="Calibri" w:cs="Segoe UI"/>
                <w:b/>
                <w:sz w:val="24"/>
                <w:szCs w:val="24"/>
                <w:vertAlign w:val="superscript"/>
              </w:rPr>
              <w:t>4</w:t>
            </w:r>
          </w:p>
        </w:tc>
      </w:tr>
      <w:tr w:rsidR="00E73313" w:rsidRPr="001B6F67" w:rsidTr="00382D51">
        <w:tc>
          <w:tcPr>
            <w:tcW w:w="8950" w:type="dxa"/>
            <w:gridSpan w:val="7"/>
            <w:shd w:val="clear" w:color="auto" w:fill="FFFFFF"/>
          </w:tcPr>
          <w:p w:rsidR="00E73313" w:rsidRPr="0062435A" w:rsidRDefault="00E73313" w:rsidP="00E328C3">
            <w:pPr>
              <w:pStyle w:val="TableText"/>
              <w:jc w:val="left"/>
            </w:pPr>
            <w:r>
              <w:rPr>
                <w:rFonts w:ascii="Tahoma" w:eastAsia="Calibri" w:hAnsi="Tahoma" w:cs="Tahoma"/>
                <w:i/>
                <w:sz w:val="14"/>
                <w:szCs w:val="18"/>
              </w:rPr>
              <w:t>(1) Microsoft Dynamics CRM-Webclient, Microsoft Dynamics CRM-Client für Microsoft Outlook und Mobile Express für Microsoft Dynamics CRM</w:t>
            </w:r>
            <w:r w:rsidR="006257A7">
              <w:rPr>
                <w:rFonts w:ascii="Tahoma" w:eastAsia="Calibri" w:hAnsi="Tahoma" w:cs="Tahoma"/>
                <w:i/>
                <w:sz w:val="14"/>
                <w:szCs w:val="18"/>
              </w:rPr>
              <w:t xml:space="preserve">. </w:t>
            </w:r>
          </w:p>
          <w:p w:rsidR="00E73313" w:rsidRPr="003002D3" w:rsidRDefault="00E73313" w:rsidP="00E328C3">
            <w:pPr>
              <w:pStyle w:val="TableText"/>
              <w:jc w:val="left"/>
              <w:rPr>
                <w:lang w:val="de-DE"/>
              </w:rPr>
            </w:pPr>
            <w:r w:rsidRPr="003002D3">
              <w:rPr>
                <w:rFonts w:ascii="Tahoma" w:eastAsia="Calibri" w:hAnsi="Tahoma" w:cs="Tahoma"/>
                <w:i/>
                <w:sz w:val="14"/>
                <w:szCs w:val="18"/>
                <w:lang w:val="de-DE"/>
              </w:rPr>
              <w:t>(2) Berechtigungen sind nur auf Datensätze anwendbar, die vom selben Nutzer erstellt wurden</w:t>
            </w:r>
            <w:r w:rsidR="006257A7">
              <w:rPr>
                <w:rFonts w:ascii="Tahoma" w:eastAsia="Calibri" w:hAnsi="Tahoma" w:cs="Tahoma"/>
                <w:i/>
                <w:sz w:val="14"/>
                <w:szCs w:val="18"/>
                <w:lang w:val="de-DE"/>
              </w:rPr>
              <w:t xml:space="preserve">. </w:t>
            </w:r>
          </w:p>
          <w:p w:rsidR="00E73313" w:rsidRPr="003002D3" w:rsidRDefault="00E73313" w:rsidP="00E328C3">
            <w:pPr>
              <w:pStyle w:val="TableText"/>
              <w:jc w:val="left"/>
              <w:rPr>
                <w:lang w:val="de-DE"/>
              </w:rPr>
            </w:pPr>
            <w:r w:rsidRPr="003002D3">
              <w:rPr>
                <w:rFonts w:ascii="Tahoma" w:eastAsia="Calibri" w:hAnsi="Tahoma" w:cs="Tahoma"/>
                <w:i/>
                <w:sz w:val="14"/>
                <w:szCs w:val="18"/>
                <w:lang w:val="de-DE"/>
              </w:rPr>
              <w:t>(3) Datensätze sind NUR auf benutzerdefinierte Aktivitäten anwendbar</w:t>
            </w:r>
            <w:r w:rsidR="006257A7">
              <w:rPr>
                <w:rFonts w:ascii="Tahoma" w:eastAsia="Calibri" w:hAnsi="Tahoma" w:cs="Tahoma"/>
                <w:i/>
                <w:sz w:val="14"/>
                <w:szCs w:val="18"/>
                <w:lang w:val="de-DE"/>
              </w:rPr>
              <w:t xml:space="preserve">. </w:t>
            </w:r>
          </w:p>
          <w:p w:rsidR="00E73313" w:rsidRPr="003002D3" w:rsidRDefault="00E73313" w:rsidP="00E328C3">
            <w:pPr>
              <w:rPr>
                <w:lang w:val="de-DE"/>
              </w:rPr>
            </w:pPr>
            <w:r w:rsidRPr="003002D3">
              <w:rPr>
                <w:rFonts w:eastAsia="Calibri" w:cs="Segoe UI"/>
                <w:i/>
                <w:sz w:val="14"/>
                <w:szCs w:val="18"/>
                <w:lang w:val="de-DE"/>
              </w:rPr>
              <w:t xml:space="preserve">(4) Berechtigungen zum Erstellen von Datensätzen, </w:t>
            </w:r>
            <w:r w:rsidRPr="003002D3">
              <w:rPr>
                <w:rFonts w:eastAsia="Calibri"/>
                <w:bCs/>
                <w:i/>
                <w:sz w:val="14"/>
                <w:szCs w:val="18"/>
                <w:lang w:val="de-DE"/>
              </w:rPr>
              <w:t>Anhängen, Anhängen an und Aktualisieren von</w:t>
            </w:r>
            <w:r w:rsidRPr="003002D3">
              <w:rPr>
                <w:rFonts w:eastAsia="Calibri"/>
                <w:i/>
                <w:sz w:val="14"/>
                <w:szCs w:val="18"/>
                <w:lang w:val="de-DE"/>
              </w:rPr>
              <w:t xml:space="preserve"> </w:t>
            </w:r>
            <w:r w:rsidRPr="003002D3">
              <w:rPr>
                <w:rFonts w:eastAsia="Calibri"/>
                <w:bCs/>
                <w:i/>
                <w:sz w:val="14"/>
                <w:szCs w:val="18"/>
                <w:lang w:val="de-DE"/>
              </w:rPr>
              <w:t>Datensätzen, die von einem CRM-Nutzer erstellt wurden</w:t>
            </w:r>
            <w:r w:rsidR="006257A7">
              <w:rPr>
                <w:rFonts w:eastAsia="Calibri"/>
                <w:bCs/>
                <w:i/>
                <w:sz w:val="14"/>
                <w:szCs w:val="18"/>
                <w:lang w:val="de-DE"/>
              </w:rPr>
              <w:t xml:space="preserve">. </w:t>
            </w:r>
            <w:r w:rsidRPr="003002D3">
              <w:rPr>
                <w:rFonts w:eastAsia="Calibri"/>
                <w:bCs/>
                <w:i/>
                <w:sz w:val="14"/>
                <w:szCs w:val="18"/>
                <w:u w:val="single"/>
                <w:lang w:val="de-DE"/>
              </w:rPr>
              <w:t>Keine Datenberechtigungen</w:t>
            </w:r>
            <w:r w:rsidRPr="003002D3">
              <w:rPr>
                <w:rFonts w:eastAsia="Calibri"/>
                <w:i/>
                <w:sz w:val="14"/>
                <w:szCs w:val="18"/>
                <w:lang w:val="de-DE"/>
              </w:rPr>
              <w:t xml:space="preserve"> zum </w:t>
            </w:r>
            <w:r w:rsidRPr="003002D3">
              <w:rPr>
                <w:rFonts w:eastAsia="Calibri"/>
                <w:bCs/>
                <w:i/>
                <w:sz w:val="14"/>
                <w:szCs w:val="18"/>
                <w:lang w:val="de-DE"/>
              </w:rPr>
              <w:t>Zuweisen, Freigeben oder Löschen</w:t>
            </w:r>
            <w:r w:rsidRPr="003002D3">
              <w:rPr>
                <w:rFonts w:eastAsia="Calibri"/>
                <w:i/>
                <w:sz w:val="14"/>
                <w:szCs w:val="18"/>
                <w:lang w:val="de-DE"/>
              </w:rPr>
              <w:t xml:space="preserve"> von Datensätzen</w:t>
            </w:r>
            <w:r w:rsidR="006257A7">
              <w:rPr>
                <w:rFonts w:eastAsia="Calibri"/>
                <w:i/>
                <w:sz w:val="14"/>
                <w:szCs w:val="18"/>
                <w:lang w:val="de-DE"/>
              </w:rPr>
              <w:t xml:space="preserve">. </w:t>
            </w:r>
            <w:r w:rsidRPr="003002D3">
              <w:rPr>
                <w:rFonts w:eastAsia="Calibri"/>
                <w:bCs/>
                <w:i/>
                <w:sz w:val="14"/>
                <w:szCs w:val="18"/>
                <w:lang w:val="de-DE"/>
              </w:rPr>
              <w:t>Nur API-Zugriff</w:t>
            </w:r>
            <w:r w:rsidR="006257A7">
              <w:rPr>
                <w:rFonts w:eastAsia="Calibri"/>
                <w:bCs/>
                <w:i/>
                <w:sz w:val="14"/>
                <w:szCs w:val="18"/>
                <w:lang w:val="de-DE"/>
              </w:rPr>
              <w:t xml:space="preserve">. </w:t>
            </w:r>
          </w:p>
          <w:p w:rsidR="00E73313" w:rsidRPr="003002D3" w:rsidRDefault="00E73313" w:rsidP="00E328C3">
            <w:pPr>
              <w:rPr>
                <w:rFonts w:eastAsia="Calibri"/>
                <w:b/>
                <w:bCs/>
                <w:szCs w:val="18"/>
                <w:lang w:val="de-DE"/>
              </w:rPr>
            </w:pPr>
            <w:r w:rsidRPr="003002D3">
              <w:rPr>
                <w:rFonts w:eastAsia="Calibri" w:cs="Segoe UI"/>
                <w:i/>
                <w:sz w:val="14"/>
                <w:szCs w:val="18"/>
                <w:lang w:val="de-DE"/>
              </w:rPr>
              <w:t xml:space="preserve">(5) </w:t>
            </w:r>
            <w:r w:rsidRPr="003002D3">
              <w:rPr>
                <w:rFonts w:eastAsia="Calibri"/>
                <w:i/>
                <w:sz w:val="14"/>
                <w:lang w:val="de-DE"/>
              </w:rPr>
              <w:t>Nur Konten, Kontakte, Fälle, Leads, Aktivitäten und Benutzerdefinierte Entitätsdatensätze</w:t>
            </w:r>
            <w:r w:rsidR="006257A7">
              <w:rPr>
                <w:rFonts w:eastAsia="Calibri"/>
                <w:i/>
                <w:sz w:val="14"/>
                <w:lang w:val="de-DE"/>
              </w:rPr>
              <w:t xml:space="preserve">. </w:t>
            </w:r>
          </w:p>
        </w:tc>
      </w:tr>
    </w:tbl>
    <w:p w:rsidR="00E73313" w:rsidRPr="00BA264B" w:rsidRDefault="00E73313" w:rsidP="00BA264B">
      <w:pPr>
        <w:spacing w:line="180" w:lineRule="auto"/>
        <w:ind w:left="540"/>
        <w:rPr>
          <w:sz w:val="16"/>
          <w:szCs w:val="16"/>
          <w:lang w:val="de-DE"/>
        </w:rPr>
      </w:pPr>
    </w:p>
    <w:p w:rsidR="00E73313" w:rsidRPr="003002D3" w:rsidRDefault="00E73313" w:rsidP="00E73313">
      <w:pPr>
        <w:ind w:left="720"/>
        <w:rPr>
          <w:lang w:val="de-DE"/>
        </w:rPr>
      </w:pPr>
      <w:r w:rsidRPr="003002D3">
        <w:rPr>
          <w:lang w:val="de-DE"/>
        </w:rPr>
        <w:t>Weitere Informationen zu Microsoft Dynamics CRM-Lizenzen finden Sie im Preis- und Lizenzleitfaden zu Microsoft Dynamics CRM 2011</w:t>
      </w:r>
      <w:r w:rsidR="006257A7">
        <w:rPr>
          <w:lang w:val="de-DE"/>
        </w:rPr>
        <w:t xml:space="preserve">. </w:t>
      </w:r>
      <w:bookmarkStart w:id="1400" w:name="_69_Office_365"/>
      <w:bookmarkStart w:id="1401" w:name="_69_68_Office"/>
      <w:bookmarkEnd w:id="1400"/>
      <w:bookmarkEnd w:id="1401"/>
    </w:p>
    <w:p w:rsidR="00E73313" w:rsidRPr="00BA264B" w:rsidRDefault="00E73313" w:rsidP="00BA264B">
      <w:pPr>
        <w:spacing w:line="180" w:lineRule="auto"/>
        <w:rPr>
          <w:sz w:val="16"/>
          <w:szCs w:val="16"/>
          <w:lang w:val="de-DE"/>
        </w:rPr>
      </w:pPr>
      <w:bookmarkStart w:id="1402" w:name="_71_Office_365_1"/>
      <w:bookmarkStart w:id="1403" w:name="_Toc336338329"/>
      <w:bookmarkStart w:id="1404" w:name="Srv_70Office365PlanE1"/>
      <w:bookmarkEnd w:id="1402"/>
    </w:p>
    <w:p w:rsidR="00E73313" w:rsidRPr="00BA264B" w:rsidRDefault="00E73313" w:rsidP="00BA264B">
      <w:pPr>
        <w:spacing w:line="180" w:lineRule="auto"/>
        <w:rPr>
          <w:sz w:val="16"/>
          <w:szCs w:val="16"/>
          <w:lang w:val="de-DE"/>
        </w:rPr>
      </w:pPr>
    </w:p>
    <w:p w:rsidR="00E73313" w:rsidRPr="003002D3" w:rsidRDefault="00E73313" w:rsidP="00E73313">
      <w:pPr>
        <w:pStyle w:val="Heading2"/>
        <w:ind w:left="0"/>
        <w:rPr>
          <w:lang w:val="nn-NO"/>
        </w:rPr>
      </w:pPr>
      <w:bookmarkStart w:id="1405" w:name="_66_Microsoft_Dynamics"/>
      <w:bookmarkStart w:id="1406" w:name="_71_Microsoft_Dynamics"/>
      <w:bookmarkStart w:id="1407" w:name="_74_Microsoft_Dynamics"/>
      <w:bookmarkStart w:id="1408" w:name="_Toc363999071"/>
      <w:bookmarkEnd w:id="1405"/>
      <w:bookmarkEnd w:id="1406"/>
      <w:bookmarkEnd w:id="1407"/>
      <w:r w:rsidRPr="003002D3">
        <w:rPr>
          <w:rFonts w:ascii="Tahoma" w:hAnsi="Tahoma" w:cs="Tahoma"/>
          <w:caps/>
          <w:color w:val="FF6600"/>
          <w:sz w:val="22"/>
          <w:szCs w:val="22"/>
          <w:vertAlign w:val="superscript"/>
          <w:lang w:val="nn-NO"/>
        </w:rPr>
        <w:t>74</w:t>
      </w:r>
      <w:r w:rsidRPr="00BA264B">
        <w:rPr>
          <w:rFonts w:ascii="Tahoma" w:hAnsi="Tahoma" w:cs="Tahoma"/>
          <w:caps/>
          <w:color w:val="FF6600"/>
          <w:sz w:val="22"/>
          <w:szCs w:val="22"/>
          <w:lang w:val="nn-NO"/>
        </w:rPr>
        <w:t xml:space="preserve"> </w:t>
      </w:r>
      <w:r w:rsidRPr="003002D3">
        <w:rPr>
          <w:rFonts w:ascii="Tahoma" w:hAnsi="Tahoma" w:cs="Tahoma"/>
          <w:color w:val="FF6600"/>
          <w:sz w:val="22"/>
          <w:szCs w:val="22"/>
          <w:lang w:val="nn-NO"/>
        </w:rPr>
        <w:t>Microsoft Dynamics CRM 2011 Server</w:t>
      </w:r>
      <w:bookmarkEnd w:id="1408"/>
    </w:p>
    <w:p w:rsidR="00E73313" w:rsidRPr="00BA264B" w:rsidRDefault="00E73313" w:rsidP="00BA264B">
      <w:pPr>
        <w:tabs>
          <w:tab w:val="left" w:pos="1800"/>
        </w:tabs>
        <w:spacing w:line="180" w:lineRule="auto"/>
        <w:rPr>
          <w:sz w:val="16"/>
          <w:szCs w:val="16"/>
          <w:lang w:val="nn-NO"/>
        </w:rPr>
      </w:pPr>
    </w:p>
    <w:p w:rsidR="00E73313" w:rsidRPr="007920AE" w:rsidRDefault="00E73313" w:rsidP="00E73313">
      <w:pPr>
        <w:spacing w:after="60"/>
        <w:ind w:left="720"/>
        <w:rPr>
          <w:lang w:val="nn-NO"/>
        </w:rPr>
      </w:pPr>
      <w:r w:rsidRPr="007920AE">
        <w:rPr>
          <w:b/>
          <w:lang w:val="nn-NO"/>
        </w:rPr>
        <w:t>Microsoft Dynamics CRM Server 2011 – Microsoft Dynamics Marketing Online-Integrationsgewährung</w:t>
      </w:r>
    </w:p>
    <w:p w:rsidR="00E73313" w:rsidRDefault="00E73313" w:rsidP="00E73313">
      <w:pPr>
        <w:ind w:left="720"/>
        <w:rPr>
          <w:rFonts w:eastAsia="Calibri" w:cs="Tahoma"/>
          <w:color w:val="000000"/>
          <w:szCs w:val="18"/>
          <w:lang w:val="de-DE"/>
        </w:rPr>
      </w:pPr>
      <w:r w:rsidRPr="003002D3">
        <w:rPr>
          <w:rFonts w:eastAsia="Calibri" w:cs="Tahoma"/>
          <w:color w:val="000000"/>
          <w:szCs w:val="18"/>
          <w:lang w:val="nn-NO"/>
        </w:rPr>
        <w:t xml:space="preserve">Der folgende Lizenzverzicht gilt für lizenzierte Nutzer von Microsoft Dynamics Marketing Online mit aktivem Wartungssupport und Upgrade-Option für den direkten oder indirekten Zugriff auf den Microsoft Dynamics CRM Server 2011 über den </w:t>
      </w:r>
      <w:r w:rsidRPr="003002D3">
        <w:rPr>
          <w:bCs/>
          <w:lang w:val="nn-NO"/>
        </w:rPr>
        <w:t>MarketingPilot Connector für Microsoft Dynamics CRM-</w:t>
      </w:r>
      <w:r w:rsidRPr="003002D3">
        <w:rPr>
          <w:rFonts w:eastAsia="Calibri" w:cs="Tahoma"/>
          <w:color w:val="000000"/>
          <w:szCs w:val="18"/>
          <w:lang w:val="nn-NO"/>
        </w:rPr>
        <w:t>Software ausschließlich zum Synchronisieren von Kundendaten</w:t>
      </w:r>
      <w:r w:rsidR="006257A7">
        <w:rPr>
          <w:rFonts w:eastAsia="Calibri" w:cs="Tahoma"/>
          <w:color w:val="000000"/>
          <w:szCs w:val="18"/>
          <w:lang w:val="nn-NO"/>
        </w:rPr>
        <w:t xml:space="preserve">. </w:t>
      </w:r>
      <w:r w:rsidRPr="003002D3">
        <w:rPr>
          <w:rFonts w:eastAsia="Calibri" w:cs="Tahoma"/>
          <w:color w:val="000000"/>
          <w:szCs w:val="18"/>
          <w:lang w:val="de-DE"/>
        </w:rPr>
        <w:t>Diese Nutzer benötigen keine CAL für Microsoft Dynamics CRM 2011</w:t>
      </w:r>
      <w:r w:rsidR="006257A7">
        <w:rPr>
          <w:rFonts w:eastAsia="Calibri" w:cs="Tahoma"/>
          <w:color w:val="000000"/>
          <w:szCs w:val="18"/>
          <w:lang w:val="de-DE"/>
        </w:rPr>
        <w:t xml:space="preserve">. </w:t>
      </w:r>
      <w:r w:rsidRPr="003002D3">
        <w:rPr>
          <w:rFonts w:eastAsia="Calibri" w:cs="Tahoma"/>
          <w:color w:val="000000"/>
          <w:szCs w:val="18"/>
          <w:lang w:val="de-DE"/>
        </w:rPr>
        <w:t>Dieser Verzicht gilt bis zum 30</w:t>
      </w:r>
      <w:r w:rsidR="006257A7">
        <w:rPr>
          <w:rFonts w:eastAsia="Calibri" w:cs="Tahoma"/>
          <w:color w:val="000000"/>
          <w:szCs w:val="18"/>
          <w:lang w:val="de-DE"/>
        </w:rPr>
        <w:t xml:space="preserve">. </w:t>
      </w:r>
      <w:r w:rsidRPr="003002D3">
        <w:rPr>
          <w:rFonts w:eastAsia="Calibri" w:cs="Tahoma"/>
          <w:color w:val="000000"/>
          <w:szCs w:val="18"/>
          <w:lang w:val="de-DE"/>
        </w:rPr>
        <w:t>Juni 2014</w:t>
      </w:r>
      <w:r w:rsidR="006257A7">
        <w:rPr>
          <w:rFonts w:eastAsia="Calibri" w:cs="Tahoma"/>
          <w:color w:val="000000"/>
          <w:szCs w:val="18"/>
          <w:lang w:val="de-DE"/>
        </w:rPr>
        <w:t xml:space="preserve">. </w:t>
      </w:r>
      <w:r w:rsidRPr="003002D3">
        <w:rPr>
          <w:rFonts w:eastAsia="Calibri" w:cs="Tahoma"/>
          <w:color w:val="000000"/>
          <w:szCs w:val="18"/>
          <w:lang w:val="de-DE"/>
        </w:rPr>
        <w:t>Danach behält sich Microsoft das Recht vor, entsprechende CALs zu verlangen</w:t>
      </w:r>
      <w:r w:rsidR="006257A7">
        <w:rPr>
          <w:rFonts w:eastAsia="Calibri" w:cs="Tahoma"/>
          <w:color w:val="000000"/>
          <w:szCs w:val="18"/>
          <w:lang w:val="de-DE"/>
        </w:rPr>
        <w:t xml:space="preserve">. </w:t>
      </w:r>
    </w:p>
    <w:p w:rsidR="00E73313" w:rsidRPr="003002D3" w:rsidRDefault="00E73313" w:rsidP="00E73313">
      <w:pPr>
        <w:pStyle w:val="Heading3"/>
        <w:rPr>
          <w:lang w:val="de-DE"/>
        </w:rPr>
      </w:pPr>
      <w:bookmarkStart w:id="1409" w:name="_75_Microsoft_Learning"/>
      <w:bookmarkStart w:id="1410" w:name="_Toc363999072"/>
      <w:bookmarkEnd w:id="1409"/>
      <w:r w:rsidRPr="003002D3">
        <w:rPr>
          <w:rFonts w:ascii="Tahoma" w:hAnsi="Tahoma"/>
          <w:caps/>
          <w:color w:val="F66400"/>
          <w:sz w:val="22"/>
          <w:vertAlign w:val="superscript"/>
          <w:lang w:val="de-DE"/>
        </w:rPr>
        <w:t>75</w:t>
      </w:r>
      <w:r w:rsidRPr="003002D3">
        <w:rPr>
          <w:rFonts w:ascii="Tahoma" w:hAnsi="Tahoma"/>
          <w:color w:val="F66400"/>
          <w:sz w:val="22"/>
          <w:lang w:val="de-DE"/>
        </w:rPr>
        <w:t xml:space="preserve"> Microsoft Learning MCP Prüfungsgutscheine</w:t>
      </w:r>
      <w:bookmarkEnd w:id="1410"/>
    </w:p>
    <w:p w:rsidR="00E73313" w:rsidRPr="003002D3" w:rsidRDefault="00E73313" w:rsidP="00E73313">
      <w:pPr>
        <w:pStyle w:val="EndnoteText"/>
        <w:rPr>
          <w:lang w:val="de-DE"/>
        </w:rPr>
      </w:pPr>
    </w:p>
    <w:p w:rsidR="00E73313" w:rsidRPr="003002D3" w:rsidRDefault="00E73313" w:rsidP="00E73313">
      <w:pPr>
        <w:pStyle w:val="EndnoteText"/>
        <w:ind w:left="720"/>
        <w:rPr>
          <w:lang w:val="de-DE"/>
        </w:rPr>
      </w:pPr>
      <w:r w:rsidRPr="003002D3">
        <w:rPr>
          <w:rFonts w:ascii="Tahoma" w:hAnsi="Tahoma" w:cs="Tahoma"/>
          <w:sz w:val="18"/>
          <w:lang w:val="de-DE"/>
        </w:rPr>
        <w:t>Alle Gutscheine werden sofort bereitgestellt und können jederzeit innerhalb von 12 Monaten ab Kaufdatum verwendet werden</w:t>
      </w:r>
      <w:r w:rsidR="006257A7">
        <w:rPr>
          <w:rFonts w:ascii="Tahoma" w:hAnsi="Tahoma" w:cs="Tahoma"/>
          <w:sz w:val="18"/>
          <w:lang w:val="de-DE"/>
        </w:rPr>
        <w:t xml:space="preserve">. </w:t>
      </w:r>
      <w:r w:rsidRPr="003002D3">
        <w:rPr>
          <w:rFonts w:ascii="Tahoma" w:hAnsi="Tahoma" w:cs="Tahoma"/>
          <w:bCs/>
          <w:color w:val="000000"/>
          <w:sz w:val="18"/>
          <w:szCs w:val="20"/>
          <w:lang w:val="de-DE"/>
        </w:rPr>
        <w:t>Preise und Zahlungsbestimmungen für Onlinedienste finden Sie in</w:t>
      </w:r>
      <w:hyperlink w:anchor="_Section_10_–" w:history="1">
        <w:r w:rsidRPr="003002D3">
          <w:rPr>
            <w:rStyle w:val="Hyperlink"/>
            <w:rFonts w:ascii="Tahoma" w:hAnsi="Tahoma" w:cs="Tahoma"/>
            <w:sz w:val="18"/>
            <w:lang w:val="de-DE"/>
          </w:rPr>
          <w:t xml:space="preserve"> Abschnitt 10</w:t>
        </w:r>
      </w:hyperlink>
      <w:r w:rsidR="006257A7">
        <w:rPr>
          <w:rFonts w:ascii="Tahoma" w:hAnsi="Tahoma" w:cs="Tahoma"/>
          <w:bCs/>
          <w:color w:val="000000"/>
          <w:sz w:val="18"/>
          <w:szCs w:val="20"/>
          <w:lang w:val="de-DE"/>
        </w:rPr>
        <w:t xml:space="preserve">. </w:t>
      </w:r>
    </w:p>
    <w:p w:rsidR="00E73313" w:rsidRPr="003002D3" w:rsidRDefault="00E73313" w:rsidP="00E73313">
      <w:pPr>
        <w:pStyle w:val="EndnoteText"/>
        <w:ind w:left="720"/>
        <w:rPr>
          <w:lang w:val="de-DE"/>
        </w:rPr>
      </w:pPr>
    </w:p>
    <w:p w:rsidR="00E73313" w:rsidRPr="003002D3" w:rsidRDefault="00E73313" w:rsidP="00E73313">
      <w:pPr>
        <w:spacing w:after="60"/>
        <w:ind w:left="720"/>
        <w:rPr>
          <w:lang w:val="de-DE"/>
        </w:rPr>
      </w:pPr>
      <w:r w:rsidRPr="003002D3">
        <w:rPr>
          <w:b/>
          <w:color w:val="000000"/>
          <w:lang w:val="de-DE"/>
        </w:rPr>
        <w:t>Lizenz für Microsoft Office Specialist (MOS)-Zertifizierungsprüfungs-Website</w:t>
      </w:r>
    </w:p>
    <w:p w:rsidR="00E73313" w:rsidRPr="003002D3" w:rsidRDefault="00E73313" w:rsidP="00BA264B">
      <w:pPr>
        <w:ind w:left="720"/>
        <w:rPr>
          <w:lang w:val="de-DE"/>
        </w:rPr>
      </w:pPr>
      <w:r w:rsidRPr="003002D3">
        <w:rPr>
          <w:color w:val="000000"/>
          <w:lang w:val="de-DE"/>
        </w:rPr>
        <w:t>Sie sind verpflichtet, ein autorisiertes Certiport-Testzentrum zu sein, um die Websitelizenz zu nutzen</w:t>
      </w:r>
      <w:r w:rsidR="006257A7">
        <w:rPr>
          <w:color w:val="000000"/>
          <w:lang w:val="de-DE"/>
        </w:rPr>
        <w:t xml:space="preserve">. </w:t>
      </w:r>
      <w:r w:rsidRPr="003002D3">
        <w:rPr>
          <w:color w:val="000000"/>
          <w:lang w:val="de-DE"/>
        </w:rPr>
        <w:t>Wenn</w:t>
      </w:r>
      <w:r w:rsidR="00BA264B">
        <w:rPr>
          <w:color w:val="000000"/>
          <w:lang w:val="de-DE"/>
        </w:rPr>
        <w:t> </w:t>
      </w:r>
      <w:r w:rsidRPr="003002D3">
        <w:rPr>
          <w:color w:val="000000"/>
          <w:lang w:val="de-DE"/>
        </w:rPr>
        <w:t>Sie kein autorisiertes Certiport-Testzentrum sind, müssen Sie diesen Prozess durchlaufen, um ein Certiport-Testzentrum zu werden, bevor Sie die Websitelizenz nutzen können</w:t>
      </w:r>
      <w:r w:rsidR="006257A7">
        <w:rPr>
          <w:color w:val="000000"/>
          <w:lang w:val="de-DE"/>
        </w:rPr>
        <w:t xml:space="preserve">. </w:t>
      </w:r>
      <w:r w:rsidRPr="003002D3">
        <w:rPr>
          <w:color w:val="000000"/>
          <w:lang w:val="de-DE"/>
        </w:rPr>
        <w:t>Die Websitelizenz verliert automatisch nach 12 Monaten nach dem Kaufdatum ihre Gültigkeit</w:t>
      </w:r>
      <w:r w:rsidR="006257A7">
        <w:rPr>
          <w:color w:val="000000"/>
          <w:lang w:val="de-DE"/>
        </w:rPr>
        <w:t xml:space="preserve">. </w:t>
      </w:r>
      <w:r w:rsidRPr="003002D3">
        <w:rPr>
          <w:color w:val="000000"/>
          <w:lang w:val="de-DE"/>
        </w:rPr>
        <w:t>Alle nicht in Anspruch genommenen Zertifizierungsprüfungen verfallen</w:t>
      </w:r>
      <w:r w:rsidR="006257A7">
        <w:rPr>
          <w:color w:val="000000"/>
          <w:lang w:val="de-DE"/>
        </w:rPr>
        <w:t xml:space="preserve">. </w:t>
      </w:r>
    </w:p>
    <w:p w:rsidR="00E73313" w:rsidRPr="003002D3" w:rsidRDefault="00E73313" w:rsidP="00E73313">
      <w:pPr>
        <w:pStyle w:val="EndnoteText"/>
        <w:ind w:left="0"/>
        <w:rPr>
          <w:lang w:val="de-DE"/>
        </w:rPr>
      </w:pPr>
    </w:p>
    <w:p w:rsidR="00E73313" w:rsidRPr="003002D3" w:rsidRDefault="00E73313" w:rsidP="00E73313">
      <w:pPr>
        <w:spacing w:after="60"/>
        <w:ind w:left="720"/>
        <w:rPr>
          <w:lang w:val="de-DE"/>
        </w:rPr>
      </w:pPr>
      <w:r w:rsidRPr="003002D3">
        <w:rPr>
          <w:b/>
          <w:color w:val="000000"/>
          <w:lang w:val="de-DE"/>
        </w:rPr>
        <w:t>Lizenz für Microsoft Technology Associate (MTA)-Zertifizierungsprüfungs-Website</w:t>
      </w:r>
    </w:p>
    <w:p w:rsidR="00E73313" w:rsidRDefault="00E73313" w:rsidP="00BA264B">
      <w:pPr>
        <w:ind w:left="720"/>
        <w:rPr>
          <w:color w:val="000000"/>
          <w:lang w:val="de-DE"/>
        </w:rPr>
      </w:pPr>
      <w:r w:rsidRPr="003002D3">
        <w:rPr>
          <w:color w:val="000000"/>
          <w:lang w:val="de-DE"/>
        </w:rPr>
        <w:t>Sie sind verpflichtet, ein autorisiertes Certiport-Testzentrum zu sein, um die Websitelizenz zu nutzen</w:t>
      </w:r>
      <w:r w:rsidR="006257A7">
        <w:rPr>
          <w:color w:val="000000"/>
          <w:lang w:val="de-DE"/>
        </w:rPr>
        <w:t xml:space="preserve">. </w:t>
      </w:r>
      <w:r w:rsidRPr="003002D3">
        <w:rPr>
          <w:color w:val="000000"/>
          <w:lang w:val="de-DE"/>
        </w:rPr>
        <w:t>Wenn</w:t>
      </w:r>
      <w:r w:rsidR="00BA264B">
        <w:rPr>
          <w:color w:val="000000"/>
          <w:lang w:val="de-DE"/>
        </w:rPr>
        <w:t> </w:t>
      </w:r>
      <w:r w:rsidRPr="003002D3">
        <w:rPr>
          <w:color w:val="000000"/>
          <w:lang w:val="de-DE"/>
        </w:rPr>
        <w:t>Sie kein autorisiertes Certiport-Testzentrum sind, müssen Sie diesen Prozess durchlaufen, um ein Certiport-Testzentrum zu werden, bevor Sie die Websitelizenz nutzen können</w:t>
      </w:r>
      <w:r w:rsidR="006257A7">
        <w:rPr>
          <w:color w:val="000000"/>
          <w:lang w:val="de-DE"/>
        </w:rPr>
        <w:t xml:space="preserve">. </w:t>
      </w:r>
      <w:r w:rsidRPr="003002D3">
        <w:rPr>
          <w:color w:val="000000"/>
          <w:lang w:val="de-DE"/>
        </w:rPr>
        <w:t>Die Websitelizenz verliert automatisch nach 12 Monaten nach dem Kaufdatum ihre Gültigkeit</w:t>
      </w:r>
      <w:r w:rsidR="006257A7">
        <w:rPr>
          <w:color w:val="000000"/>
          <w:lang w:val="de-DE"/>
        </w:rPr>
        <w:t xml:space="preserve">. </w:t>
      </w:r>
      <w:r w:rsidRPr="003002D3">
        <w:rPr>
          <w:color w:val="000000"/>
          <w:lang w:val="de-DE"/>
        </w:rPr>
        <w:t>Alle nicht in Anspruch genommenen Zertifizierungsprüfungen verfallen</w:t>
      </w:r>
      <w:r w:rsidR="006257A7">
        <w:rPr>
          <w:color w:val="000000"/>
          <w:lang w:val="de-DE"/>
        </w:rPr>
        <w:t xml:space="preserve">. </w:t>
      </w:r>
    </w:p>
    <w:p w:rsidR="00BA264B" w:rsidRDefault="00BA264B" w:rsidP="00BA264B">
      <w:pPr>
        <w:ind w:left="720"/>
        <w:rPr>
          <w:color w:val="000000"/>
          <w:lang w:val="de-DE"/>
        </w:rPr>
      </w:pPr>
    </w:p>
    <w:p w:rsidR="00BA264B" w:rsidRPr="003002D3" w:rsidRDefault="00BA264B" w:rsidP="00BA264B">
      <w:pPr>
        <w:ind w:left="720"/>
        <w:rPr>
          <w:lang w:val="de-DE"/>
        </w:rPr>
      </w:pPr>
    </w:p>
    <w:p w:rsidR="00E73313" w:rsidRPr="003002D3" w:rsidRDefault="00E73313" w:rsidP="00E73313">
      <w:pPr>
        <w:pStyle w:val="Heading2"/>
        <w:ind w:left="0"/>
        <w:rPr>
          <w:lang w:val="de-DE"/>
        </w:rPr>
      </w:pPr>
      <w:bookmarkStart w:id="1411" w:name="_70_68_Office"/>
      <w:bookmarkStart w:id="1412" w:name="_75_Office_365"/>
      <w:bookmarkStart w:id="1413" w:name="_71_Office_365"/>
      <w:bookmarkStart w:id="1414" w:name="_69_Office_365_1"/>
      <w:bookmarkStart w:id="1415" w:name="_76_Office_365"/>
      <w:bookmarkStart w:id="1416" w:name="_Toc363999073"/>
      <w:bookmarkEnd w:id="1403"/>
      <w:bookmarkEnd w:id="1404"/>
      <w:bookmarkEnd w:id="1411"/>
      <w:bookmarkEnd w:id="1412"/>
      <w:bookmarkEnd w:id="1413"/>
      <w:bookmarkEnd w:id="1414"/>
      <w:bookmarkEnd w:id="1415"/>
      <w:r w:rsidRPr="003002D3">
        <w:rPr>
          <w:rFonts w:ascii="Tahoma" w:hAnsi="Tahoma" w:cs="Tahoma"/>
          <w:caps/>
          <w:color w:val="F66400"/>
          <w:sz w:val="22"/>
          <w:szCs w:val="20"/>
          <w:vertAlign w:val="superscript"/>
          <w:lang w:val="de-DE"/>
        </w:rPr>
        <w:t>76</w:t>
      </w:r>
      <w:r w:rsidRPr="00BA264B">
        <w:rPr>
          <w:rFonts w:ascii="Tahoma" w:hAnsi="Tahoma" w:cs="Tahoma"/>
          <w:caps/>
          <w:color w:val="F66400"/>
          <w:sz w:val="22"/>
          <w:szCs w:val="20"/>
          <w:lang w:val="de-DE"/>
        </w:rPr>
        <w:t xml:space="preserve"> </w:t>
      </w:r>
      <w:r w:rsidRPr="003002D3">
        <w:rPr>
          <w:rFonts w:ascii="Tahoma" w:hAnsi="Tahoma" w:cs="Tahoma"/>
          <w:color w:val="FF6600"/>
          <w:sz w:val="22"/>
          <w:szCs w:val="22"/>
          <w:lang w:val="de-DE"/>
        </w:rPr>
        <w:t>Office 365 Enterprise K1 (Nutzer-AL)</w:t>
      </w:r>
      <w:bookmarkEnd w:id="1416"/>
    </w:p>
    <w:p w:rsidR="00E73313" w:rsidRPr="003002D3" w:rsidRDefault="00E73313" w:rsidP="00E73313">
      <w:pPr>
        <w:ind w:left="720"/>
        <w:rPr>
          <w:lang w:val="de-DE"/>
        </w:rPr>
      </w:pPr>
    </w:p>
    <w:p w:rsidR="00E73313" w:rsidRPr="003002D3" w:rsidRDefault="00E73313" w:rsidP="00E73313">
      <w:pPr>
        <w:ind w:left="720"/>
        <w:rPr>
          <w:lang w:val="de-DE"/>
        </w:rPr>
      </w:pPr>
      <w:r w:rsidRPr="003002D3">
        <w:rPr>
          <w:rFonts w:cs="Tahoma"/>
          <w:color w:val="000000"/>
          <w:szCs w:val="18"/>
          <w:lang w:val="de-DE"/>
        </w:rPr>
        <w:t>Ungeachtet gegenteiliger Bestimmungen in den Lizenzverträgen von Kunden umfassen qualifizierte Nutzer keine Nutzer mit Lizenzen für Exchange Online Kiosk, SharePoint Online Kiosk oder Office 365 Enterprise K1</w:t>
      </w:r>
      <w:r w:rsidR="006257A7">
        <w:rPr>
          <w:rFonts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BA264B">
      <w:pPr>
        <w:ind w:left="720"/>
        <w:rPr>
          <w:lang w:val="de-DE"/>
        </w:rPr>
      </w:pPr>
      <w:r w:rsidRPr="003002D3">
        <w:rPr>
          <w:rFonts w:cs="Tahoma"/>
          <w:color w:val="000000"/>
          <w:szCs w:val="18"/>
          <w:lang w:val="de-DE"/>
        </w:rPr>
        <w:t>Office 365 Enterprise K1 hieß zuvor Business Productivity Online Deskless Suite (BPOS Deskless)</w:t>
      </w:r>
      <w:r w:rsidR="006257A7">
        <w:rPr>
          <w:rFonts w:cs="Tahoma"/>
          <w:color w:val="000000"/>
          <w:szCs w:val="18"/>
          <w:lang w:val="de-DE"/>
        </w:rPr>
        <w:t xml:space="preserve">. </w:t>
      </w:r>
      <w:r w:rsidRPr="003002D3">
        <w:rPr>
          <w:rFonts w:cs="Tahoma"/>
          <w:color w:val="000000"/>
          <w:szCs w:val="18"/>
          <w:lang w:val="de-DE"/>
        </w:rPr>
        <w:t>Kunden in</w:t>
      </w:r>
      <w:r w:rsidR="00BA264B">
        <w:rPr>
          <w:rFonts w:cs="Tahoma"/>
          <w:color w:val="000000"/>
          <w:szCs w:val="18"/>
          <w:lang w:val="de-DE"/>
        </w:rPr>
        <w:t> </w:t>
      </w:r>
      <w:r w:rsidRPr="003002D3">
        <w:rPr>
          <w:rFonts w:cs="Tahoma"/>
          <w:color w:val="000000"/>
          <w:szCs w:val="18"/>
          <w:lang w:val="de-DE"/>
        </w:rPr>
        <w:t>Brasilien und Chile, die Office 365 Enterprise K1 erwerben, werden für BPOS Deskless freigeschaltet</w:t>
      </w:r>
      <w:r w:rsidR="006257A7">
        <w:rPr>
          <w:rFonts w:cs="Tahoma"/>
          <w:color w:val="000000"/>
          <w:szCs w:val="18"/>
          <w:lang w:val="de-DE"/>
        </w:rPr>
        <w:t xml:space="preserve">. </w:t>
      </w:r>
      <w:r w:rsidRPr="003002D3">
        <w:rPr>
          <w:rFonts w:cs="Tahoma"/>
          <w:color w:val="000000"/>
          <w:szCs w:val="18"/>
          <w:lang w:val="de-DE"/>
        </w:rPr>
        <w:t>Diese Kunden sind berechtigt, später auf Office 365 Enterprise K1 zu migrieren</w:t>
      </w:r>
      <w:r w:rsidR="006257A7">
        <w:rPr>
          <w:rFonts w:cs="Tahoma"/>
          <w:color w:val="000000"/>
          <w:szCs w:val="18"/>
          <w:lang w:val="de-DE"/>
        </w:rPr>
        <w:t xml:space="preserve">. </w:t>
      </w:r>
    </w:p>
    <w:p w:rsidR="00E73313" w:rsidRPr="003002D3" w:rsidRDefault="00E73313" w:rsidP="00E73313">
      <w:pPr>
        <w:rPr>
          <w:lang w:val="de-DE"/>
        </w:rPr>
      </w:pPr>
    </w:p>
    <w:p w:rsidR="00E73313" w:rsidRPr="0062435A" w:rsidRDefault="00E73313" w:rsidP="00E73313">
      <w:pPr>
        <w:spacing w:after="60"/>
        <w:ind w:left="720"/>
      </w:pPr>
      <w:r>
        <w:rPr>
          <w:rFonts w:eastAsia="Calibri" w:cs="Tahoma"/>
          <w:b/>
          <w:color w:val="000000"/>
          <w:szCs w:val="18"/>
        </w:rPr>
        <w:t>Government Community Cloud (nur USA)</w:t>
      </w:r>
    </w:p>
    <w:p w:rsidR="00E73313" w:rsidRPr="003002D3" w:rsidRDefault="00E73313" w:rsidP="00BA264B">
      <w:pPr>
        <w:ind w:left="720"/>
        <w:rPr>
          <w:lang w:val="de-DE"/>
        </w:rPr>
      </w:pPr>
      <w:r>
        <w:rPr>
          <w:rFonts w:eastAsia="Calibri" w:cs="Tahoma"/>
          <w:color w:val="000000"/>
          <w:szCs w:val="18"/>
        </w:rPr>
        <w:t>Einige Onlinedienste in der Office 365-Produktfamilie (darunter Office 365 Enterprise K1) werden als Government Community Cloud-Dienste und Non-Government Community Cloud-Dienste angeboten</w:t>
      </w:r>
      <w:r w:rsidR="006257A7">
        <w:rPr>
          <w:rFonts w:eastAsia="Calibri" w:cs="Tahoma"/>
          <w:color w:val="000000"/>
          <w:szCs w:val="18"/>
        </w:rPr>
        <w:t xml:space="preserve">. </w:t>
      </w:r>
      <w:r w:rsidRPr="003002D3">
        <w:rPr>
          <w:rFonts w:eastAsia="Calibri" w:cs="Tahoma"/>
          <w:color w:val="000000"/>
          <w:szCs w:val="18"/>
          <w:lang w:val="de-DE"/>
        </w:rPr>
        <w:t>Die</w:t>
      </w:r>
      <w:r w:rsidR="00BA264B">
        <w:rPr>
          <w:rFonts w:eastAsia="Calibri" w:cs="Tahoma"/>
          <w:color w:val="000000"/>
          <w:szCs w:val="18"/>
          <w:lang w:val="de-DE"/>
        </w:rPr>
        <w:t> </w:t>
      </w:r>
      <w:r w:rsidRPr="003002D3">
        <w:rPr>
          <w:rFonts w:eastAsia="Calibri" w:cs="Tahoma"/>
          <w:color w:val="000000"/>
          <w:szCs w:val="18"/>
          <w:lang w:val="de-DE"/>
        </w:rPr>
        <w:t>Bereitstellung an Kunden kann in der einen oder anderen Form erfolgen, jedoch nicht als Kombination aus beidem</w:t>
      </w:r>
      <w:r w:rsidR="006257A7">
        <w:rPr>
          <w:rFonts w:eastAsia="Calibri" w:cs="Tahoma"/>
          <w:color w:val="000000"/>
          <w:szCs w:val="18"/>
          <w:lang w:val="de-DE"/>
        </w:rPr>
        <w:t xml:space="preserve">. </w:t>
      </w:r>
      <w:r w:rsidRPr="003002D3">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6257A7">
        <w:rPr>
          <w:rFonts w:eastAsia="Calibri" w:cs="Tahoma"/>
          <w:color w:val="000000"/>
          <w:szCs w:val="18"/>
          <w:lang w:val="de-DE"/>
        </w:rPr>
        <w:t xml:space="preserve">. </w:t>
      </w:r>
      <w:r w:rsidRPr="003002D3">
        <w:rPr>
          <w:rFonts w:eastAsia="Calibri" w:cs="Tahoma"/>
          <w:color w:val="000000"/>
          <w:szCs w:val="18"/>
          <w:lang w:val="de-DE"/>
        </w:rPr>
        <w:t>Diese</w:t>
      </w:r>
      <w:r w:rsidR="00BA264B">
        <w:rPr>
          <w:rFonts w:eastAsia="Calibri" w:cs="Tahoma"/>
          <w:color w:val="000000"/>
          <w:szCs w:val="18"/>
          <w:lang w:val="de-DE"/>
        </w:rPr>
        <w:t> </w:t>
      </w:r>
      <w:r w:rsidRPr="003002D3">
        <w:rPr>
          <w:rFonts w:eastAsia="Calibri" w:cs="Tahoma"/>
          <w:color w:val="000000"/>
          <w:szCs w:val="18"/>
          <w:lang w:val="de-DE"/>
        </w:rPr>
        <w:t>Beschränkung gilt für alle Onlinedienste, die zur Office 365-Produktfamilie gehören, darunter Exchange Online, SharePoint Online und Lync Online</w:t>
      </w:r>
      <w:r w:rsidR="006257A7">
        <w:rPr>
          <w:rFonts w:eastAsia="Calibri"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BA264B">
      <w:pPr>
        <w:ind w:left="720"/>
        <w:rPr>
          <w:lang w:val="de-DE"/>
        </w:rPr>
      </w:pPr>
      <w:r w:rsidRPr="003002D3">
        <w:rPr>
          <w:rFonts w:eastAsia="Calibri" w:cs="Tahoma"/>
          <w:color w:val="000000"/>
          <w:szCs w:val="18"/>
          <w:lang w:val="de-DE"/>
        </w:rPr>
        <w:t>Wenn ein Onlinedienst in der Government Community Cloud bereitgestellt wird, bleibt er für die Dauer der</w:t>
      </w:r>
      <w:r w:rsidR="00BA264B">
        <w:rPr>
          <w:rFonts w:eastAsia="Calibri" w:cs="Tahoma"/>
          <w:color w:val="000000"/>
          <w:szCs w:val="18"/>
          <w:lang w:val="de-DE"/>
        </w:rPr>
        <w:t> </w:t>
      </w:r>
      <w:r w:rsidRPr="003002D3">
        <w:rPr>
          <w:rFonts w:eastAsia="Calibri" w:cs="Tahoma"/>
          <w:color w:val="000000"/>
          <w:szCs w:val="18"/>
          <w:lang w:val="de-DE"/>
        </w:rPr>
        <w:t>Abonnementlaufzeit dort</w:t>
      </w:r>
      <w:r w:rsidR="006257A7">
        <w:rPr>
          <w:rFonts w:eastAsia="Calibri" w:cs="Tahoma"/>
          <w:color w:val="000000"/>
          <w:szCs w:val="18"/>
          <w:lang w:val="de-DE"/>
        </w:rPr>
        <w:t xml:space="preserve">. </w:t>
      </w:r>
      <w:r w:rsidRPr="003002D3">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6257A7">
        <w:rPr>
          <w:rFonts w:eastAsia="Calibri" w:cs="Tahoma"/>
          <w:color w:val="000000"/>
          <w:szCs w:val="18"/>
          <w:lang w:val="de-DE"/>
        </w:rPr>
        <w:t xml:space="preserve">. </w:t>
      </w:r>
      <w:r w:rsidRPr="003002D3">
        <w:rPr>
          <w:rFonts w:eastAsia="Calibri" w:cs="Tahoma"/>
          <w:color w:val="000000"/>
          <w:szCs w:val="18"/>
          <w:lang w:val="de-DE"/>
        </w:rPr>
        <w:t>Die</w:t>
      </w:r>
      <w:r w:rsidR="00BA264B">
        <w:rPr>
          <w:rFonts w:eastAsia="Calibri" w:cs="Tahoma"/>
          <w:color w:val="000000"/>
          <w:szCs w:val="18"/>
          <w:lang w:val="de-DE"/>
        </w:rPr>
        <w:t> </w:t>
      </w:r>
      <w:r w:rsidRPr="003002D3">
        <w:rPr>
          <w:rFonts w:eastAsia="Calibri" w:cs="Tahoma"/>
          <w:color w:val="000000"/>
          <w:szCs w:val="18"/>
          <w:lang w:val="de-DE"/>
        </w:rPr>
        <w:t>Nutzungsrechte für Government Community Cloud-Dienste entsprechen den Nutzungsrechten ihrer</w:t>
      </w:r>
      <w:r w:rsidR="00BA264B">
        <w:rPr>
          <w:rFonts w:eastAsia="Calibri" w:cs="Tahoma"/>
          <w:color w:val="000000"/>
          <w:szCs w:val="18"/>
          <w:lang w:val="de-DE"/>
        </w:rPr>
        <w:t> </w:t>
      </w:r>
      <w:r w:rsidRPr="003002D3">
        <w:rPr>
          <w:rFonts w:eastAsia="Calibri" w:cs="Tahoma"/>
          <w:color w:val="000000"/>
          <w:szCs w:val="18"/>
          <w:lang w:val="de-DE"/>
        </w:rPr>
        <w:t>mehrinstanzenfähigen Standardäquivalente</w:t>
      </w:r>
      <w:r w:rsidR="006257A7">
        <w:rPr>
          <w:rFonts w:eastAsia="Calibri"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p>
    <w:p w:rsidR="00E73313" w:rsidRPr="003002D3" w:rsidRDefault="00E73313" w:rsidP="00E73313">
      <w:pPr>
        <w:pStyle w:val="Heading2"/>
        <w:ind w:left="0"/>
        <w:rPr>
          <w:lang w:val="de-DE"/>
        </w:rPr>
      </w:pPr>
      <w:bookmarkStart w:id="1417" w:name="_70_Office_365"/>
      <w:bookmarkStart w:id="1418" w:name="_77_Office_365"/>
      <w:bookmarkStart w:id="1419" w:name="_Toc336338330"/>
      <w:bookmarkStart w:id="1420" w:name="_Toc363999074"/>
      <w:bookmarkStart w:id="1421" w:name="Srv_73Office365PlanG2toG4"/>
      <w:bookmarkEnd w:id="1417"/>
      <w:bookmarkEnd w:id="1418"/>
      <w:r w:rsidRPr="003002D3">
        <w:rPr>
          <w:rFonts w:ascii="Tahoma" w:hAnsi="Tahoma" w:cs="Tahoma"/>
          <w:caps/>
          <w:color w:val="FF6600"/>
          <w:sz w:val="22"/>
          <w:szCs w:val="22"/>
          <w:vertAlign w:val="superscript"/>
          <w:lang w:val="de-DE"/>
        </w:rPr>
        <w:t>77</w:t>
      </w:r>
      <w:r w:rsidRPr="003002D3">
        <w:rPr>
          <w:rFonts w:ascii="Tahoma" w:hAnsi="Tahoma" w:cs="Tahoma"/>
          <w:color w:val="FF6600"/>
          <w:lang w:val="de-DE"/>
        </w:rPr>
        <w:t xml:space="preserve"> </w:t>
      </w:r>
      <w:r w:rsidRPr="003002D3">
        <w:rPr>
          <w:rFonts w:ascii="Tahoma" w:hAnsi="Tahoma" w:cs="Tahoma"/>
          <w:color w:val="FF6600"/>
          <w:sz w:val="22"/>
          <w:szCs w:val="22"/>
          <w:lang w:val="de-DE"/>
        </w:rPr>
        <w:t>Office 365 Government G1, G3, G4</w:t>
      </w:r>
      <w:bookmarkEnd w:id="1419"/>
      <w:bookmarkEnd w:id="1420"/>
    </w:p>
    <w:p w:rsidR="00E73313" w:rsidRPr="003002D3" w:rsidRDefault="00E73313" w:rsidP="00E73313">
      <w:pPr>
        <w:rPr>
          <w:lang w:val="de-DE"/>
        </w:rPr>
      </w:pPr>
    </w:p>
    <w:bookmarkEnd w:id="1421"/>
    <w:p w:rsidR="00E73313" w:rsidRPr="003002D3" w:rsidRDefault="00E73313" w:rsidP="00E73313">
      <w:pPr>
        <w:ind w:left="720"/>
        <w:rPr>
          <w:lang w:val="de-DE"/>
        </w:rPr>
      </w:pPr>
      <w:r w:rsidRPr="003002D3">
        <w:rPr>
          <w:color w:val="000000"/>
          <w:lang w:val="de-DE"/>
        </w:rPr>
        <w:t>Office 365 Government G1, G3 und G4 bietet Zugriff auf die folgenden Onlinedienste:</w:t>
      </w:r>
    </w:p>
    <w:p w:rsidR="00E73313" w:rsidRPr="003002D3" w:rsidRDefault="00E73313" w:rsidP="00E73313">
      <w:pPr>
        <w:rPr>
          <w:lang w:val="de-DE"/>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E73313" w:rsidRPr="00A83600" w:rsidTr="00BA264B">
        <w:trPr>
          <w:tblHeader/>
        </w:trPr>
        <w:tc>
          <w:tcPr>
            <w:tcW w:w="2970" w:type="dxa"/>
            <w:shd w:val="clear" w:color="auto" w:fill="FABF8F"/>
          </w:tcPr>
          <w:p w:rsidR="00E73313" w:rsidRPr="00A83600" w:rsidRDefault="00E73313" w:rsidP="00BA264B">
            <w:pPr>
              <w:jc w:val="center"/>
              <w:rPr>
                <w:rFonts w:eastAsia="Calibri"/>
                <w:b/>
                <w:color w:val="000000"/>
                <w:sz w:val="20"/>
              </w:rPr>
            </w:pPr>
            <w:r>
              <w:rPr>
                <w:rFonts w:eastAsia="Calibri"/>
                <w:b/>
                <w:color w:val="000000"/>
                <w:sz w:val="20"/>
              </w:rPr>
              <w:t>Office 365 Government G1</w:t>
            </w:r>
          </w:p>
        </w:tc>
        <w:tc>
          <w:tcPr>
            <w:tcW w:w="2970" w:type="dxa"/>
            <w:shd w:val="clear" w:color="auto" w:fill="FABF8F"/>
          </w:tcPr>
          <w:p w:rsidR="00E73313" w:rsidRPr="00A83600" w:rsidRDefault="00E73313" w:rsidP="00BA264B">
            <w:pPr>
              <w:jc w:val="center"/>
              <w:rPr>
                <w:rFonts w:eastAsia="Calibri"/>
                <w:b/>
                <w:color w:val="000000"/>
                <w:sz w:val="20"/>
              </w:rPr>
            </w:pPr>
            <w:r>
              <w:rPr>
                <w:rFonts w:eastAsia="Calibri"/>
                <w:b/>
                <w:color w:val="000000"/>
                <w:sz w:val="20"/>
              </w:rPr>
              <w:t>Office 365 Government G3</w:t>
            </w:r>
          </w:p>
        </w:tc>
        <w:tc>
          <w:tcPr>
            <w:tcW w:w="2970" w:type="dxa"/>
            <w:shd w:val="clear" w:color="auto" w:fill="FABF8F"/>
          </w:tcPr>
          <w:p w:rsidR="00E73313" w:rsidRPr="00A83600" w:rsidRDefault="00E73313" w:rsidP="00BA264B">
            <w:pPr>
              <w:jc w:val="center"/>
              <w:rPr>
                <w:rFonts w:eastAsia="Calibri"/>
                <w:b/>
                <w:color w:val="000000"/>
                <w:sz w:val="20"/>
              </w:rPr>
            </w:pPr>
            <w:r>
              <w:rPr>
                <w:rFonts w:eastAsia="Calibri"/>
                <w:b/>
                <w:color w:val="000000"/>
                <w:sz w:val="20"/>
              </w:rPr>
              <w:t>Office 365 Government G4</w:t>
            </w:r>
          </w:p>
        </w:tc>
      </w:tr>
      <w:tr w:rsidR="00E73313" w:rsidRPr="00A83600" w:rsidTr="00E328C3">
        <w:tc>
          <w:tcPr>
            <w:tcW w:w="2970" w:type="dxa"/>
          </w:tcPr>
          <w:p w:rsidR="00E73313" w:rsidRPr="00A83600" w:rsidRDefault="00E73313" w:rsidP="00BA264B">
            <w:pPr>
              <w:ind w:left="180" w:right="186"/>
              <w:rPr>
                <w:rFonts w:eastAsia="Calibri"/>
                <w:color w:val="000000"/>
              </w:rPr>
            </w:pPr>
            <w:r>
              <w:rPr>
                <w:rFonts w:eastAsia="Calibri"/>
                <w:color w:val="000000"/>
              </w:rPr>
              <w:t>Exchange Online Plan 1</w:t>
            </w:r>
          </w:p>
        </w:tc>
        <w:tc>
          <w:tcPr>
            <w:tcW w:w="2970" w:type="dxa"/>
            <w:shd w:val="clear" w:color="auto" w:fill="auto"/>
          </w:tcPr>
          <w:p w:rsidR="00E73313" w:rsidRPr="00A83600" w:rsidRDefault="00E73313" w:rsidP="00BA264B">
            <w:pPr>
              <w:ind w:left="138" w:right="138"/>
              <w:rPr>
                <w:rFonts w:eastAsia="Calibri"/>
                <w:color w:val="000000"/>
              </w:rPr>
            </w:pPr>
            <w:r>
              <w:rPr>
                <w:rFonts w:eastAsia="Calibri"/>
                <w:color w:val="000000"/>
              </w:rPr>
              <w:t xml:space="preserve">Exchange Online Plan 2 </w:t>
            </w:r>
          </w:p>
        </w:tc>
        <w:tc>
          <w:tcPr>
            <w:tcW w:w="2970" w:type="dxa"/>
            <w:shd w:val="clear" w:color="auto" w:fill="auto"/>
          </w:tcPr>
          <w:p w:rsidR="00E73313" w:rsidRPr="00A83600" w:rsidRDefault="00E73313" w:rsidP="00BA264B">
            <w:pPr>
              <w:ind w:left="186" w:right="180"/>
              <w:rPr>
                <w:rFonts w:eastAsia="Calibri"/>
                <w:color w:val="000000"/>
              </w:rPr>
            </w:pPr>
            <w:r>
              <w:rPr>
                <w:rFonts w:eastAsia="Calibri"/>
                <w:color w:val="000000"/>
              </w:rPr>
              <w:t>Exchange Online Plan 2</w:t>
            </w:r>
          </w:p>
        </w:tc>
      </w:tr>
      <w:tr w:rsidR="00E73313" w:rsidRPr="00A83600" w:rsidTr="00E328C3">
        <w:tc>
          <w:tcPr>
            <w:tcW w:w="2970" w:type="dxa"/>
          </w:tcPr>
          <w:p w:rsidR="00E73313" w:rsidRPr="00A83600" w:rsidRDefault="00E73313" w:rsidP="00BA264B">
            <w:pPr>
              <w:ind w:left="180" w:right="186"/>
              <w:rPr>
                <w:rFonts w:eastAsia="Calibri"/>
                <w:color w:val="000000"/>
              </w:rPr>
            </w:pPr>
            <w:r>
              <w:rPr>
                <w:rFonts w:eastAsia="Calibri"/>
                <w:color w:val="000000"/>
              </w:rPr>
              <w:t>SharePoint Online Plan 1</w:t>
            </w:r>
          </w:p>
        </w:tc>
        <w:tc>
          <w:tcPr>
            <w:tcW w:w="2970" w:type="dxa"/>
            <w:shd w:val="clear" w:color="auto" w:fill="auto"/>
          </w:tcPr>
          <w:p w:rsidR="00E73313" w:rsidRPr="00A83600" w:rsidRDefault="00E73313" w:rsidP="00BA264B">
            <w:pPr>
              <w:ind w:left="138" w:right="138"/>
              <w:rPr>
                <w:rFonts w:eastAsia="Calibri"/>
                <w:color w:val="000000"/>
              </w:rPr>
            </w:pPr>
            <w:r>
              <w:rPr>
                <w:rFonts w:eastAsia="Calibri"/>
                <w:color w:val="000000"/>
              </w:rPr>
              <w:t>SharePoint Online Plan 2</w:t>
            </w:r>
          </w:p>
        </w:tc>
        <w:tc>
          <w:tcPr>
            <w:tcW w:w="2970" w:type="dxa"/>
            <w:shd w:val="clear" w:color="auto" w:fill="auto"/>
          </w:tcPr>
          <w:p w:rsidR="00E73313" w:rsidRPr="00A83600" w:rsidRDefault="00E73313" w:rsidP="00BA264B">
            <w:pPr>
              <w:ind w:left="186" w:right="180"/>
              <w:rPr>
                <w:rFonts w:eastAsia="Calibri"/>
                <w:color w:val="000000"/>
              </w:rPr>
            </w:pPr>
            <w:r>
              <w:rPr>
                <w:rFonts w:eastAsia="Calibri"/>
                <w:color w:val="000000"/>
              </w:rPr>
              <w:t>SharePoint Online Plan 2</w:t>
            </w:r>
          </w:p>
        </w:tc>
      </w:tr>
      <w:tr w:rsidR="00E73313" w:rsidRPr="00A83600" w:rsidTr="00E328C3">
        <w:tc>
          <w:tcPr>
            <w:tcW w:w="2970" w:type="dxa"/>
          </w:tcPr>
          <w:p w:rsidR="00E73313" w:rsidRPr="00A83600" w:rsidRDefault="00E73313" w:rsidP="00BA264B">
            <w:pPr>
              <w:ind w:left="180" w:right="186"/>
              <w:rPr>
                <w:rFonts w:eastAsia="Calibri"/>
                <w:color w:val="000000"/>
              </w:rPr>
            </w:pPr>
            <w:r>
              <w:rPr>
                <w:rFonts w:eastAsia="Calibri"/>
                <w:color w:val="000000"/>
              </w:rPr>
              <w:t>Lync Online Plan 2</w:t>
            </w:r>
          </w:p>
        </w:tc>
        <w:tc>
          <w:tcPr>
            <w:tcW w:w="2970" w:type="dxa"/>
            <w:shd w:val="clear" w:color="auto" w:fill="auto"/>
          </w:tcPr>
          <w:p w:rsidR="00E73313" w:rsidRPr="00A83600" w:rsidRDefault="00E73313" w:rsidP="00BA264B">
            <w:pPr>
              <w:ind w:left="138" w:right="138"/>
              <w:rPr>
                <w:rFonts w:eastAsia="Calibri"/>
                <w:color w:val="000000"/>
              </w:rPr>
            </w:pPr>
            <w:r>
              <w:rPr>
                <w:rFonts w:eastAsia="Calibri"/>
                <w:color w:val="000000"/>
              </w:rPr>
              <w:t>Lync Online Plan 2</w:t>
            </w:r>
          </w:p>
        </w:tc>
        <w:tc>
          <w:tcPr>
            <w:tcW w:w="2970" w:type="dxa"/>
            <w:shd w:val="clear" w:color="auto" w:fill="auto"/>
          </w:tcPr>
          <w:p w:rsidR="00E73313" w:rsidRPr="00A83600" w:rsidRDefault="00E73313" w:rsidP="00BA264B">
            <w:pPr>
              <w:ind w:left="186" w:right="180"/>
              <w:rPr>
                <w:rFonts w:eastAsia="Calibri"/>
                <w:color w:val="000000"/>
              </w:rPr>
            </w:pPr>
            <w:r>
              <w:rPr>
                <w:rFonts w:eastAsia="Calibri"/>
                <w:color w:val="000000"/>
              </w:rPr>
              <w:t>Lync Online Plan 3*</w:t>
            </w:r>
          </w:p>
        </w:tc>
      </w:tr>
      <w:tr w:rsidR="00E73313" w:rsidRPr="001B6F67" w:rsidTr="00F25255">
        <w:trPr>
          <w:cantSplit/>
        </w:trPr>
        <w:tc>
          <w:tcPr>
            <w:tcW w:w="2970" w:type="dxa"/>
          </w:tcPr>
          <w:p w:rsidR="00E73313" w:rsidRPr="003002D3" w:rsidRDefault="00E73313" w:rsidP="00BA264B">
            <w:pPr>
              <w:ind w:left="180" w:right="186"/>
              <w:rPr>
                <w:rFonts w:eastAsia="Calibri"/>
                <w:color w:val="000000"/>
                <w:lang w:val="de-DE"/>
              </w:rPr>
            </w:pPr>
            <w:r w:rsidRPr="003002D3">
              <w:rPr>
                <w:rFonts w:eastAsia="Calibri"/>
                <w:color w:val="000000"/>
                <w:lang w:val="de-DE"/>
              </w:rPr>
              <w:t>Office-Webanwendungen (von Microsoft gehostet)</w:t>
            </w:r>
          </w:p>
        </w:tc>
        <w:tc>
          <w:tcPr>
            <w:tcW w:w="2970" w:type="dxa"/>
            <w:shd w:val="clear" w:color="auto" w:fill="auto"/>
          </w:tcPr>
          <w:p w:rsidR="00E73313" w:rsidRPr="003002D3" w:rsidRDefault="00E73313" w:rsidP="00BA264B">
            <w:pPr>
              <w:ind w:left="138" w:right="138"/>
              <w:rPr>
                <w:rFonts w:eastAsia="Calibri"/>
                <w:color w:val="000000"/>
                <w:lang w:val="de-DE"/>
              </w:rPr>
            </w:pPr>
            <w:r w:rsidRPr="003002D3">
              <w:rPr>
                <w:rFonts w:eastAsia="Calibri"/>
                <w:color w:val="000000"/>
                <w:lang w:val="de-DE"/>
              </w:rPr>
              <w:t>Office-Webanwendungen (von</w:t>
            </w:r>
            <w:r w:rsidR="00BA264B">
              <w:rPr>
                <w:rFonts w:eastAsia="Calibri"/>
                <w:color w:val="000000"/>
                <w:lang w:val="de-DE"/>
              </w:rPr>
              <w:t> </w:t>
            </w:r>
            <w:r w:rsidRPr="003002D3">
              <w:rPr>
                <w:rFonts w:eastAsia="Calibri"/>
                <w:color w:val="000000"/>
                <w:lang w:val="de-DE"/>
              </w:rPr>
              <w:t>Microsoft gehostet)</w:t>
            </w:r>
          </w:p>
        </w:tc>
        <w:tc>
          <w:tcPr>
            <w:tcW w:w="2970" w:type="dxa"/>
            <w:shd w:val="clear" w:color="auto" w:fill="auto"/>
          </w:tcPr>
          <w:p w:rsidR="00E73313" w:rsidRPr="003002D3" w:rsidRDefault="00E73313" w:rsidP="00BA264B">
            <w:pPr>
              <w:ind w:left="186" w:right="180"/>
              <w:rPr>
                <w:rFonts w:eastAsia="Calibri"/>
                <w:color w:val="000000"/>
                <w:lang w:val="de-DE"/>
              </w:rPr>
            </w:pPr>
            <w:r w:rsidRPr="003002D3">
              <w:rPr>
                <w:rFonts w:eastAsia="Calibri"/>
                <w:color w:val="000000"/>
                <w:lang w:val="de-DE"/>
              </w:rPr>
              <w:t>Office-Webanwendungen (von Microsoft gehostet)</w:t>
            </w:r>
          </w:p>
        </w:tc>
      </w:tr>
      <w:tr w:rsidR="00E73313" w:rsidRPr="00A83600" w:rsidTr="00E328C3">
        <w:tc>
          <w:tcPr>
            <w:tcW w:w="2970" w:type="dxa"/>
          </w:tcPr>
          <w:p w:rsidR="00E73313" w:rsidRPr="003002D3" w:rsidRDefault="00E73313" w:rsidP="00E328C3">
            <w:pPr>
              <w:keepNext/>
              <w:keepLines/>
              <w:ind w:left="180" w:right="186"/>
              <w:rPr>
                <w:rFonts w:eastAsia="Calibri"/>
                <w:color w:val="000000"/>
                <w:lang w:val="de-DE"/>
              </w:rPr>
            </w:pPr>
          </w:p>
        </w:tc>
        <w:tc>
          <w:tcPr>
            <w:tcW w:w="2970" w:type="dxa"/>
            <w:shd w:val="clear" w:color="auto" w:fill="auto"/>
          </w:tcPr>
          <w:p w:rsidR="00E73313" w:rsidRPr="00A83600" w:rsidRDefault="00E73313" w:rsidP="00E328C3">
            <w:pPr>
              <w:keepNext/>
              <w:keepLines/>
              <w:ind w:left="138" w:right="138"/>
              <w:rPr>
                <w:rFonts w:eastAsia="Calibri"/>
                <w:color w:val="000000"/>
              </w:rPr>
            </w:pPr>
            <w:r>
              <w:rPr>
                <w:rFonts w:eastAsia="Calibri"/>
                <w:color w:val="000000"/>
              </w:rPr>
              <w:t xml:space="preserve">Office 365 ProPlus </w:t>
            </w:r>
          </w:p>
        </w:tc>
        <w:tc>
          <w:tcPr>
            <w:tcW w:w="2970" w:type="dxa"/>
            <w:shd w:val="clear" w:color="auto" w:fill="auto"/>
          </w:tcPr>
          <w:p w:rsidR="00E73313" w:rsidRPr="00A83600" w:rsidRDefault="00E73313" w:rsidP="00E328C3">
            <w:pPr>
              <w:keepNext/>
              <w:keepLines/>
              <w:ind w:left="186" w:right="180"/>
              <w:rPr>
                <w:rFonts w:eastAsia="Calibri"/>
                <w:color w:val="000000"/>
              </w:rPr>
            </w:pPr>
            <w:r>
              <w:rPr>
                <w:rFonts w:eastAsia="Calibri"/>
                <w:color w:val="000000"/>
              </w:rPr>
              <w:t xml:space="preserve">Office 365 ProPlus </w:t>
            </w:r>
          </w:p>
        </w:tc>
      </w:tr>
      <w:tr w:rsidR="00E73313" w:rsidRPr="00A83600" w:rsidTr="00E328C3">
        <w:tc>
          <w:tcPr>
            <w:tcW w:w="2970" w:type="dxa"/>
          </w:tcPr>
          <w:p w:rsidR="00E73313" w:rsidRPr="00A83600" w:rsidRDefault="00E73313" w:rsidP="00E328C3">
            <w:pPr>
              <w:keepNext/>
              <w:keepLines/>
              <w:ind w:left="180" w:right="186"/>
              <w:rPr>
                <w:rFonts w:eastAsia="Calibri"/>
                <w:color w:val="000000"/>
              </w:rPr>
            </w:pPr>
          </w:p>
        </w:tc>
        <w:tc>
          <w:tcPr>
            <w:tcW w:w="2970" w:type="dxa"/>
            <w:shd w:val="clear" w:color="auto" w:fill="auto"/>
          </w:tcPr>
          <w:p w:rsidR="00E73313" w:rsidRPr="00A83600" w:rsidRDefault="00E73313" w:rsidP="00E328C3">
            <w:pPr>
              <w:keepNext/>
              <w:keepLines/>
              <w:ind w:left="138" w:right="138"/>
              <w:rPr>
                <w:rFonts w:eastAsia="Calibri"/>
                <w:color w:val="000000"/>
              </w:rPr>
            </w:pPr>
            <w:r>
              <w:rPr>
                <w:rFonts w:eastAsia="Calibri"/>
                <w:color w:val="000000"/>
              </w:rPr>
              <w:t>Windows Azure Active Directory-Rechteverwaltung</w:t>
            </w:r>
          </w:p>
        </w:tc>
        <w:tc>
          <w:tcPr>
            <w:tcW w:w="2970" w:type="dxa"/>
            <w:shd w:val="clear" w:color="auto" w:fill="auto"/>
          </w:tcPr>
          <w:p w:rsidR="00E73313" w:rsidRDefault="00E73313" w:rsidP="00E328C3">
            <w:pPr>
              <w:keepNext/>
              <w:keepLines/>
              <w:ind w:left="186" w:right="180"/>
              <w:rPr>
                <w:rFonts w:eastAsia="Calibri"/>
                <w:color w:val="000000"/>
              </w:rPr>
            </w:pPr>
            <w:r>
              <w:rPr>
                <w:rFonts w:eastAsia="Calibri"/>
                <w:color w:val="000000"/>
              </w:rPr>
              <w:t>Windows Azure Active Directory-Rechteverwaltung</w:t>
            </w:r>
          </w:p>
        </w:tc>
      </w:tr>
    </w:tbl>
    <w:p w:rsidR="00E73313" w:rsidRPr="003002D3" w:rsidRDefault="00E73313" w:rsidP="00E73313">
      <w:pPr>
        <w:pStyle w:val="PURBody"/>
        <w:spacing w:after="0"/>
        <w:ind w:left="540"/>
        <w:rPr>
          <w:lang w:val="de-DE"/>
        </w:rPr>
      </w:pPr>
      <w:r w:rsidRPr="003002D3">
        <w:rPr>
          <w:rFonts w:ascii="Tahoma" w:hAnsi="Tahoma" w:cs="Tahoma"/>
          <w:i/>
          <w:sz w:val="16"/>
          <w:vertAlign w:val="superscript"/>
          <w:lang w:val="de-DE"/>
        </w:rPr>
        <w:t>*</w:t>
      </w:r>
      <w:r w:rsidRPr="003002D3">
        <w:rPr>
          <w:rFonts w:ascii="Tahoma" w:hAnsi="Tahoma" w:cs="Tahoma"/>
          <w:i/>
          <w:sz w:val="16"/>
          <w:lang w:val="de-DE"/>
        </w:rPr>
        <w:t>Kunden, die aus anderen Ländern als den USA oder Großbritannien kaufen, erhalten Lync Online Plan 2 anstelle von Lync Online Plan 3</w:t>
      </w:r>
      <w:r w:rsidRPr="003002D3">
        <w:rPr>
          <w:rFonts w:ascii="Tahoma" w:hAnsi="Tahoma" w:cs="Tahoma"/>
          <w:color w:val="000000"/>
          <w:lang w:val="de-DE"/>
        </w:rPr>
        <w:br/>
      </w:r>
    </w:p>
    <w:p w:rsidR="00E73313" w:rsidRPr="003002D3" w:rsidRDefault="00E73313" w:rsidP="00E73313">
      <w:pPr>
        <w:ind w:left="720"/>
        <w:rPr>
          <w:lang w:val="de-DE"/>
        </w:rPr>
      </w:pPr>
      <w:r w:rsidRPr="003002D3">
        <w:rPr>
          <w:color w:val="000000"/>
          <w:lang w:val="de-DE"/>
        </w:rPr>
        <w:t>Änderungen an dieser Liste sind vorbehalten</w:t>
      </w:r>
      <w:r w:rsidR="006257A7">
        <w:rPr>
          <w:color w:val="000000"/>
          <w:lang w:val="de-DE"/>
        </w:rPr>
        <w:t xml:space="preserve">. </w:t>
      </w:r>
      <w:r w:rsidRPr="003002D3">
        <w:rPr>
          <w:color w:val="000000"/>
          <w:lang w:val="de-DE"/>
        </w:rPr>
        <w:t>Die aktuellen Produktbenutzungsrechte sind bei einem Widerspruch zwischen den Lizenzbestimmungen für Office 365 Government G1, G3 oder G4 und diesem Hinweis maßgeblich</w:t>
      </w:r>
      <w:r w:rsidR="006257A7">
        <w:rPr>
          <w:color w:val="000000"/>
          <w:lang w:val="de-DE"/>
        </w:rPr>
        <w:t xml:space="preserve">. </w:t>
      </w:r>
      <w:r w:rsidRPr="003002D3">
        <w:rPr>
          <w:color w:val="000000"/>
          <w:lang w:val="de-DE"/>
        </w:rPr>
        <w:t>Zusätzliche Zugriffsrechte auf separat lizenzierte Vor-Ort-Software sind gegebenenfalls in den Produktbenutzungsrechten angegeben</w:t>
      </w:r>
      <w:r w:rsidR="006257A7">
        <w:rPr>
          <w:color w:val="000000"/>
          <w:lang w:val="de-DE"/>
        </w:rPr>
        <w:t xml:space="preserve">. </w:t>
      </w:r>
    </w:p>
    <w:p w:rsidR="00E73313" w:rsidRPr="003002D3" w:rsidRDefault="00E73313" w:rsidP="00E73313">
      <w:pPr>
        <w:ind w:left="720"/>
        <w:rPr>
          <w:lang w:val="de-DE"/>
        </w:rPr>
      </w:pPr>
    </w:p>
    <w:p w:rsidR="00E73313" w:rsidRPr="003002D3" w:rsidRDefault="00E73313" w:rsidP="00F25255">
      <w:pPr>
        <w:ind w:left="720"/>
        <w:rPr>
          <w:lang w:val="de-DE"/>
        </w:rPr>
      </w:pPr>
      <w:r w:rsidRPr="003002D3">
        <w:rPr>
          <w:color w:val="000000"/>
          <w:lang w:val="de-DE"/>
        </w:rPr>
        <w:t>Für Lync Online Plan 1 und Plan 2 muss Microsoft Lync 2013 (oder Lync für Mac 2011) separat erworben und installiert werden, damit alle Features von Lync Online Plan 1 und Plan 2 zur Verfügung stehen</w:t>
      </w:r>
      <w:r w:rsidR="006257A7">
        <w:rPr>
          <w:color w:val="000000"/>
          <w:lang w:val="de-DE"/>
        </w:rPr>
        <w:t xml:space="preserve">. </w:t>
      </w:r>
      <w:r w:rsidRPr="003002D3">
        <w:rPr>
          <w:color w:val="000000"/>
          <w:lang w:val="de-DE"/>
        </w:rPr>
        <w:t>Als</w:t>
      </w:r>
      <w:r w:rsidR="00F25255">
        <w:rPr>
          <w:color w:val="000000"/>
          <w:lang w:val="de-DE"/>
        </w:rPr>
        <w:t> </w:t>
      </w:r>
      <w:r w:rsidRPr="003002D3">
        <w:rPr>
          <w:color w:val="000000"/>
          <w:lang w:val="de-DE"/>
        </w:rPr>
        <w:t>zeitlich beschränktes Angebot erhalten Kunden, die für Lync Online lizenziert sind, mit jeder Testversion oder bezahlten Abonnementlizenz für Lync Online eine lizenzierte Kopie von Lync für Mac 2011 kostenlos</w:t>
      </w:r>
      <w:r w:rsidR="006257A7">
        <w:rPr>
          <w:color w:val="000000"/>
          <w:lang w:val="de-DE"/>
        </w:rPr>
        <w:t xml:space="preserve">. </w:t>
      </w:r>
      <w:r w:rsidRPr="003002D3">
        <w:rPr>
          <w:color w:val="000000"/>
          <w:lang w:val="de-DE"/>
        </w:rPr>
        <w:t>Die Software darf nur mit Lync Online genutzt werden, und alle Rechte zur Nutzung der Software enden bei Ablauf der zugrunde liegende Abonnementlizenz oder bei Migration auf die nächste Hauptversion von Lync</w:t>
      </w:r>
      <w:r w:rsidR="00F25255">
        <w:rPr>
          <w:color w:val="000000"/>
          <w:lang w:val="de-DE"/>
        </w:rPr>
        <w:t> </w:t>
      </w:r>
      <w:r w:rsidRPr="003002D3">
        <w:rPr>
          <w:color w:val="000000"/>
          <w:lang w:val="de-DE"/>
        </w:rPr>
        <w:t>Online, je nachdem, welches Ereignis zuerst eintritt</w:t>
      </w:r>
      <w:r w:rsidR="006257A7">
        <w:rPr>
          <w:color w:val="000000"/>
          <w:lang w:val="de-DE"/>
        </w:rPr>
        <w:t xml:space="preserve">. </w:t>
      </w:r>
      <w:r w:rsidRPr="003002D3">
        <w:rPr>
          <w:lang w:val="de-DE"/>
        </w:rPr>
        <w:t>Kunden sind berechtigt, den kostenlosen Lync</w:t>
      </w:r>
      <w:r w:rsidR="00F25255">
        <w:rPr>
          <w:lang w:val="de-DE"/>
        </w:rPr>
        <w:t> </w:t>
      </w:r>
      <w:r w:rsidRPr="003002D3">
        <w:rPr>
          <w:lang w:val="de-DE"/>
        </w:rPr>
        <w:t>Basic 2013-Client für ihre Windows-basierten Endbenutzer zu nutzen</w:t>
      </w:r>
      <w:r w:rsidR="006257A7">
        <w:rPr>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r w:rsidRPr="003002D3">
        <w:rPr>
          <w:rFonts w:eastAsia="Calibri" w:cs="Tahoma"/>
          <w:color w:val="000000"/>
          <w:szCs w:val="18"/>
          <w:lang w:val="de-DE"/>
        </w:rPr>
        <w:t>G1, G3 oder G4 dürfen nicht in derselben Domäne bereitgestellt werden wie bestimmte Non-Government Community Cloud-Dienste</w:t>
      </w:r>
      <w:r w:rsidR="006257A7">
        <w:rPr>
          <w:rFonts w:eastAsia="Calibri" w:cs="Tahoma"/>
          <w:color w:val="000000"/>
          <w:szCs w:val="18"/>
          <w:lang w:val="de-DE"/>
        </w:rPr>
        <w:t xml:space="preserve">. </w:t>
      </w:r>
      <w:r w:rsidRPr="003002D3">
        <w:rPr>
          <w:rFonts w:eastAsia="Calibri" w:cs="Tahoma"/>
          <w:color w:val="000000"/>
          <w:szCs w:val="18"/>
          <w:lang w:val="de-DE"/>
        </w:rPr>
        <w:t>Diese Beschränkung gilt für alle Onlinedienste, die zur Office 365-Produktfamilie gehören, darunter Exchange Online, SharePoint Online und Lync Online</w:t>
      </w:r>
      <w:r w:rsidR="006257A7">
        <w:rPr>
          <w:rFonts w:eastAsia="Calibri"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BA264B">
      <w:pPr>
        <w:ind w:left="720"/>
        <w:rPr>
          <w:lang w:val="de-DE"/>
        </w:rPr>
      </w:pPr>
      <w:r w:rsidRPr="003002D3">
        <w:rPr>
          <w:rFonts w:eastAsia="Calibri" w:cs="Tahoma"/>
          <w:color w:val="000000"/>
          <w:szCs w:val="18"/>
          <w:lang w:val="de-DE"/>
        </w:rPr>
        <w:t>Wenn ein Onlinedienst in der Government Community Cloud bereitgestellt wird, bleibt er für die Dauer der</w:t>
      </w:r>
      <w:r w:rsidR="00BA264B">
        <w:rPr>
          <w:rFonts w:eastAsia="Calibri" w:cs="Tahoma"/>
          <w:color w:val="000000"/>
          <w:szCs w:val="18"/>
          <w:lang w:val="de-DE"/>
        </w:rPr>
        <w:t> </w:t>
      </w:r>
      <w:r w:rsidRPr="003002D3">
        <w:rPr>
          <w:rFonts w:eastAsia="Calibri" w:cs="Tahoma"/>
          <w:color w:val="000000"/>
          <w:szCs w:val="18"/>
          <w:lang w:val="de-DE"/>
        </w:rPr>
        <w:t>Abonnementlaufzeit dort</w:t>
      </w:r>
      <w:r w:rsidR="006257A7">
        <w:rPr>
          <w:rFonts w:eastAsia="Calibri" w:cs="Tahoma"/>
          <w:color w:val="000000"/>
          <w:szCs w:val="18"/>
          <w:lang w:val="de-DE"/>
        </w:rPr>
        <w:t xml:space="preserve">. </w:t>
      </w:r>
      <w:r w:rsidRPr="003002D3">
        <w:rPr>
          <w:rFonts w:eastAsia="Calibri" w:cs="Tahoma"/>
          <w:color w:val="000000"/>
          <w:szCs w:val="18"/>
          <w:lang w:val="de-DE"/>
        </w:rPr>
        <w:t>Kunden, bei denen es sich um US-amerikanische Verwaltungseinrichtungen auf nationaler, einzelstaatlicher, kommunaler oder Stammesebene handelt, müssen Vertragspartei eines</w:t>
      </w:r>
      <w:r w:rsidR="00BA264B">
        <w:rPr>
          <w:rFonts w:eastAsia="Calibri" w:cs="Tahoma"/>
          <w:color w:val="000000"/>
          <w:szCs w:val="18"/>
          <w:lang w:val="de-DE"/>
        </w:rPr>
        <w:t> </w:t>
      </w:r>
      <w:r w:rsidRPr="003002D3">
        <w:rPr>
          <w:rFonts w:eastAsia="Calibri" w:cs="Tahoma"/>
          <w:color w:val="000000"/>
          <w:szCs w:val="18"/>
          <w:lang w:val="de-DE"/>
        </w:rPr>
        <w:t>Konzernbeitritts oder Konzern-Abonnement-Beitritts für US-Behörden sein, um zum Erwerb von</w:t>
      </w:r>
      <w:r w:rsidR="00BA264B">
        <w:rPr>
          <w:rFonts w:eastAsia="Calibri" w:cs="Tahoma"/>
          <w:color w:val="000000"/>
          <w:szCs w:val="18"/>
          <w:lang w:val="de-DE"/>
        </w:rPr>
        <w:t> </w:t>
      </w:r>
      <w:r w:rsidRPr="003002D3">
        <w:rPr>
          <w:rFonts w:eastAsia="Calibri" w:cs="Tahoma"/>
          <w:color w:val="000000"/>
          <w:szCs w:val="18"/>
          <w:lang w:val="de-DE"/>
        </w:rPr>
        <w:t>Onlinediensten, die als Government Community Cloud bezeichnet werden, berechtigt zu sein</w:t>
      </w:r>
      <w:r w:rsidR="006257A7">
        <w:rPr>
          <w:rFonts w:eastAsia="Calibri" w:cs="Tahoma"/>
          <w:color w:val="000000"/>
          <w:szCs w:val="18"/>
          <w:lang w:val="de-DE"/>
        </w:rPr>
        <w:t xml:space="preserve">. </w:t>
      </w:r>
      <w:r w:rsidRPr="003002D3">
        <w:rPr>
          <w:rFonts w:eastAsia="Calibri" w:cs="Tahoma"/>
          <w:color w:val="000000"/>
          <w:szCs w:val="18"/>
          <w:lang w:val="de-DE"/>
        </w:rPr>
        <w:t>Die</w:t>
      </w:r>
      <w:r w:rsidR="00BA264B">
        <w:rPr>
          <w:rFonts w:eastAsia="Calibri" w:cs="Tahoma"/>
          <w:color w:val="000000"/>
          <w:szCs w:val="18"/>
          <w:lang w:val="de-DE"/>
        </w:rPr>
        <w:t> </w:t>
      </w:r>
      <w:r w:rsidRPr="003002D3">
        <w:rPr>
          <w:rFonts w:eastAsia="Calibri" w:cs="Tahoma"/>
          <w:color w:val="000000"/>
          <w:szCs w:val="18"/>
          <w:lang w:val="de-DE"/>
        </w:rPr>
        <w:t>Nutzungsrechte für Government Community Cloud-Dienste entsprechen den Nutzungsrechten ihrer mehrinstanzenfähigen Standardäquivalente, wie in der nachfolgenden Tabelle dargestellt:</w:t>
      </w:r>
    </w:p>
    <w:p w:rsidR="00E73313" w:rsidRPr="003002D3" w:rsidRDefault="00E73313" w:rsidP="00E73313">
      <w:pPr>
        <w:ind w:left="900"/>
        <w:rPr>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E73313" w:rsidRPr="001B6F67" w:rsidTr="00E328C3">
        <w:tc>
          <w:tcPr>
            <w:tcW w:w="4154" w:type="dxa"/>
            <w:shd w:val="clear" w:color="auto" w:fill="FABF8F"/>
          </w:tcPr>
          <w:p w:rsidR="00E73313" w:rsidRPr="004441AA" w:rsidRDefault="00E73313" w:rsidP="00E328C3">
            <w:pPr>
              <w:rPr>
                <w:rFonts w:eastAsia="Calibri"/>
                <w:b/>
                <w:color w:val="000000"/>
                <w:sz w:val="20"/>
                <w:szCs w:val="20"/>
              </w:rPr>
            </w:pPr>
            <w:r>
              <w:rPr>
                <w:rFonts w:eastAsia="Calibri"/>
                <w:b/>
                <w:color w:val="000000"/>
                <w:sz w:val="20"/>
                <w:szCs w:val="20"/>
              </w:rPr>
              <w:t xml:space="preserve">Office 365 Enterprise E </w:t>
            </w:r>
          </w:p>
        </w:tc>
        <w:tc>
          <w:tcPr>
            <w:tcW w:w="4318" w:type="dxa"/>
            <w:shd w:val="clear" w:color="auto" w:fill="FABF8F"/>
          </w:tcPr>
          <w:p w:rsidR="00E73313" w:rsidRPr="003002D3" w:rsidRDefault="00E73313" w:rsidP="00E328C3">
            <w:pPr>
              <w:rPr>
                <w:rFonts w:eastAsia="Calibri"/>
                <w:b/>
                <w:color w:val="000000"/>
                <w:sz w:val="20"/>
                <w:szCs w:val="20"/>
                <w:lang w:val="de-DE"/>
              </w:rPr>
            </w:pPr>
            <w:r w:rsidRPr="003002D3">
              <w:rPr>
                <w:rFonts w:eastAsia="Calibri"/>
                <w:b/>
                <w:color w:val="000000"/>
                <w:sz w:val="20"/>
                <w:szCs w:val="20"/>
                <w:lang w:val="de-DE"/>
              </w:rPr>
              <w:t>Office 365 Government G-Dienst mit entsprechenden Nutzungsrechten</w:t>
            </w:r>
          </w:p>
        </w:tc>
      </w:tr>
      <w:tr w:rsidR="00E73313" w:rsidRPr="004441AA" w:rsidTr="00E328C3">
        <w:tc>
          <w:tcPr>
            <w:tcW w:w="4154" w:type="dxa"/>
            <w:shd w:val="clear" w:color="auto" w:fill="auto"/>
          </w:tcPr>
          <w:p w:rsidR="00E73313" w:rsidRPr="004441AA" w:rsidRDefault="00E73313" w:rsidP="00E328C3">
            <w:pPr>
              <w:rPr>
                <w:rFonts w:eastAsia="Calibri"/>
                <w:color w:val="000000"/>
              </w:rPr>
            </w:pPr>
            <w:r>
              <w:rPr>
                <w:rFonts w:eastAsia="Calibri"/>
                <w:color w:val="000000"/>
              </w:rPr>
              <w:t>Office 365 Enterprise E1</w:t>
            </w:r>
          </w:p>
        </w:tc>
        <w:tc>
          <w:tcPr>
            <w:tcW w:w="4318" w:type="dxa"/>
            <w:shd w:val="clear" w:color="auto" w:fill="auto"/>
          </w:tcPr>
          <w:p w:rsidR="00E73313" w:rsidRPr="004441AA" w:rsidRDefault="00E73313" w:rsidP="00E328C3">
            <w:pPr>
              <w:rPr>
                <w:rFonts w:eastAsia="Calibri"/>
                <w:color w:val="000000"/>
              </w:rPr>
            </w:pPr>
            <w:r>
              <w:rPr>
                <w:rFonts w:eastAsia="Calibri"/>
                <w:color w:val="000000"/>
              </w:rPr>
              <w:t>Office 365 Government G1</w:t>
            </w:r>
          </w:p>
        </w:tc>
      </w:tr>
      <w:tr w:rsidR="00E73313" w:rsidRPr="004441AA" w:rsidTr="00E328C3">
        <w:tc>
          <w:tcPr>
            <w:tcW w:w="4154" w:type="dxa"/>
            <w:shd w:val="clear" w:color="auto" w:fill="auto"/>
          </w:tcPr>
          <w:p w:rsidR="00E73313" w:rsidRPr="004441AA" w:rsidRDefault="00E73313" w:rsidP="00E328C3">
            <w:pPr>
              <w:rPr>
                <w:rFonts w:eastAsia="Calibri"/>
                <w:color w:val="000000"/>
              </w:rPr>
            </w:pPr>
            <w:r>
              <w:rPr>
                <w:rFonts w:eastAsia="Calibri"/>
                <w:color w:val="000000"/>
              </w:rPr>
              <w:t>Office 365 Enterprise E3</w:t>
            </w:r>
          </w:p>
        </w:tc>
        <w:tc>
          <w:tcPr>
            <w:tcW w:w="4318" w:type="dxa"/>
            <w:shd w:val="clear" w:color="auto" w:fill="auto"/>
          </w:tcPr>
          <w:p w:rsidR="00E73313" w:rsidRPr="004441AA" w:rsidRDefault="00E73313" w:rsidP="00E328C3">
            <w:pPr>
              <w:rPr>
                <w:rFonts w:eastAsia="Calibri"/>
                <w:color w:val="000000"/>
              </w:rPr>
            </w:pPr>
            <w:r>
              <w:rPr>
                <w:rFonts w:eastAsia="Calibri"/>
                <w:color w:val="000000"/>
              </w:rPr>
              <w:t>Office 365 Government G3</w:t>
            </w:r>
          </w:p>
        </w:tc>
      </w:tr>
      <w:tr w:rsidR="00E73313" w:rsidRPr="004441AA" w:rsidTr="00E328C3">
        <w:tc>
          <w:tcPr>
            <w:tcW w:w="4154" w:type="dxa"/>
            <w:shd w:val="clear" w:color="auto" w:fill="auto"/>
          </w:tcPr>
          <w:p w:rsidR="00E73313" w:rsidRPr="004441AA" w:rsidRDefault="00E73313" w:rsidP="00E328C3">
            <w:pPr>
              <w:rPr>
                <w:rFonts w:eastAsia="Calibri"/>
                <w:color w:val="000000"/>
              </w:rPr>
            </w:pPr>
            <w:r>
              <w:rPr>
                <w:rFonts w:eastAsia="Calibri"/>
                <w:color w:val="000000"/>
              </w:rPr>
              <w:t>Office 365 Enterprise E4</w:t>
            </w:r>
          </w:p>
        </w:tc>
        <w:tc>
          <w:tcPr>
            <w:tcW w:w="4318" w:type="dxa"/>
            <w:shd w:val="clear" w:color="auto" w:fill="auto"/>
          </w:tcPr>
          <w:p w:rsidR="00E73313" w:rsidRPr="004441AA" w:rsidRDefault="00E73313" w:rsidP="00E328C3">
            <w:pPr>
              <w:rPr>
                <w:rFonts w:eastAsia="Calibri"/>
                <w:color w:val="000000"/>
              </w:rPr>
            </w:pPr>
            <w:r>
              <w:rPr>
                <w:rFonts w:eastAsia="Calibri"/>
                <w:color w:val="000000"/>
              </w:rPr>
              <w:t>Office 365 Government G4</w:t>
            </w:r>
          </w:p>
        </w:tc>
      </w:tr>
    </w:tbl>
    <w:p w:rsidR="00E73313" w:rsidRPr="0062435A" w:rsidRDefault="00E73313" w:rsidP="00E73313"/>
    <w:p w:rsidR="00E73313" w:rsidRPr="0062435A" w:rsidRDefault="00E73313" w:rsidP="00E73313">
      <w:pPr>
        <w:pStyle w:val="EndnoteText"/>
        <w:ind w:left="0"/>
      </w:pPr>
      <w:bookmarkStart w:id="1422" w:name="_59_Office_Communications"/>
      <w:bookmarkStart w:id="1423" w:name="_57_Office_Communications"/>
      <w:bookmarkStart w:id="1424" w:name="_59_Office_Groove"/>
      <w:bookmarkStart w:id="1425" w:name="Srv_62OfficePerfPointSvr07"/>
      <w:bookmarkEnd w:id="1391"/>
      <w:bookmarkEnd w:id="1422"/>
      <w:bookmarkEnd w:id="1423"/>
      <w:bookmarkEnd w:id="1424"/>
    </w:p>
    <w:p w:rsidR="00E73313" w:rsidRPr="0062435A" w:rsidRDefault="00E73313" w:rsidP="00E73313">
      <w:pPr>
        <w:pStyle w:val="Heading2"/>
        <w:ind w:left="0"/>
      </w:pPr>
      <w:bookmarkStart w:id="1426" w:name="_68_SharePoint_Online"/>
      <w:bookmarkStart w:id="1427" w:name="_71_SharePoint_Online"/>
      <w:bookmarkStart w:id="1428" w:name="_78_SharePoint_Online"/>
      <w:bookmarkStart w:id="1429" w:name="_Toc336338334"/>
      <w:bookmarkStart w:id="1430" w:name="_Toc363999075"/>
      <w:bookmarkStart w:id="1431" w:name="Srv_73SharepointOnlinePlan1"/>
      <w:bookmarkStart w:id="1432" w:name="Srv_74SharepointOnlinePlan1"/>
      <w:bookmarkEnd w:id="1426"/>
      <w:bookmarkEnd w:id="1427"/>
      <w:bookmarkEnd w:id="1428"/>
      <w:r>
        <w:rPr>
          <w:rFonts w:ascii="Tahoma" w:hAnsi="Tahoma" w:cs="Tahoma"/>
          <w:caps/>
          <w:color w:val="FF6600"/>
          <w:sz w:val="22"/>
          <w:vertAlign w:val="superscript"/>
        </w:rPr>
        <w:t>78</w:t>
      </w:r>
      <w:r>
        <w:rPr>
          <w:rFonts w:ascii="Tahoma" w:hAnsi="Tahoma" w:cs="Tahoma"/>
          <w:color w:val="FF6600"/>
        </w:rPr>
        <w:t xml:space="preserve"> </w:t>
      </w:r>
      <w:r>
        <w:rPr>
          <w:rFonts w:ascii="Tahoma" w:hAnsi="Tahoma" w:cs="Tahoma"/>
          <w:color w:val="FF6600"/>
          <w:sz w:val="22"/>
          <w:szCs w:val="22"/>
        </w:rPr>
        <w:t>SharePoint Online Plan 1 und 2</w:t>
      </w:r>
      <w:bookmarkEnd w:id="1429"/>
      <w:bookmarkEnd w:id="1430"/>
    </w:p>
    <w:bookmarkEnd w:id="1431"/>
    <w:bookmarkEnd w:id="1432"/>
    <w:p w:rsidR="00E73313" w:rsidRPr="0062435A" w:rsidRDefault="00E73313" w:rsidP="00E73313"/>
    <w:p w:rsidR="00E73313" w:rsidRPr="0062435A" w:rsidRDefault="00E73313" w:rsidP="00E73313">
      <w:pPr>
        <w:pStyle w:val="EndnoteText"/>
        <w:ind w:left="720"/>
      </w:pPr>
      <w:r>
        <w:rPr>
          <w:rFonts w:ascii="Tahoma" w:hAnsi="Tahoma" w:cs="Tahoma"/>
          <w:color w:val="000000"/>
          <w:sz w:val="18"/>
          <w:szCs w:val="18"/>
        </w:rPr>
        <w:t>SharePoint Online Plan 1 hieß zuvor SharePoint Online Standard</w:t>
      </w:r>
      <w:r w:rsidR="006257A7">
        <w:rPr>
          <w:rFonts w:ascii="Tahoma" w:hAnsi="Tahoma" w:cs="Tahoma"/>
          <w:color w:val="000000"/>
          <w:sz w:val="18"/>
          <w:szCs w:val="18"/>
        </w:rPr>
        <w:t xml:space="preserve">. </w:t>
      </w:r>
    </w:p>
    <w:p w:rsidR="00E73313" w:rsidRPr="0062435A" w:rsidRDefault="00E73313" w:rsidP="00E73313">
      <w:pPr>
        <w:pStyle w:val="EndnoteText"/>
        <w:ind w:left="720"/>
      </w:pPr>
    </w:p>
    <w:p w:rsidR="00E73313" w:rsidRPr="003002D3" w:rsidRDefault="00E73313" w:rsidP="00E73313">
      <w:pPr>
        <w:pStyle w:val="EndnoteText"/>
        <w:ind w:left="720"/>
        <w:rPr>
          <w:lang w:val="de-DE"/>
        </w:rPr>
      </w:pPr>
      <w:r w:rsidRPr="003002D3">
        <w:rPr>
          <w:rFonts w:ascii="Tahoma" w:hAnsi="Tahoma" w:cs="Tahoma"/>
          <w:color w:val="000000"/>
          <w:sz w:val="18"/>
          <w:szCs w:val="18"/>
          <w:lang w:val="de-DE"/>
        </w:rPr>
        <w:t>Kunden in Brasilien oder Chile, die SharePoint Online Plan 1 erwerben, werden für SharePoint Online Standard freigeschaltet</w:t>
      </w:r>
      <w:r w:rsidR="006257A7">
        <w:rPr>
          <w:rFonts w:ascii="Tahoma" w:hAnsi="Tahoma" w:cs="Tahoma"/>
          <w:color w:val="000000"/>
          <w:sz w:val="18"/>
          <w:szCs w:val="18"/>
          <w:lang w:val="de-DE"/>
        </w:rPr>
        <w:t xml:space="preserve">. </w:t>
      </w:r>
      <w:r w:rsidRPr="003002D3">
        <w:rPr>
          <w:rFonts w:ascii="Tahoma" w:hAnsi="Tahoma" w:cs="Tahoma"/>
          <w:color w:val="000000"/>
          <w:sz w:val="18"/>
          <w:szCs w:val="18"/>
          <w:lang w:val="de-DE"/>
        </w:rPr>
        <w:t>Diese Kunden sind berechtigt, später auf SharePoint Online Plan 1 zu migrieren</w:t>
      </w:r>
      <w:r w:rsidR="006257A7">
        <w:rPr>
          <w:rFonts w:ascii="Tahoma" w:hAnsi="Tahoma" w:cs="Tahoma"/>
          <w:color w:val="000000"/>
          <w:sz w:val="18"/>
          <w:szCs w:val="18"/>
          <w:lang w:val="de-DE"/>
        </w:rPr>
        <w:t xml:space="preserve">. </w:t>
      </w:r>
    </w:p>
    <w:p w:rsidR="00E73313" w:rsidRPr="003002D3" w:rsidRDefault="00E73313" w:rsidP="00E73313">
      <w:pPr>
        <w:pStyle w:val="EndnoteText"/>
        <w:ind w:left="720"/>
        <w:rPr>
          <w:lang w:val="de-DE"/>
        </w:rPr>
      </w:pPr>
    </w:p>
    <w:p w:rsidR="00E73313" w:rsidRPr="0062435A" w:rsidRDefault="00E73313" w:rsidP="00E73313">
      <w:pPr>
        <w:spacing w:after="60"/>
        <w:ind w:left="720"/>
      </w:pPr>
      <w:r>
        <w:rPr>
          <w:rFonts w:eastAsia="Calibri" w:cs="Tahoma"/>
          <w:b/>
          <w:color w:val="000000"/>
          <w:szCs w:val="18"/>
        </w:rPr>
        <w:t>Government Community Cloud (nur USA)</w:t>
      </w:r>
    </w:p>
    <w:p w:rsidR="00E73313" w:rsidRPr="003002D3" w:rsidRDefault="00E73313" w:rsidP="00BA264B">
      <w:pPr>
        <w:ind w:left="720"/>
        <w:rPr>
          <w:lang w:val="de-DE"/>
        </w:rPr>
      </w:pPr>
      <w:r>
        <w:rPr>
          <w:rFonts w:eastAsia="Calibri" w:cs="Tahoma"/>
          <w:color w:val="000000"/>
          <w:szCs w:val="18"/>
        </w:rPr>
        <w:t>Einige Onlinedienste in der Office 365-Produktfamilie (darunter SharePoint Online Plan 1 und 2) werden als</w:t>
      </w:r>
      <w:r w:rsidR="00BA264B">
        <w:rPr>
          <w:rFonts w:eastAsia="Calibri" w:cs="Tahoma"/>
          <w:color w:val="000000"/>
          <w:szCs w:val="18"/>
        </w:rPr>
        <w:t> </w:t>
      </w:r>
      <w:r>
        <w:rPr>
          <w:rFonts w:eastAsia="Calibri" w:cs="Tahoma"/>
          <w:color w:val="000000"/>
          <w:szCs w:val="18"/>
        </w:rPr>
        <w:t>Government Community Cloud-Dienste und Non-Government Community Cloud-Dienste angeboten</w:t>
      </w:r>
      <w:r w:rsidR="006257A7">
        <w:rPr>
          <w:rFonts w:eastAsia="Calibri" w:cs="Tahoma"/>
          <w:color w:val="000000"/>
          <w:szCs w:val="18"/>
        </w:rPr>
        <w:t xml:space="preserve">. </w:t>
      </w:r>
      <w:r w:rsidRPr="003002D3">
        <w:rPr>
          <w:rFonts w:eastAsia="Calibri" w:cs="Tahoma"/>
          <w:color w:val="000000"/>
          <w:szCs w:val="18"/>
          <w:lang w:val="de-DE"/>
        </w:rPr>
        <w:t>Die</w:t>
      </w:r>
      <w:r w:rsidR="00BA264B">
        <w:rPr>
          <w:rFonts w:eastAsia="Calibri" w:cs="Tahoma"/>
          <w:color w:val="000000"/>
          <w:szCs w:val="18"/>
          <w:lang w:val="de-DE"/>
        </w:rPr>
        <w:t> </w:t>
      </w:r>
      <w:r w:rsidRPr="003002D3">
        <w:rPr>
          <w:rFonts w:eastAsia="Calibri" w:cs="Tahoma"/>
          <w:color w:val="000000"/>
          <w:szCs w:val="18"/>
          <w:lang w:val="de-DE"/>
        </w:rPr>
        <w:t>Bereitstellung an Kunden kann in der einen oder anderen Form erfolgen, jedoch nicht als Kombination aus beidem</w:t>
      </w:r>
      <w:r w:rsidR="006257A7">
        <w:rPr>
          <w:rFonts w:eastAsia="Calibri" w:cs="Tahoma"/>
          <w:color w:val="000000"/>
          <w:szCs w:val="18"/>
          <w:lang w:val="de-DE"/>
        </w:rPr>
        <w:t xml:space="preserve">. </w:t>
      </w:r>
      <w:r w:rsidRPr="003002D3">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6257A7">
        <w:rPr>
          <w:rFonts w:eastAsia="Calibri" w:cs="Tahoma"/>
          <w:color w:val="000000"/>
          <w:szCs w:val="18"/>
          <w:lang w:val="de-DE"/>
        </w:rPr>
        <w:t xml:space="preserve">. </w:t>
      </w:r>
      <w:r w:rsidRPr="003002D3">
        <w:rPr>
          <w:rFonts w:eastAsia="Calibri" w:cs="Tahoma"/>
          <w:color w:val="000000"/>
          <w:szCs w:val="18"/>
          <w:lang w:val="de-DE"/>
        </w:rPr>
        <w:t>Diese</w:t>
      </w:r>
      <w:r w:rsidR="00BA264B">
        <w:rPr>
          <w:rFonts w:eastAsia="Calibri" w:cs="Tahoma"/>
          <w:color w:val="000000"/>
          <w:szCs w:val="18"/>
          <w:lang w:val="de-DE"/>
        </w:rPr>
        <w:t> </w:t>
      </w:r>
      <w:r w:rsidRPr="003002D3">
        <w:rPr>
          <w:rFonts w:eastAsia="Calibri" w:cs="Tahoma"/>
          <w:color w:val="000000"/>
          <w:szCs w:val="18"/>
          <w:lang w:val="de-DE"/>
        </w:rPr>
        <w:t>Beschränkung gilt für alle Onlinedienste, die zur Office 365-Produktfamilie gehören, darunter Exchange Online, SharePoint Online und Lync Online</w:t>
      </w:r>
      <w:r w:rsidR="006257A7">
        <w:rPr>
          <w:rFonts w:eastAsia="Calibri" w:cs="Tahoma"/>
          <w:color w:val="000000"/>
          <w:szCs w:val="18"/>
          <w:lang w:val="de-DE"/>
        </w:rPr>
        <w:t xml:space="preserve">. </w:t>
      </w:r>
    </w:p>
    <w:p w:rsidR="00E73313" w:rsidRDefault="00E73313" w:rsidP="00E73313">
      <w:pPr>
        <w:ind w:left="720"/>
        <w:rPr>
          <w:lang w:val="de-DE"/>
        </w:rPr>
      </w:pPr>
    </w:p>
    <w:p w:rsidR="00BA264B" w:rsidRDefault="00BA264B" w:rsidP="00E73313">
      <w:pPr>
        <w:ind w:left="720"/>
        <w:rPr>
          <w:lang w:val="de-DE"/>
        </w:rPr>
      </w:pPr>
    </w:p>
    <w:p w:rsidR="00F25255" w:rsidRDefault="00F25255" w:rsidP="00E73313">
      <w:pPr>
        <w:ind w:left="720"/>
        <w:rPr>
          <w:lang w:val="de-DE"/>
        </w:rPr>
      </w:pPr>
    </w:p>
    <w:p w:rsidR="00E73313" w:rsidRPr="003002D3" w:rsidRDefault="00E73313" w:rsidP="00BA264B">
      <w:pPr>
        <w:ind w:left="720"/>
        <w:rPr>
          <w:lang w:val="de-DE"/>
        </w:rPr>
      </w:pPr>
      <w:r w:rsidRPr="003002D3">
        <w:rPr>
          <w:rFonts w:eastAsia="Calibri" w:cs="Tahoma"/>
          <w:color w:val="000000"/>
          <w:szCs w:val="18"/>
          <w:lang w:val="de-DE"/>
        </w:rPr>
        <w:t>Wenn ein Onlinedienst in der Government Community Cloud bereitgestellt wird, bleibt er für die Dauer der</w:t>
      </w:r>
      <w:r w:rsidR="00BA264B">
        <w:rPr>
          <w:rFonts w:eastAsia="Calibri" w:cs="Tahoma"/>
          <w:color w:val="000000"/>
          <w:szCs w:val="18"/>
          <w:lang w:val="de-DE"/>
        </w:rPr>
        <w:t> </w:t>
      </w:r>
      <w:r w:rsidRPr="003002D3">
        <w:rPr>
          <w:rFonts w:eastAsia="Calibri" w:cs="Tahoma"/>
          <w:color w:val="000000"/>
          <w:szCs w:val="18"/>
          <w:lang w:val="de-DE"/>
        </w:rPr>
        <w:t>Abonnementlaufzeit dort</w:t>
      </w:r>
      <w:r w:rsidR="006257A7">
        <w:rPr>
          <w:rFonts w:eastAsia="Calibri" w:cs="Tahoma"/>
          <w:color w:val="000000"/>
          <w:szCs w:val="18"/>
          <w:lang w:val="de-DE"/>
        </w:rPr>
        <w:t xml:space="preserve">. </w:t>
      </w:r>
      <w:r w:rsidRPr="003002D3">
        <w:rPr>
          <w:rFonts w:eastAsia="Calibri" w:cs="Tahoma"/>
          <w:color w:val="000000"/>
          <w:szCs w:val="18"/>
          <w:lang w:val="de-DE"/>
        </w:rPr>
        <w:t>Kunden, bei denen es sich um US-amerikanische Verwaltungseinrichtungen auf nationaler, einzelstaatlicher, kommunaler oder Stammesebene handelt, müssen Vertragspartei eines</w:t>
      </w:r>
      <w:r w:rsidR="00BA264B">
        <w:rPr>
          <w:rFonts w:eastAsia="Calibri" w:cs="Tahoma"/>
          <w:color w:val="000000"/>
          <w:szCs w:val="18"/>
          <w:lang w:val="de-DE"/>
        </w:rPr>
        <w:t> </w:t>
      </w:r>
      <w:r w:rsidRPr="003002D3">
        <w:rPr>
          <w:rFonts w:eastAsia="Calibri" w:cs="Tahoma"/>
          <w:color w:val="000000"/>
          <w:szCs w:val="18"/>
          <w:lang w:val="de-DE"/>
        </w:rPr>
        <w:t>Konzernbeitritts oder Konzern-Abonnement-Beitritts für US-Behörden sein, um zum Erwerb von</w:t>
      </w:r>
      <w:r w:rsidR="00BA264B">
        <w:rPr>
          <w:rFonts w:eastAsia="Calibri" w:cs="Tahoma"/>
          <w:color w:val="000000"/>
          <w:szCs w:val="18"/>
          <w:lang w:val="de-DE"/>
        </w:rPr>
        <w:t> </w:t>
      </w:r>
      <w:r w:rsidRPr="003002D3">
        <w:rPr>
          <w:rFonts w:eastAsia="Calibri" w:cs="Tahoma"/>
          <w:color w:val="000000"/>
          <w:szCs w:val="18"/>
          <w:lang w:val="de-DE"/>
        </w:rPr>
        <w:t>Onlinediensten, die als Government Community Cloud bezeichnet werden, berechtigt zu sein</w:t>
      </w:r>
      <w:r w:rsidR="006257A7">
        <w:rPr>
          <w:rFonts w:eastAsia="Calibri" w:cs="Tahoma"/>
          <w:color w:val="000000"/>
          <w:szCs w:val="18"/>
          <w:lang w:val="de-DE"/>
        </w:rPr>
        <w:t xml:space="preserve">. </w:t>
      </w:r>
      <w:r w:rsidRPr="003002D3">
        <w:rPr>
          <w:rFonts w:eastAsia="Calibri" w:cs="Tahoma"/>
          <w:color w:val="000000"/>
          <w:szCs w:val="18"/>
          <w:lang w:val="de-DE"/>
        </w:rPr>
        <w:t>Die</w:t>
      </w:r>
      <w:r w:rsidR="00BA264B">
        <w:rPr>
          <w:rFonts w:eastAsia="Calibri" w:cs="Tahoma"/>
          <w:color w:val="000000"/>
          <w:szCs w:val="18"/>
          <w:lang w:val="de-DE"/>
        </w:rPr>
        <w:t> </w:t>
      </w:r>
      <w:r w:rsidRPr="003002D3">
        <w:rPr>
          <w:rFonts w:eastAsia="Calibri" w:cs="Tahoma"/>
          <w:color w:val="000000"/>
          <w:szCs w:val="18"/>
          <w:lang w:val="de-DE"/>
        </w:rPr>
        <w:t>Nutzungsrechte für Government Community Cloud-Dienste entsprechen den Nutzungsrechten ihrer</w:t>
      </w:r>
      <w:r w:rsidR="00BA264B">
        <w:rPr>
          <w:rFonts w:eastAsia="Calibri" w:cs="Tahoma"/>
          <w:color w:val="000000"/>
          <w:szCs w:val="18"/>
          <w:lang w:val="de-DE"/>
        </w:rPr>
        <w:t> </w:t>
      </w:r>
      <w:r w:rsidRPr="003002D3">
        <w:rPr>
          <w:rFonts w:eastAsia="Calibri" w:cs="Tahoma"/>
          <w:color w:val="000000"/>
          <w:szCs w:val="18"/>
          <w:lang w:val="de-DE"/>
        </w:rPr>
        <w:t>mehrinstanzenfähigen Standardäquivalente</w:t>
      </w:r>
      <w:r w:rsidR="006257A7">
        <w:rPr>
          <w:rFonts w:eastAsia="Calibri" w:cs="Tahoma"/>
          <w:color w:val="000000"/>
          <w:szCs w:val="18"/>
          <w:lang w:val="de-DE"/>
        </w:rPr>
        <w:t xml:space="preserve">. </w:t>
      </w:r>
    </w:p>
    <w:p w:rsidR="00E73313" w:rsidRPr="003002D3" w:rsidRDefault="00E73313" w:rsidP="00E73313">
      <w:pPr>
        <w:pStyle w:val="EndnoteText"/>
        <w:ind w:left="0"/>
        <w:rPr>
          <w:lang w:val="de-DE"/>
        </w:rPr>
      </w:pPr>
    </w:p>
    <w:p w:rsidR="00E73313" w:rsidRPr="003002D3" w:rsidRDefault="00E73313" w:rsidP="00E73313">
      <w:pPr>
        <w:pStyle w:val="EndnoteText"/>
        <w:ind w:left="0"/>
        <w:rPr>
          <w:lang w:val="de-DE"/>
        </w:rPr>
      </w:pPr>
    </w:p>
    <w:p w:rsidR="00E73313" w:rsidRPr="003002D3" w:rsidRDefault="00E73313" w:rsidP="00E73313">
      <w:pPr>
        <w:pStyle w:val="Heading2"/>
        <w:ind w:left="0"/>
        <w:rPr>
          <w:lang w:val="de-DE"/>
        </w:rPr>
      </w:pPr>
      <w:bookmarkStart w:id="1433" w:name="_69_SharePoint_Server"/>
      <w:bookmarkStart w:id="1434" w:name="_74_72_SharePoint"/>
      <w:bookmarkStart w:id="1435" w:name="_79_SharePoint_Server"/>
      <w:bookmarkStart w:id="1436" w:name="_Toc336338335"/>
      <w:bookmarkStart w:id="1437" w:name="_Toc363999076"/>
      <w:bookmarkStart w:id="1438" w:name="Srv_65ShareptSvr10"/>
      <w:bookmarkStart w:id="1439" w:name="Srv_64OfficeShareptSvr10"/>
      <w:bookmarkStart w:id="1440" w:name="Srv_63OfficeShareptSvr07"/>
      <w:bookmarkStart w:id="1441" w:name="Srv_62OfficeShareptSvr07"/>
      <w:bookmarkEnd w:id="1425"/>
      <w:bookmarkEnd w:id="1433"/>
      <w:bookmarkEnd w:id="1434"/>
      <w:bookmarkEnd w:id="1435"/>
      <w:r w:rsidRPr="003002D3">
        <w:rPr>
          <w:rFonts w:ascii="Tahoma" w:hAnsi="Tahoma" w:cs="Tahoma"/>
          <w:caps/>
          <w:color w:val="FA6500"/>
          <w:sz w:val="22"/>
          <w:vertAlign w:val="superscript"/>
          <w:lang w:val="de-DE"/>
        </w:rPr>
        <w:t>79</w:t>
      </w:r>
      <w:r w:rsidRPr="00BA264B">
        <w:rPr>
          <w:rFonts w:ascii="Tahoma" w:hAnsi="Tahoma" w:cs="Tahoma"/>
          <w:caps/>
          <w:color w:val="FA6500"/>
          <w:sz w:val="22"/>
          <w:lang w:val="de-DE"/>
        </w:rPr>
        <w:t xml:space="preserve"> </w:t>
      </w:r>
      <w:r w:rsidRPr="003002D3">
        <w:rPr>
          <w:rFonts w:ascii="Tahoma" w:hAnsi="Tahoma" w:cs="Tahoma"/>
          <w:color w:val="FA6500"/>
          <w:sz w:val="22"/>
          <w:lang w:val="de-DE"/>
        </w:rPr>
        <w:t xml:space="preserve">SharePoint Server </w:t>
      </w:r>
      <w:bookmarkEnd w:id="1436"/>
      <w:r w:rsidRPr="003002D3">
        <w:rPr>
          <w:rFonts w:ascii="Tahoma" w:hAnsi="Tahoma" w:cs="Tahoma"/>
          <w:color w:val="FA6500"/>
          <w:sz w:val="22"/>
          <w:lang w:val="de-DE"/>
        </w:rPr>
        <w:t>2013</w:t>
      </w:r>
      <w:bookmarkEnd w:id="1437"/>
      <w:r w:rsidRPr="003002D3">
        <w:rPr>
          <w:rFonts w:ascii="Tahoma" w:hAnsi="Tahoma" w:cs="Tahoma"/>
          <w:color w:val="FA6500"/>
          <w:sz w:val="22"/>
          <w:lang w:val="de-DE"/>
        </w:rPr>
        <w:t xml:space="preserve"> </w:t>
      </w:r>
    </w:p>
    <w:bookmarkEnd w:id="1438"/>
    <w:bookmarkEnd w:id="1439"/>
    <w:bookmarkEnd w:id="1440"/>
    <w:bookmarkEnd w:id="1441"/>
    <w:p w:rsidR="00E73313" w:rsidRPr="003002D3" w:rsidRDefault="00E73313" w:rsidP="00E73313">
      <w:pPr>
        <w:ind w:left="720"/>
        <w:rPr>
          <w:lang w:val="de-DE"/>
        </w:rPr>
      </w:pPr>
    </w:p>
    <w:p w:rsidR="00E73313" w:rsidRPr="003002D3" w:rsidRDefault="00E73313" w:rsidP="00E73313">
      <w:pPr>
        <w:ind w:left="720"/>
        <w:rPr>
          <w:lang w:val="de-DE"/>
        </w:rPr>
      </w:pPr>
      <w:r w:rsidRPr="003002D3">
        <w:rPr>
          <w:rFonts w:cs="Tahoma"/>
          <w:color w:val="000000"/>
          <w:szCs w:val="18"/>
          <w:lang w:val="de-DE"/>
        </w:rPr>
        <w:t>SharePoint Server 2013 ist die neueste Version von SharePoint Server</w:t>
      </w:r>
      <w:r w:rsidR="006257A7">
        <w:rPr>
          <w:rFonts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cs="Tahoma"/>
          <w:b/>
          <w:color w:val="000000"/>
          <w:szCs w:val="18"/>
          <w:lang w:val="de-DE"/>
        </w:rPr>
        <w:t>Lizenzgewährungen für SharePoint Server 2010 for Internet Sites Enterprise, SharePoint Server 2010 for Internet Sites Standard, FAST Search Server 2010 for SharePoint Server Customers, Search Server 2010</w:t>
      </w:r>
    </w:p>
    <w:p w:rsidR="00E73313" w:rsidRPr="0062435A" w:rsidRDefault="00E73313" w:rsidP="00E73313">
      <w:pPr>
        <w:ind w:left="720"/>
      </w:pPr>
      <w:r w:rsidRPr="003002D3">
        <w:rPr>
          <w:rFonts w:cs="Tahoma"/>
          <w:color w:val="000000"/>
          <w:szCs w:val="18"/>
          <w:lang w:val="de-DE"/>
        </w:rPr>
        <w:t>Die 2010-Version von SharePoint Server for Internet Sites Enterprise und SharePoint Server for Internet Sites Standard, FAST Search Server for SharePoint Server und Search Server ist die letzte Version dieser Produkte</w:t>
      </w:r>
      <w:r w:rsidR="006257A7">
        <w:rPr>
          <w:rFonts w:cs="Tahoma"/>
          <w:color w:val="000000"/>
          <w:szCs w:val="18"/>
          <w:lang w:val="de-DE"/>
        </w:rPr>
        <w:t xml:space="preserve">. </w:t>
      </w:r>
      <w:r w:rsidRPr="003002D3">
        <w:rPr>
          <w:rFonts w:cs="Tahoma"/>
          <w:color w:val="000000"/>
          <w:szCs w:val="18"/>
          <w:lang w:val="de-DE"/>
        </w:rPr>
        <w:t>In Anbetracht dessen haben Kunden mit Lizenzen für SharePoint Server 2010 for Internet Sites Enterprise, SharePoint Server 2010 for Internet Sites Standard, FAST Search Server 2010 for SharePoint, Search Server 2010 mit aktiver Software Assurance zum 1</w:t>
      </w:r>
      <w:r w:rsidR="006257A7">
        <w:rPr>
          <w:rFonts w:cs="Tahoma"/>
          <w:color w:val="000000"/>
          <w:szCs w:val="18"/>
          <w:lang w:val="de-DE"/>
        </w:rPr>
        <w:t xml:space="preserve">. </w:t>
      </w:r>
      <w:r>
        <w:rPr>
          <w:rFonts w:cs="Tahoma"/>
          <w:color w:val="000000"/>
          <w:szCs w:val="18"/>
        </w:rPr>
        <w:t>Oktober 2012 Anspruch auf die folgenden Lizenzgewährungen</w:t>
      </w:r>
      <w:r w:rsidR="006257A7">
        <w:rPr>
          <w:rFonts w:cs="Tahoma"/>
          <w:color w:val="000000"/>
          <w:szCs w:val="18"/>
        </w:rPr>
        <w:t xml:space="preserve">. </w:t>
      </w:r>
    </w:p>
    <w:p w:rsidR="00E73313" w:rsidRPr="0062435A" w:rsidRDefault="00E73313" w:rsidP="00E733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0"/>
        <w:gridCol w:w="3870"/>
      </w:tblGrid>
      <w:tr w:rsidR="00E73313" w:rsidRPr="00F6565C" w:rsidTr="00BA264B">
        <w:trPr>
          <w:trHeight w:val="332"/>
        </w:trPr>
        <w:tc>
          <w:tcPr>
            <w:tcW w:w="4230" w:type="dxa"/>
            <w:shd w:val="clear" w:color="auto" w:fill="FABF8F"/>
          </w:tcPr>
          <w:p w:rsidR="00E73313" w:rsidRPr="002065C2" w:rsidRDefault="00E73313" w:rsidP="00E328C3">
            <w:pPr>
              <w:keepNext/>
              <w:keepLines/>
              <w:spacing w:before="60" w:after="60"/>
              <w:rPr>
                <w:rFonts w:cs="Tahoma"/>
                <w:b/>
                <w:color w:val="000000"/>
                <w:szCs w:val="18"/>
              </w:rPr>
            </w:pPr>
            <w:r>
              <w:rPr>
                <w:rFonts w:cs="Tahoma"/>
                <w:b/>
                <w:color w:val="000000"/>
                <w:szCs w:val="18"/>
              </w:rPr>
              <w:t>Kriterien für qualifizierende Lizenzen</w:t>
            </w:r>
          </w:p>
        </w:tc>
        <w:tc>
          <w:tcPr>
            <w:tcW w:w="3870" w:type="dxa"/>
            <w:shd w:val="clear" w:color="auto" w:fill="FABF8F"/>
          </w:tcPr>
          <w:p w:rsidR="00E73313" w:rsidRPr="002065C2" w:rsidRDefault="00E73313" w:rsidP="00E328C3">
            <w:pPr>
              <w:keepNext/>
              <w:keepLines/>
              <w:spacing w:before="60" w:after="60"/>
              <w:rPr>
                <w:rFonts w:cs="Tahoma"/>
                <w:b/>
                <w:color w:val="000000"/>
                <w:szCs w:val="18"/>
              </w:rPr>
            </w:pPr>
            <w:r>
              <w:rPr>
                <w:rFonts w:cs="Tahoma"/>
                <w:b/>
                <w:color w:val="000000"/>
                <w:szCs w:val="18"/>
              </w:rPr>
              <w:t>Zusätzliche Lizenzen und Vergünstigungen</w:t>
            </w:r>
          </w:p>
        </w:tc>
      </w:tr>
      <w:tr w:rsidR="00E73313" w:rsidRPr="001B6F67" w:rsidTr="00BA264B">
        <w:trPr>
          <w:trHeight w:val="70"/>
        </w:trPr>
        <w:tc>
          <w:tcPr>
            <w:tcW w:w="4230" w:type="dxa"/>
            <w:shd w:val="clear" w:color="auto" w:fill="auto"/>
          </w:tcPr>
          <w:p w:rsidR="00E73313" w:rsidRPr="002065C2" w:rsidRDefault="00E73313" w:rsidP="00E328C3">
            <w:pPr>
              <w:keepNext/>
              <w:keepLines/>
              <w:rPr>
                <w:rFonts w:cs="Tahoma"/>
                <w:color w:val="000000"/>
                <w:szCs w:val="18"/>
              </w:rPr>
            </w:pPr>
            <w:r>
              <w:rPr>
                <w:rFonts w:cs="Tahoma"/>
                <w:color w:val="000000"/>
                <w:szCs w:val="18"/>
              </w:rPr>
              <w:t>Lizenz für SharePoint Server 2010 for Internet Sites Enterprise mit aktiver Software Assurance zum 1</w:t>
            </w:r>
            <w:r w:rsidR="006257A7">
              <w:rPr>
                <w:rFonts w:cs="Tahoma"/>
                <w:color w:val="000000"/>
                <w:szCs w:val="18"/>
              </w:rPr>
              <w:t xml:space="preserve">. </w:t>
            </w:r>
            <w:r>
              <w:rPr>
                <w:rFonts w:cs="Tahoma"/>
                <w:color w:val="000000"/>
                <w:szCs w:val="18"/>
              </w:rPr>
              <w:t>Oktober 2012</w:t>
            </w:r>
          </w:p>
        </w:tc>
        <w:tc>
          <w:tcPr>
            <w:tcW w:w="3870" w:type="dxa"/>
            <w:shd w:val="clear" w:color="auto" w:fill="auto"/>
          </w:tcPr>
          <w:p w:rsidR="00E73313" w:rsidRPr="003002D3" w:rsidRDefault="00E73313" w:rsidP="00E328C3">
            <w:pPr>
              <w:keepNext/>
              <w:keepLines/>
              <w:rPr>
                <w:rFonts w:cs="Tahoma"/>
                <w:color w:val="000000"/>
                <w:szCs w:val="18"/>
                <w:lang w:val="de-DE"/>
              </w:rPr>
            </w:pPr>
            <w:r w:rsidRPr="003002D3">
              <w:rPr>
                <w:rFonts w:cs="Tahoma"/>
                <w:color w:val="000000"/>
                <w:szCs w:val="18"/>
                <w:lang w:val="de-DE"/>
              </w:rPr>
              <w:t>Eine Lizenz für SharePoint Server 2013</w:t>
            </w:r>
          </w:p>
        </w:tc>
      </w:tr>
      <w:tr w:rsidR="00E73313" w:rsidRPr="001B6F67" w:rsidTr="00BA264B">
        <w:trPr>
          <w:trHeight w:val="152"/>
        </w:trPr>
        <w:tc>
          <w:tcPr>
            <w:tcW w:w="4230" w:type="dxa"/>
            <w:shd w:val="clear" w:color="auto" w:fill="auto"/>
          </w:tcPr>
          <w:p w:rsidR="00E73313" w:rsidRDefault="00E73313" w:rsidP="00E328C3">
            <w:pPr>
              <w:keepNext/>
              <w:keepLines/>
              <w:rPr>
                <w:rFonts w:cs="Tahoma"/>
                <w:color w:val="000000"/>
                <w:szCs w:val="18"/>
              </w:rPr>
            </w:pPr>
            <w:r w:rsidRPr="003002D3">
              <w:rPr>
                <w:rFonts w:cs="Tahoma"/>
                <w:color w:val="000000"/>
                <w:szCs w:val="18"/>
                <w:lang w:val="de-DE"/>
              </w:rPr>
              <w:t>Lizenz für SharePoint Server 2010 for Internet Sites Standard mit aktiver Software Assurance zum 1</w:t>
            </w:r>
            <w:r w:rsidR="006257A7">
              <w:rPr>
                <w:rFonts w:cs="Tahoma"/>
                <w:color w:val="000000"/>
                <w:szCs w:val="18"/>
                <w:lang w:val="de-DE"/>
              </w:rPr>
              <w:t xml:space="preserve">. </w:t>
            </w:r>
            <w:r>
              <w:rPr>
                <w:rFonts w:cs="Tahoma"/>
                <w:color w:val="000000"/>
                <w:szCs w:val="18"/>
              </w:rPr>
              <w:t xml:space="preserve">Oktober 2012 </w:t>
            </w:r>
          </w:p>
        </w:tc>
        <w:tc>
          <w:tcPr>
            <w:tcW w:w="3870" w:type="dxa"/>
            <w:shd w:val="clear" w:color="auto" w:fill="auto"/>
          </w:tcPr>
          <w:p w:rsidR="00E73313" w:rsidRPr="003002D3" w:rsidRDefault="00E73313" w:rsidP="00E328C3">
            <w:pPr>
              <w:keepNext/>
              <w:keepLines/>
              <w:rPr>
                <w:rFonts w:cs="Tahoma"/>
                <w:color w:val="000000"/>
                <w:szCs w:val="18"/>
                <w:lang w:val="de-DE"/>
              </w:rPr>
            </w:pPr>
            <w:r w:rsidRPr="003002D3">
              <w:rPr>
                <w:rFonts w:cs="Tahoma"/>
                <w:color w:val="000000"/>
                <w:szCs w:val="18"/>
                <w:lang w:val="de-DE"/>
              </w:rPr>
              <w:t>Eine Lizenz für SharePoint Server 2013</w:t>
            </w:r>
          </w:p>
        </w:tc>
      </w:tr>
      <w:tr w:rsidR="00E73313" w:rsidRPr="001B6F67" w:rsidTr="00BA264B">
        <w:trPr>
          <w:trHeight w:val="152"/>
        </w:trPr>
        <w:tc>
          <w:tcPr>
            <w:tcW w:w="4230" w:type="dxa"/>
            <w:shd w:val="clear" w:color="auto" w:fill="auto"/>
          </w:tcPr>
          <w:p w:rsidR="00E73313" w:rsidRPr="002065C2" w:rsidRDefault="00E73313" w:rsidP="00E328C3">
            <w:pPr>
              <w:keepNext/>
              <w:keepLines/>
              <w:rPr>
                <w:rFonts w:cs="Tahoma"/>
                <w:color w:val="000000"/>
                <w:szCs w:val="18"/>
              </w:rPr>
            </w:pPr>
            <w:r w:rsidRPr="003002D3">
              <w:rPr>
                <w:rFonts w:cs="Tahoma"/>
                <w:color w:val="000000"/>
                <w:szCs w:val="18"/>
                <w:lang w:val="de-DE"/>
              </w:rPr>
              <w:t>Lizenz für FAST Search Server 2010 for SharePoint Server mit aktiver Software Assurance zum 1</w:t>
            </w:r>
            <w:r w:rsidR="006257A7">
              <w:rPr>
                <w:rFonts w:cs="Tahoma"/>
                <w:color w:val="000000"/>
                <w:szCs w:val="18"/>
                <w:lang w:val="de-DE"/>
              </w:rPr>
              <w:t xml:space="preserve">. </w:t>
            </w:r>
            <w:r>
              <w:rPr>
                <w:rFonts w:cs="Tahoma"/>
                <w:color w:val="000000"/>
                <w:szCs w:val="18"/>
              </w:rPr>
              <w:t>Oktober 2012</w:t>
            </w:r>
          </w:p>
        </w:tc>
        <w:tc>
          <w:tcPr>
            <w:tcW w:w="3870" w:type="dxa"/>
            <w:shd w:val="clear" w:color="auto" w:fill="auto"/>
          </w:tcPr>
          <w:p w:rsidR="00E73313" w:rsidRPr="003002D3" w:rsidRDefault="00E73313" w:rsidP="00E328C3">
            <w:pPr>
              <w:keepNext/>
              <w:keepLines/>
              <w:rPr>
                <w:rFonts w:cs="Tahoma"/>
                <w:color w:val="000000"/>
                <w:szCs w:val="18"/>
                <w:lang w:val="de-DE"/>
              </w:rPr>
            </w:pPr>
            <w:r w:rsidRPr="003002D3">
              <w:rPr>
                <w:rFonts w:cs="Tahoma"/>
                <w:color w:val="000000"/>
                <w:szCs w:val="18"/>
                <w:lang w:val="de-DE"/>
              </w:rPr>
              <w:t>Eine Lizenz für SharePoint Server 2013</w:t>
            </w:r>
          </w:p>
        </w:tc>
      </w:tr>
      <w:tr w:rsidR="00E73313" w:rsidRPr="00F6565C" w:rsidTr="00BA264B">
        <w:trPr>
          <w:trHeight w:val="233"/>
        </w:trPr>
        <w:tc>
          <w:tcPr>
            <w:tcW w:w="4230" w:type="dxa"/>
            <w:shd w:val="clear" w:color="auto" w:fill="auto"/>
          </w:tcPr>
          <w:p w:rsidR="00E73313" w:rsidRPr="002065C2" w:rsidRDefault="00E73313" w:rsidP="00E328C3">
            <w:pPr>
              <w:keepNext/>
              <w:keepLines/>
              <w:rPr>
                <w:rFonts w:cs="Tahoma"/>
                <w:color w:val="000000"/>
                <w:szCs w:val="18"/>
              </w:rPr>
            </w:pPr>
            <w:r w:rsidRPr="003002D3">
              <w:rPr>
                <w:rFonts w:cs="Tahoma"/>
                <w:color w:val="000000"/>
                <w:szCs w:val="18"/>
                <w:lang w:val="de-DE"/>
              </w:rPr>
              <w:t>Lizenz für Search Server 2010 mit aktiver Software Assurance zum 1</w:t>
            </w:r>
            <w:r w:rsidR="006257A7">
              <w:rPr>
                <w:rFonts w:cs="Tahoma"/>
                <w:color w:val="000000"/>
                <w:szCs w:val="18"/>
                <w:lang w:val="de-DE"/>
              </w:rPr>
              <w:t xml:space="preserve">. </w:t>
            </w:r>
            <w:r>
              <w:rPr>
                <w:rFonts w:cs="Tahoma"/>
                <w:color w:val="000000"/>
                <w:szCs w:val="18"/>
              </w:rPr>
              <w:t>Oktober 2012</w:t>
            </w:r>
          </w:p>
        </w:tc>
        <w:tc>
          <w:tcPr>
            <w:tcW w:w="3870" w:type="dxa"/>
            <w:shd w:val="clear" w:color="auto" w:fill="auto"/>
          </w:tcPr>
          <w:p w:rsidR="00E73313" w:rsidRPr="003002D3" w:rsidRDefault="00E73313" w:rsidP="00E328C3">
            <w:pPr>
              <w:keepNext/>
              <w:keepLines/>
              <w:rPr>
                <w:lang w:val="de-DE"/>
              </w:rPr>
            </w:pPr>
            <w:r w:rsidRPr="003002D3">
              <w:rPr>
                <w:rFonts w:cs="Tahoma"/>
                <w:color w:val="000000"/>
                <w:szCs w:val="18"/>
                <w:lang w:val="de-DE"/>
              </w:rPr>
              <w:t xml:space="preserve">Eine Lizenz für SharePoint Server 2013 </w:t>
            </w:r>
            <w:r w:rsidRPr="003002D3">
              <w:rPr>
                <w:rFonts w:cs="Tahoma"/>
                <w:b/>
                <w:color w:val="000000"/>
                <w:szCs w:val="18"/>
                <w:lang w:val="de-DE"/>
              </w:rPr>
              <w:t>und</w:t>
            </w:r>
          </w:p>
          <w:p w:rsidR="00E73313" w:rsidRPr="003002D3" w:rsidRDefault="00E73313" w:rsidP="00E328C3">
            <w:pPr>
              <w:keepNext/>
              <w:keepLines/>
              <w:rPr>
                <w:lang w:val="de-DE"/>
              </w:rPr>
            </w:pPr>
          </w:p>
          <w:p w:rsidR="00E73313" w:rsidRPr="002065C2" w:rsidRDefault="00E73313" w:rsidP="00E328C3">
            <w:pPr>
              <w:keepNext/>
              <w:keepLines/>
              <w:rPr>
                <w:rFonts w:cs="Tahoma"/>
                <w:color w:val="000000"/>
                <w:szCs w:val="18"/>
              </w:rPr>
            </w:pPr>
            <w:r>
              <w:rPr>
                <w:rFonts w:cs="Tahoma"/>
                <w:color w:val="000000"/>
                <w:szCs w:val="18"/>
              </w:rPr>
              <w:t>100 CALs für SharePoint Server 2013 Standard</w:t>
            </w:r>
          </w:p>
        </w:tc>
      </w:tr>
    </w:tbl>
    <w:p w:rsidR="00E73313" w:rsidRPr="0062435A" w:rsidRDefault="00E73313" w:rsidP="00E73313"/>
    <w:p w:rsidR="00E73313" w:rsidRPr="003002D3" w:rsidRDefault="00E73313" w:rsidP="00E73313">
      <w:pPr>
        <w:ind w:left="720"/>
        <w:rPr>
          <w:lang w:val="de-DE"/>
        </w:rPr>
      </w:pPr>
      <w:r w:rsidRPr="003002D3">
        <w:rPr>
          <w:rFonts w:cs="Tahoma"/>
          <w:color w:val="000000"/>
          <w:szCs w:val="18"/>
          <w:lang w:val="de-DE"/>
        </w:rPr>
        <w:t>Die folgenden Bestimmungen gelten für die Lizenzgewährung oben</w:t>
      </w:r>
      <w:r w:rsidR="006257A7">
        <w:rPr>
          <w:rFonts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numPr>
          <w:ilvl w:val="0"/>
          <w:numId w:val="101"/>
        </w:numPr>
        <w:spacing w:after="60"/>
        <w:ind w:left="1440"/>
        <w:rPr>
          <w:lang w:val="de-DE"/>
        </w:rPr>
      </w:pPr>
      <w:r w:rsidRPr="003002D3">
        <w:rPr>
          <w:rFonts w:cs="Tahoma"/>
          <w:bCs/>
          <w:color w:val="000000"/>
          <w:szCs w:val="18"/>
          <w:u w:val="single"/>
          <w:lang w:val="de-DE"/>
        </w:rPr>
        <w:t>Migrationspfad</w:t>
      </w:r>
      <w:r w:rsidRPr="00BA264B">
        <w:rPr>
          <w:rFonts w:cs="Tahoma"/>
          <w:color w:val="000000"/>
          <w:szCs w:val="18"/>
          <w:lang w:val="de-DE"/>
        </w:rPr>
        <w:t>:</w:t>
      </w:r>
      <w:r w:rsidRPr="003002D3">
        <w:rPr>
          <w:rFonts w:cs="Tahoma"/>
          <w:color w:val="000000"/>
          <w:szCs w:val="18"/>
          <w:lang w:val="de-DE"/>
        </w:rPr>
        <w:t xml:space="preserve"> Kunden mit aktiver Software Assurance für eine bestimmte Qualifizierende Lizenz zum 1</w:t>
      </w:r>
      <w:r w:rsidR="006257A7">
        <w:rPr>
          <w:rFonts w:cs="Tahoma"/>
          <w:color w:val="000000"/>
          <w:szCs w:val="18"/>
          <w:lang w:val="de-DE"/>
        </w:rPr>
        <w:t xml:space="preserve">. </w:t>
      </w:r>
      <w:r w:rsidRPr="003002D3">
        <w:rPr>
          <w:rFonts w:cs="Tahoma"/>
          <w:color w:val="000000"/>
          <w:szCs w:val="18"/>
          <w:lang w:val="de-DE"/>
        </w:rPr>
        <w:t>Oktober 2012 sind nach Freigabe von SharePoint Server 2013 berechtigt, unter der Zusätzlichen Lizenz auf die Software SharePoint 2013 upzugraden und sie anstelle der entsprechenden lizenzierten Kopie der 2010-Software zu verwenden</w:t>
      </w:r>
      <w:r w:rsidR="006257A7">
        <w:rPr>
          <w:rFonts w:cs="Tahoma"/>
          <w:color w:val="000000"/>
          <w:szCs w:val="18"/>
          <w:lang w:val="de-DE"/>
        </w:rPr>
        <w:t xml:space="preserve">. </w:t>
      </w:r>
    </w:p>
    <w:p w:rsidR="00E73313" w:rsidRPr="003002D3" w:rsidRDefault="00E73313" w:rsidP="007920AE">
      <w:pPr>
        <w:numPr>
          <w:ilvl w:val="0"/>
          <w:numId w:val="101"/>
        </w:numPr>
        <w:spacing w:after="60"/>
        <w:ind w:left="1440"/>
        <w:rPr>
          <w:lang w:val="de-DE"/>
        </w:rPr>
      </w:pPr>
      <w:r w:rsidRPr="003002D3">
        <w:rPr>
          <w:rFonts w:cs="Tahoma"/>
          <w:color w:val="000000"/>
          <w:szCs w:val="18"/>
          <w:u w:val="single"/>
          <w:lang w:val="de-DE"/>
        </w:rPr>
        <w:t>Nutzungsrechte</w:t>
      </w:r>
      <w:r w:rsidRPr="003002D3">
        <w:rPr>
          <w:rFonts w:cs="Tahoma"/>
          <w:color w:val="000000"/>
          <w:szCs w:val="18"/>
          <w:lang w:val="de-DE"/>
        </w:rPr>
        <w:t>: Das Recht zur Nutzung der Software unter der Zusätzlichen Lizenz unter diesem</w:t>
      </w:r>
      <w:r w:rsidR="007920AE">
        <w:rPr>
          <w:rFonts w:cs="Tahoma"/>
          <w:color w:val="000000"/>
          <w:szCs w:val="18"/>
          <w:lang w:val="de-DE"/>
        </w:rPr>
        <w:t> </w:t>
      </w:r>
      <w:r w:rsidRPr="003002D3">
        <w:rPr>
          <w:rFonts w:cs="Tahoma"/>
          <w:color w:val="000000"/>
          <w:szCs w:val="18"/>
          <w:lang w:val="de-DE"/>
        </w:rPr>
        <w:t>Angebot gilt bis zum Ablauf des Rechts zur Nutzung der Software unter der Qualifizierenden Lizenz</w:t>
      </w:r>
      <w:r w:rsidR="006257A7">
        <w:rPr>
          <w:rFonts w:cs="Tahoma"/>
          <w:color w:val="000000"/>
          <w:szCs w:val="18"/>
          <w:lang w:val="de-DE"/>
        </w:rPr>
        <w:t xml:space="preserve">. </w:t>
      </w:r>
      <w:r w:rsidRPr="003002D3">
        <w:rPr>
          <w:rFonts w:cs="Tahoma"/>
          <w:color w:val="000000"/>
          <w:szCs w:val="18"/>
          <w:lang w:val="de-DE"/>
        </w:rPr>
        <w:t>Die Nutzung dieser Software unterliegt den Nutzungsrechten für die Software sowie den</w:t>
      </w:r>
      <w:r w:rsidR="00BA264B">
        <w:rPr>
          <w:rFonts w:cs="Tahoma"/>
          <w:color w:val="000000"/>
          <w:szCs w:val="18"/>
          <w:lang w:val="de-DE"/>
        </w:rPr>
        <w:t> </w:t>
      </w:r>
      <w:r w:rsidRPr="003002D3">
        <w:rPr>
          <w:rFonts w:cs="Tahoma"/>
          <w:color w:val="000000"/>
          <w:szCs w:val="18"/>
          <w:lang w:val="de-DE"/>
        </w:rPr>
        <w:t>Bestimmungen des Volumenlizenzvertrages des Kunden</w:t>
      </w:r>
      <w:r w:rsidR="006257A7">
        <w:rPr>
          <w:rFonts w:cs="Tahoma"/>
          <w:color w:val="000000"/>
          <w:szCs w:val="18"/>
          <w:lang w:val="de-DE"/>
        </w:rPr>
        <w:t xml:space="preserve">. </w:t>
      </w:r>
      <w:r w:rsidRPr="003002D3">
        <w:rPr>
          <w:rFonts w:cs="Tahoma"/>
          <w:color w:val="000000"/>
          <w:szCs w:val="18"/>
          <w:lang w:val="de-DE"/>
        </w:rPr>
        <w:t>Dieser Hinweis auf die Produktbedingungen und der Nachweis des Kunden über die entsprechende Qualifizierende Lizenz</w:t>
      </w:r>
      <w:r w:rsidR="00BA264B">
        <w:rPr>
          <w:rFonts w:cs="Tahoma"/>
          <w:color w:val="000000"/>
          <w:szCs w:val="18"/>
          <w:lang w:val="de-DE"/>
        </w:rPr>
        <w:t> </w:t>
      </w:r>
      <w:r w:rsidRPr="003002D3">
        <w:rPr>
          <w:rFonts w:cs="Tahoma"/>
          <w:color w:val="000000"/>
          <w:szCs w:val="18"/>
          <w:lang w:val="de-DE"/>
        </w:rPr>
        <w:t>und Software Assurance belegen zusammen das Recht zur Nutzung der Software unter der</w:t>
      </w:r>
      <w:r w:rsidR="00BA264B">
        <w:rPr>
          <w:rFonts w:cs="Tahoma"/>
          <w:color w:val="000000"/>
          <w:szCs w:val="18"/>
          <w:lang w:val="de-DE"/>
        </w:rPr>
        <w:t> </w:t>
      </w:r>
      <w:r w:rsidRPr="003002D3">
        <w:rPr>
          <w:rFonts w:cs="Tahoma"/>
          <w:color w:val="000000"/>
          <w:szCs w:val="18"/>
          <w:lang w:val="de-DE"/>
        </w:rPr>
        <w:t>Zusätzlichen Lizenz unter diesem Angebot</w:t>
      </w:r>
      <w:r w:rsidR="006257A7">
        <w:rPr>
          <w:rFonts w:cs="Tahoma"/>
          <w:color w:val="000000"/>
          <w:szCs w:val="18"/>
          <w:lang w:val="de-DE"/>
        </w:rPr>
        <w:t xml:space="preserve">. </w:t>
      </w:r>
    </w:p>
    <w:p w:rsidR="00E73313" w:rsidRPr="00F25255" w:rsidRDefault="00E73313" w:rsidP="00BA264B">
      <w:pPr>
        <w:numPr>
          <w:ilvl w:val="0"/>
          <w:numId w:val="8"/>
        </w:numPr>
        <w:spacing w:after="60"/>
        <w:ind w:left="1440"/>
        <w:rPr>
          <w:lang w:val="de-DE"/>
        </w:rPr>
      </w:pPr>
      <w:r w:rsidRPr="003002D3">
        <w:rPr>
          <w:rFonts w:cs="Tahoma"/>
          <w:color w:val="000000"/>
          <w:szCs w:val="18"/>
          <w:u w:val="single"/>
          <w:lang w:val="de-DE"/>
        </w:rPr>
        <w:t>Lizenz und Software Assurance</w:t>
      </w:r>
      <w:r w:rsidRPr="003002D3">
        <w:rPr>
          <w:rFonts w:cs="Tahoma"/>
          <w:color w:val="000000"/>
          <w:szCs w:val="18"/>
          <w:lang w:val="de-DE"/>
        </w:rPr>
        <w:t>: Die Zusätzliche Lizenz enthält Software Assurance</w:t>
      </w:r>
      <w:r w:rsidR="006257A7">
        <w:rPr>
          <w:rFonts w:cs="Tahoma"/>
          <w:color w:val="000000"/>
          <w:szCs w:val="18"/>
          <w:lang w:val="de-DE"/>
        </w:rPr>
        <w:t xml:space="preserve">. </w:t>
      </w:r>
      <w:r w:rsidRPr="003002D3">
        <w:rPr>
          <w:rFonts w:cs="Tahoma"/>
          <w:color w:val="000000"/>
          <w:szCs w:val="18"/>
          <w:lang w:val="de-DE"/>
        </w:rPr>
        <w:t>Software Assurance für die Zusätzliche Lizenz gilt bis zum Ablauf der Software Assurance für die Qualifizierende Lizenz</w:t>
      </w:r>
      <w:r w:rsidR="006257A7">
        <w:rPr>
          <w:rFonts w:cs="Tahoma"/>
          <w:color w:val="000000"/>
          <w:szCs w:val="18"/>
          <w:lang w:val="de-DE"/>
        </w:rPr>
        <w:t xml:space="preserve">. </w:t>
      </w:r>
      <w:r w:rsidRPr="003002D3">
        <w:rPr>
          <w:rFonts w:cs="Tahoma"/>
          <w:color w:val="000000"/>
          <w:szCs w:val="18"/>
          <w:lang w:val="de-DE"/>
        </w:rPr>
        <w:t>Nach Ablauf von Software Assurance für die Qualifizierende Lizenz kann der</w:t>
      </w:r>
      <w:r w:rsidR="00BA264B">
        <w:rPr>
          <w:rFonts w:cs="Tahoma"/>
          <w:color w:val="000000"/>
          <w:szCs w:val="18"/>
          <w:lang w:val="de-DE"/>
        </w:rPr>
        <w:t> </w:t>
      </w:r>
      <w:r w:rsidRPr="003002D3">
        <w:rPr>
          <w:rFonts w:cs="Tahoma"/>
          <w:color w:val="000000"/>
          <w:szCs w:val="18"/>
          <w:lang w:val="de-DE"/>
        </w:rPr>
        <w:t>Kunde Software Assurance für die Zusätzliche Lizenz verlängern, ohne separat eine neue Lizenz</w:t>
      </w:r>
      <w:r w:rsidR="00BA264B">
        <w:rPr>
          <w:rFonts w:cs="Tahoma"/>
          <w:color w:val="000000"/>
          <w:szCs w:val="18"/>
          <w:lang w:val="de-DE"/>
        </w:rPr>
        <w:t> </w:t>
      </w:r>
      <w:r w:rsidRPr="003002D3">
        <w:rPr>
          <w:rFonts w:cs="Tahoma"/>
          <w:color w:val="000000"/>
          <w:szCs w:val="18"/>
          <w:lang w:val="de-DE"/>
        </w:rPr>
        <w:t>erwerben zu müssen</w:t>
      </w:r>
      <w:r w:rsidR="006257A7">
        <w:rPr>
          <w:rFonts w:cs="Tahoma"/>
          <w:color w:val="000000"/>
          <w:szCs w:val="18"/>
          <w:lang w:val="de-DE"/>
        </w:rPr>
        <w:t xml:space="preserve">. </w:t>
      </w:r>
    </w:p>
    <w:p w:rsidR="00E73313" w:rsidRPr="003002D3" w:rsidRDefault="00E73313" w:rsidP="00E73313">
      <w:pPr>
        <w:numPr>
          <w:ilvl w:val="0"/>
          <w:numId w:val="32"/>
        </w:numPr>
        <w:spacing w:after="60"/>
        <w:ind w:left="1440"/>
        <w:rPr>
          <w:lang w:val="de-DE"/>
        </w:rPr>
      </w:pPr>
      <w:r w:rsidRPr="003002D3">
        <w:rPr>
          <w:rFonts w:eastAsia="Calibri" w:cs="Tahoma"/>
          <w:color w:val="000000"/>
          <w:szCs w:val="18"/>
          <w:u w:val="single"/>
          <w:lang w:val="de-DE"/>
        </w:rPr>
        <w:t>True Ups</w:t>
      </w:r>
      <w:r w:rsidR="006257A7">
        <w:rPr>
          <w:rFonts w:eastAsia="Calibri" w:cs="Tahoma"/>
          <w:bCs/>
          <w:color w:val="000000"/>
          <w:szCs w:val="18"/>
          <w:lang w:val="de-DE"/>
        </w:rPr>
        <w:t xml:space="preserve">. </w:t>
      </w:r>
      <w:r w:rsidRPr="003002D3">
        <w:rPr>
          <w:rFonts w:eastAsia="Calibri" w:cs="Tahoma"/>
          <w:color w:val="000000"/>
          <w:szCs w:val="18"/>
          <w:lang w:val="de-DE"/>
        </w:rPr>
        <w:t xml:space="preserve">Bei Kunden mit Konzernvertrag, die zu diesen oben beschriebenen Zusätzlichen Lizenzen und Rechten berechtigt sind, gelten Lizenzen für SharePoint Server 2010 for Internet Sites Enterprise, SharePoint Server 2010 for Internet Sites Standard </w:t>
      </w:r>
      <w:r w:rsidRPr="003002D3">
        <w:rPr>
          <w:rFonts w:cs="Tahoma"/>
          <w:color w:val="000000"/>
          <w:szCs w:val="20"/>
          <w:lang w:val="de-DE"/>
        </w:rPr>
        <w:t xml:space="preserve">und FAST Search Server 2010 for SharePoint Server, </w:t>
      </w:r>
      <w:r w:rsidRPr="003002D3">
        <w:rPr>
          <w:rFonts w:eastAsia="Calibri" w:cs="Tahoma"/>
          <w:color w:val="000000"/>
          <w:szCs w:val="18"/>
          <w:lang w:val="de-DE"/>
        </w:rPr>
        <w:t xml:space="preserve">die unter dem jährlichen True Up-Prozess erworben wurden, </w:t>
      </w:r>
      <w:r w:rsidRPr="003002D3">
        <w:rPr>
          <w:rFonts w:cs="Tahoma"/>
          <w:color w:val="000000"/>
          <w:szCs w:val="18"/>
          <w:lang w:val="de-DE"/>
        </w:rPr>
        <w:t>ebenfalls als Qualifizierende Lizenzen</w:t>
      </w:r>
      <w:r w:rsidR="006257A7">
        <w:rPr>
          <w:rFonts w:cs="Tahoma"/>
          <w:color w:val="000000"/>
          <w:szCs w:val="18"/>
          <w:lang w:val="de-DE"/>
        </w:rPr>
        <w:t xml:space="preserve">. </w:t>
      </w:r>
    </w:p>
    <w:p w:rsidR="00E73313" w:rsidRPr="003002D3" w:rsidRDefault="00E73313" w:rsidP="00BA264B">
      <w:pPr>
        <w:numPr>
          <w:ilvl w:val="0"/>
          <w:numId w:val="32"/>
        </w:numPr>
        <w:spacing w:after="60"/>
        <w:ind w:left="1440"/>
        <w:rPr>
          <w:lang w:val="de-DE"/>
        </w:rPr>
      </w:pPr>
      <w:r w:rsidRPr="003002D3">
        <w:rPr>
          <w:rFonts w:cs="Tahoma"/>
          <w:color w:val="000000"/>
          <w:szCs w:val="18"/>
          <w:u w:val="single"/>
          <w:lang w:val="de-DE"/>
        </w:rPr>
        <w:t>Abonnement-Verträge</w:t>
      </w:r>
      <w:r w:rsidR="006257A7">
        <w:rPr>
          <w:rFonts w:cs="Tahoma"/>
          <w:color w:val="000000"/>
          <w:szCs w:val="18"/>
          <w:lang w:val="de-DE"/>
        </w:rPr>
        <w:t xml:space="preserve">. </w:t>
      </w:r>
      <w:r w:rsidRPr="003002D3">
        <w:rPr>
          <w:rFonts w:cs="Tahoma"/>
          <w:color w:val="000000"/>
          <w:szCs w:val="18"/>
          <w:lang w:val="de-DE"/>
        </w:rPr>
        <w:t xml:space="preserve">Für Konzern-Abonnement-Verträge, </w:t>
      </w:r>
      <w:r w:rsidRPr="003002D3">
        <w:rPr>
          <w:rFonts w:cs="Tahoma"/>
          <w:szCs w:val="18"/>
          <w:lang w:val="de-DE"/>
        </w:rPr>
        <w:t>Open Value Subscription-Verträge, Campus- und School-Verträge, Beitritt für Bildungslösungen und Open Value Subscription – Bildungslösungen-Verträge werden vorübergehend unter denselben Bedingungen</w:t>
      </w:r>
      <w:r w:rsidRPr="003002D3">
        <w:rPr>
          <w:rFonts w:cs="Tahoma"/>
          <w:color w:val="000000"/>
          <w:szCs w:val="18"/>
          <w:lang w:val="de-DE"/>
        </w:rPr>
        <w:t xml:space="preserve"> bis zum Ende der</w:t>
      </w:r>
      <w:r w:rsidR="00BA264B">
        <w:rPr>
          <w:rFonts w:cs="Tahoma"/>
          <w:color w:val="000000"/>
          <w:szCs w:val="18"/>
          <w:lang w:val="de-DE"/>
        </w:rPr>
        <w:t> </w:t>
      </w:r>
      <w:r w:rsidRPr="003002D3">
        <w:rPr>
          <w:rFonts w:cs="Tahoma"/>
          <w:color w:val="000000"/>
          <w:szCs w:val="18"/>
          <w:lang w:val="de-DE"/>
        </w:rPr>
        <w:t>aktuellen Beitrittslaufzeit (bzw</w:t>
      </w:r>
      <w:r w:rsidR="006257A7">
        <w:rPr>
          <w:rFonts w:cs="Tahoma"/>
          <w:color w:val="000000"/>
          <w:szCs w:val="18"/>
          <w:lang w:val="de-DE"/>
        </w:rPr>
        <w:t xml:space="preserve">. </w:t>
      </w:r>
      <w:r w:rsidRPr="003002D3">
        <w:rPr>
          <w:rFonts w:cs="Tahoma"/>
          <w:color w:val="000000"/>
          <w:szCs w:val="18"/>
          <w:lang w:val="de-DE"/>
        </w:rPr>
        <w:t>Vertragslaufzeit im Falle von Open Value) die gleichen Rechte gewährt</w:t>
      </w:r>
      <w:r w:rsidR="006257A7">
        <w:rPr>
          <w:rFonts w:cs="Tahoma"/>
          <w:color w:val="000000"/>
          <w:szCs w:val="18"/>
          <w:lang w:val="de-DE"/>
        </w:rPr>
        <w:t xml:space="preserve">. </w:t>
      </w:r>
      <w:r w:rsidRPr="003002D3">
        <w:rPr>
          <w:rFonts w:cs="Tahoma"/>
          <w:color w:val="000000"/>
          <w:szCs w:val="18"/>
          <w:lang w:val="de-DE"/>
        </w:rPr>
        <w:t>Der Kunde muss das Abonnement ununterbrochen aufrechterhalten</w:t>
      </w:r>
      <w:r w:rsidR="006257A7">
        <w:rPr>
          <w:rFonts w:cs="Tahoma"/>
          <w:color w:val="000000"/>
          <w:szCs w:val="18"/>
          <w:lang w:val="de-DE"/>
        </w:rPr>
        <w:t xml:space="preserve">. </w:t>
      </w:r>
      <w:r w:rsidRPr="003002D3">
        <w:rPr>
          <w:rFonts w:cs="Tahoma"/>
          <w:color w:val="000000"/>
          <w:szCs w:val="18"/>
          <w:lang w:val="de-DE"/>
        </w:rPr>
        <w:t>Diese Rechte werden erst nach Ausübung der Buy-Out-Option zeitlich unbeschränkt und unterliegen weiterhin allen Bestimmungen des Lizenzvertrages des Kunden</w:t>
      </w:r>
      <w:r w:rsidR="006257A7">
        <w:rPr>
          <w:rFonts w:cs="Tahoma"/>
          <w:color w:val="000000"/>
          <w:szCs w:val="18"/>
          <w:lang w:val="de-DE"/>
        </w:rPr>
        <w:t xml:space="preserve">. </w:t>
      </w:r>
    </w:p>
    <w:p w:rsidR="00E73313" w:rsidRPr="003002D3" w:rsidRDefault="00E73313" w:rsidP="00E73313">
      <w:pPr>
        <w:numPr>
          <w:ilvl w:val="0"/>
          <w:numId w:val="103"/>
        </w:numPr>
        <w:spacing w:after="60"/>
        <w:ind w:left="1440"/>
        <w:rPr>
          <w:lang w:val="de-DE"/>
        </w:rPr>
      </w:pPr>
      <w:r w:rsidRPr="003002D3">
        <w:rPr>
          <w:rFonts w:cs="Tahoma"/>
          <w:szCs w:val="18"/>
          <w:u w:val="single"/>
          <w:lang w:val="de-DE"/>
        </w:rPr>
        <w:t>Übergänge für Campus- und School-Verträge</w:t>
      </w:r>
      <w:r w:rsidR="006257A7">
        <w:rPr>
          <w:rFonts w:cs="Tahoma"/>
          <w:szCs w:val="18"/>
          <w:lang w:val="de-DE"/>
        </w:rPr>
        <w:t xml:space="preserve">. </w:t>
      </w:r>
      <w:r w:rsidRPr="003002D3">
        <w:rPr>
          <w:rFonts w:cs="Tahoma"/>
          <w:szCs w:val="18"/>
          <w:lang w:val="de-DE"/>
        </w:rPr>
        <w:t>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E73313" w:rsidRPr="003002D3" w:rsidRDefault="00E73313" w:rsidP="00BA264B">
      <w:pPr>
        <w:pStyle w:val="ListParagraph"/>
        <w:numPr>
          <w:ilvl w:val="0"/>
          <w:numId w:val="87"/>
        </w:numPr>
        <w:spacing w:after="60"/>
        <w:ind w:left="1800"/>
        <w:rPr>
          <w:lang w:val="de-DE"/>
        </w:rPr>
      </w:pPr>
      <w:r w:rsidRPr="003002D3">
        <w:rPr>
          <w:rFonts w:ascii="Tahoma" w:hAnsi="Tahoma" w:cs="Tahoma"/>
          <w:sz w:val="18"/>
          <w:szCs w:val="18"/>
          <w:lang w:val="de-DE"/>
        </w:rPr>
        <w:t>Bis zum Ende des Beitritts für Bildungslösungen bzw</w:t>
      </w:r>
      <w:r w:rsidR="006257A7">
        <w:rPr>
          <w:rFonts w:ascii="Tahoma" w:hAnsi="Tahoma" w:cs="Tahoma"/>
          <w:sz w:val="18"/>
          <w:szCs w:val="18"/>
          <w:lang w:val="de-DE"/>
        </w:rPr>
        <w:t xml:space="preserve">. </w:t>
      </w:r>
      <w:r w:rsidRPr="003002D3">
        <w:rPr>
          <w:rFonts w:ascii="Tahoma" w:hAnsi="Tahoma" w:cs="Tahoma"/>
          <w:sz w:val="18"/>
          <w:szCs w:val="18"/>
          <w:lang w:val="de-DE"/>
        </w:rPr>
        <w:t>des Open Value Subscription – Bildungslösungen-Vertrages werden vorübergehend unter denselben Bedingungen die gleichen</w:t>
      </w:r>
      <w:r w:rsidR="00BA264B">
        <w:rPr>
          <w:rFonts w:ascii="Tahoma" w:hAnsi="Tahoma" w:cs="Tahoma"/>
          <w:sz w:val="18"/>
          <w:szCs w:val="18"/>
          <w:lang w:val="de-DE"/>
        </w:rPr>
        <w:t> </w:t>
      </w:r>
      <w:r w:rsidRPr="003002D3">
        <w:rPr>
          <w:rFonts w:ascii="Tahoma" w:hAnsi="Tahoma" w:cs="Tahoma"/>
          <w:sz w:val="18"/>
          <w:szCs w:val="18"/>
          <w:lang w:val="de-DE"/>
        </w:rPr>
        <w:t>Rechte gewährt</w:t>
      </w:r>
      <w:r w:rsidR="006257A7">
        <w:rPr>
          <w:rFonts w:ascii="Tahoma" w:hAnsi="Tahoma" w:cs="Tahoma"/>
          <w:sz w:val="18"/>
          <w:szCs w:val="18"/>
          <w:lang w:val="de-DE"/>
        </w:rPr>
        <w:t xml:space="preserve">. </w:t>
      </w:r>
    </w:p>
    <w:p w:rsidR="00E73313" w:rsidRPr="003002D3" w:rsidRDefault="00E73313" w:rsidP="00E73313">
      <w:pPr>
        <w:pStyle w:val="ListParagraph"/>
        <w:numPr>
          <w:ilvl w:val="0"/>
          <w:numId w:val="87"/>
        </w:numPr>
        <w:spacing w:after="60"/>
        <w:ind w:left="1800"/>
        <w:rPr>
          <w:lang w:val="de-DE"/>
        </w:rPr>
      </w:pPr>
      <w:r w:rsidRPr="003002D3">
        <w:rPr>
          <w:rFonts w:ascii="Tahoma" w:hAnsi="Tahoma" w:cs="Tahoma"/>
          <w:sz w:val="18"/>
          <w:szCs w:val="18"/>
          <w:lang w:val="de-DE"/>
        </w:rPr>
        <w:t>Diese Rechte werden erst nach Ausübung der Buy-Out-Option zeitlich unbeschränkt und unterliegen weiterhin allen Bestimmungen des Lizenzvertrages des Kunden</w:t>
      </w:r>
      <w:r w:rsidR="006257A7">
        <w:rPr>
          <w:rFonts w:ascii="Tahoma" w:hAnsi="Tahoma" w:cs="Tahoma"/>
          <w:sz w:val="18"/>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cs="Tahoma"/>
          <w:b/>
          <w:color w:val="000000"/>
          <w:szCs w:val="18"/>
          <w:lang w:val="de-DE"/>
        </w:rPr>
        <w:t>Besondere Downgraderechte für Office SharePoint Server 2013</w:t>
      </w:r>
    </w:p>
    <w:p w:rsidR="00E73313" w:rsidRPr="003002D3" w:rsidRDefault="00E73313" w:rsidP="00E73313">
      <w:pPr>
        <w:ind w:left="720"/>
        <w:rPr>
          <w:lang w:val="de-DE"/>
        </w:rPr>
      </w:pPr>
      <w:r w:rsidRPr="003002D3">
        <w:rPr>
          <w:rFonts w:cs="Tahoma"/>
          <w:szCs w:val="18"/>
          <w:lang w:val="de-DE"/>
        </w:rPr>
        <w:t>Kunden mit Lizenzen für SharePoint 2013 dürfen anstelle von Produkten, die in der Tabelle unten aufgeführt sind, SharePoint 2013 wie folgt nutzen und darauf zugreifen:</w:t>
      </w:r>
    </w:p>
    <w:p w:rsidR="00E73313" w:rsidRPr="003002D3" w:rsidRDefault="00E73313" w:rsidP="00E73313">
      <w:pPr>
        <w:ind w:left="810"/>
        <w:rPr>
          <w:lang w:val="de-DE"/>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E73313" w:rsidRPr="00F6565C" w:rsidTr="00E328C3">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E73313" w:rsidRPr="002065C2" w:rsidRDefault="00E73313" w:rsidP="00E328C3">
            <w:pPr>
              <w:spacing w:before="60" w:after="60"/>
              <w:ind w:left="162"/>
              <w:rPr>
                <w:rFonts w:cs="Tahoma"/>
                <w:b/>
                <w:bCs/>
                <w:color w:val="000000"/>
                <w:szCs w:val="18"/>
              </w:rPr>
            </w:pPr>
            <w:r>
              <w:rPr>
                <w:rFonts w:cs="Tahoma"/>
                <w:b/>
                <w:bCs/>
                <w:color w:val="000000"/>
                <w:szCs w:val="18"/>
              </w:rPr>
              <w:t>Lizenzen für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E73313" w:rsidRPr="002065C2" w:rsidRDefault="00E73313" w:rsidP="00E328C3">
            <w:pPr>
              <w:spacing w:before="60" w:after="60"/>
              <w:ind w:left="180"/>
              <w:rPr>
                <w:rFonts w:cs="Tahoma"/>
                <w:b/>
                <w:bCs/>
                <w:color w:val="000000"/>
                <w:szCs w:val="18"/>
              </w:rPr>
            </w:pPr>
            <w:r>
              <w:rPr>
                <w:rFonts w:cs="Tahoma"/>
                <w:b/>
                <w:bCs/>
                <w:color w:val="000000"/>
                <w:szCs w:val="18"/>
              </w:rPr>
              <w:t>Downgrade auf</w:t>
            </w:r>
          </w:p>
        </w:tc>
      </w:tr>
      <w:tr w:rsidR="00E73313" w:rsidRPr="00F6565C" w:rsidTr="00E328C3">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73313" w:rsidRPr="002065C2" w:rsidRDefault="00E73313" w:rsidP="00E328C3">
            <w:pPr>
              <w:ind w:left="162"/>
              <w:rPr>
                <w:rFonts w:cs="Tahoma"/>
                <w:color w:val="000000"/>
                <w:szCs w:val="18"/>
              </w:rPr>
            </w:pPr>
            <w:r>
              <w:rPr>
                <w:rFonts w:cs="Tahoma"/>
                <w:color w:val="000000"/>
                <w:szCs w:val="18"/>
              </w:rPr>
              <w:t>Lizenz für SharePoint Server 2013</w:t>
            </w:r>
          </w:p>
        </w:tc>
        <w:tc>
          <w:tcPr>
            <w:tcW w:w="4296" w:type="dxa"/>
            <w:tcBorders>
              <w:top w:val="nil"/>
              <w:left w:val="nil"/>
              <w:bottom w:val="single" w:sz="8" w:space="0" w:color="000000"/>
              <w:right w:val="single" w:sz="8" w:space="0" w:color="000000"/>
            </w:tcBorders>
          </w:tcPr>
          <w:p w:rsidR="00E73313" w:rsidRPr="0062435A" w:rsidRDefault="00E73313" w:rsidP="00E328C3">
            <w:pPr>
              <w:ind w:left="162" w:right="180"/>
            </w:pPr>
            <w:r>
              <w:rPr>
                <w:rFonts w:cs="Tahoma"/>
                <w:color w:val="000000"/>
                <w:szCs w:val="18"/>
              </w:rPr>
              <w:t xml:space="preserve">SharePoint Server 2010 </w:t>
            </w:r>
            <w:r>
              <w:rPr>
                <w:rFonts w:cs="Tahoma"/>
                <w:b/>
                <w:color w:val="000000"/>
                <w:szCs w:val="18"/>
              </w:rPr>
              <w:t>oder</w:t>
            </w:r>
          </w:p>
          <w:p w:rsidR="00E73313" w:rsidRPr="002065C2" w:rsidRDefault="00E73313" w:rsidP="00E328C3">
            <w:pPr>
              <w:ind w:left="162" w:right="180"/>
              <w:rPr>
                <w:rFonts w:cs="Tahoma"/>
                <w:color w:val="000000"/>
                <w:szCs w:val="18"/>
              </w:rPr>
            </w:pPr>
            <w:r>
              <w:rPr>
                <w:rFonts w:cs="Tahoma"/>
                <w:color w:val="000000"/>
                <w:szCs w:val="18"/>
              </w:rPr>
              <w:t xml:space="preserve">FAST Search Server 2010 for SharePoint Server </w:t>
            </w:r>
          </w:p>
        </w:tc>
      </w:tr>
    </w:tbl>
    <w:p w:rsidR="00E73313" w:rsidRPr="0062435A" w:rsidRDefault="00E73313" w:rsidP="00E73313">
      <w:pPr>
        <w:ind w:left="810"/>
      </w:pPr>
    </w:p>
    <w:p w:rsidR="00E73313" w:rsidRPr="003002D3" w:rsidRDefault="00E73313" w:rsidP="00BA264B">
      <w:pPr>
        <w:ind w:left="720"/>
        <w:rPr>
          <w:lang w:val="de-DE"/>
        </w:rPr>
      </w:pPr>
      <w:r w:rsidRPr="003002D3">
        <w:rPr>
          <w:rFonts w:cs="Tahoma"/>
          <w:color w:val="000000"/>
          <w:szCs w:val="18"/>
          <w:lang w:val="de-DE"/>
        </w:rPr>
        <w:t>Das Recht eines Kunden, auf Kopien von SharePoint Server 2010 oder FAST Search Server 2010 for</w:t>
      </w:r>
      <w:r w:rsidR="00BA264B">
        <w:rPr>
          <w:rFonts w:cs="Tahoma"/>
          <w:color w:val="000000"/>
          <w:szCs w:val="18"/>
          <w:lang w:val="de-DE"/>
        </w:rPr>
        <w:t> </w:t>
      </w:r>
      <w:r w:rsidRPr="003002D3">
        <w:rPr>
          <w:rFonts w:cs="Tahoma"/>
          <w:color w:val="000000"/>
          <w:szCs w:val="18"/>
          <w:lang w:val="de-DE"/>
        </w:rPr>
        <w:t>SharePoint Server zuzugreifen und sie anstelle von lizenzierten Kopien von SharePoint Server 2013 im</w:t>
      </w:r>
      <w:r w:rsidR="00BA264B">
        <w:rPr>
          <w:rFonts w:cs="Tahoma"/>
          <w:color w:val="000000"/>
          <w:szCs w:val="18"/>
          <w:lang w:val="de-DE"/>
        </w:rPr>
        <w:t> </w:t>
      </w:r>
      <w:r w:rsidRPr="003002D3">
        <w:rPr>
          <w:rFonts w:cs="Tahoma"/>
          <w:color w:val="000000"/>
          <w:szCs w:val="18"/>
          <w:lang w:val="de-DE"/>
        </w:rPr>
        <w:t>Rahmen dieses Angebots zu verwenden, unterliegt den Bestimmungen des Volumenlizenzvertrages des</w:t>
      </w:r>
      <w:r w:rsidR="00BA264B">
        <w:rPr>
          <w:rFonts w:cs="Tahoma"/>
          <w:color w:val="000000"/>
          <w:szCs w:val="18"/>
          <w:lang w:val="de-DE"/>
        </w:rPr>
        <w:t> </w:t>
      </w:r>
      <w:r w:rsidRPr="003002D3">
        <w:rPr>
          <w:rFonts w:cs="Tahoma"/>
          <w:color w:val="000000"/>
          <w:szCs w:val="18"/>
          <w:lang w:val="de-DE"/>
        </w:rPr>
        <w:t>Kunden, den Produktbenutzungsrechten für SharePoint Server 2013 und diesen Bestimmungen</w:t>
      </w:r>
      <w:r w:rsidR="006257A7">
        <w:rPr>
          <w:rFonts w:cs="Tahoma"/>
          <w:color w:val="000000"/>
          <w:szCs w:val="18"/>
          <w:lang w:val="de-DE"/>
        </w:rPr>
        <w:t xml:space="preserve">. </w:t>
      </w:r>
      <w:r w:rsidRPr="003002D3">
        <w:rPr>
          <w:rFonts w:cs="Tahoma"/>
          <w:color w:val="000000"/>
          <w:szCs w:val="18"/>
          <w:lang w:val="de-DE"/>
        </w:rPr>
        <w:t>Dieses</w:t>
      </w:r>
      <w:r w:rsidR="00BA264B">
        <w:rPr>
          <w:rFonts w:cs="Tahoma"/>
          <w:color w:val="000000"/>
          <w:szCs w:val="18"/>
          <w:lang w:val="de-DE"/>
        </w:rPr>
        <w:t> </w:t>
      </w:r>
      <w:r w:rsidRPr="003002D3">
        <w:rPr>
          <w:rFonts w:cs="Tahoma"/>
          <w:color w:val="000000"/>
          <w:szCs w:val="18"/>
          <w:lang w:val="de-DE"/>
        </w:rPr>
        <w:t>Recht gilt bis zum Ablauf oder zur Beendigung der SharePoint Server-Lizenzen</w:t>
      </w:r>
      <w:r w:rsidR="006257A7">
        <w:rPr>
          <w:rFonts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cs="Tahoma"/>
          <w:b/>
          <w:color w:val="000000"/>
          <w:szCs w:val="18"/>
          <w:lang w:val="de-DE"/>
        </w:rPr>
        <w:t xml:space="preserve">Verlängerung von Rechten für Selbst Gehostete Anwendungen im Rahmen von Software Assurance für Kunden mit SharePoint Server </w:t>
      </w:r>
      <w:bookmarkStart w:id="1442" w:name="Srv_65SharepointSvr10IntSites"/>
      <w:bookmarkStart w:id="1443" w:name="_Toc336338336"/>
      <w:bookmarkStart w:id="1444" w:name="Srv_66SharepointSvr10IntSites"/>
      <w:bookmarkStart w:id="1445" w:name="Srv_63SharepointSvr07IntSites"/>
      <w:bookmarkStart w:id="1446" w:name="Srv_64SharepointSvr07IntSites"/>
      <w:r w:rsidRPr="003002D3">
        <w:rPr>
          <w:rFonts w:cs="Tahoma"/>
          <w:b/>
          <w:color w:val="000000"/>
          <w:szCs w:val="18"/>
          <w:lang w:val="de-DE"/>
        </w:rPr>
        <w:t>for Internet Sites Enterprise</w:t>
      </w:r>
      <w:bookmarkEnd w:id="1442"/>
      <w:bookmarkEnd w:id="1443"/>
      <w:bookmarkEnd w:id="1444"/>
      <w:bookmarkEnd w:id="1445"/>
    </w:p>
    <w:bookmarkEnd w:id="1446"/>
    <w:p w:rsidR="00E73313" w:rsidRPr="003002D3" w:rsidRDefault="00E73313" w:rsidP="00E73313">
      <w:pPr>
        <w:ind w:left="720"/>
        <w:rPr>
          <w:lang w:val="de-DE"/>
        </w:rPr>
      </w:pPr>
      <w:r w:rsidRPr="003002D3">
        <w:rPr>
          <w:rFonts w:cs="Tahoma"/>
          <w:color w:val="000000"/>
          <w:szCs w:val="18"/>
          <w:lang w:val="de-DE"/>
        </w:rPr>
        <w:t>Kunden mit SharePoint Server 2010 for Internet Sites Enterprise, denen über die oben dargelegte Lizenzgewährung Lizenzen für SharePoint Server 2013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w:t>
      </w:r>
      <w:r w:rsidR="006257A7">
        <w:rPr>
          <w:rFonts w:cs="Tahoma"/>
          <w:color w:val="000000"/>
          <w:szCs w:val="18"/>
          <w:lang w:val="de-DE"/>
        </w:rPr>
        <w:t xml:space="preserve">. </w:t>
      </w:r>
      <w:r w:rsidRPr="003002D3">
        <w:rPr>
          <w:rFonts w:cs="Tahoma"/>
          <w:color w:val="000000"/>
          <w:szCs w:val="18"/>
          <w:lang w:val="de-DE"/>
        </w:rPr>
        <w:t>Sofern Kunden Software Assurance für ihre zusätzlichen SharePoint Server 2013-Lizenzen aufrechterhalten, gilt das Recht zur Verwendung von SharePoint Server 2013 auf diese Weise, bis die Folgeversion von SharePoint Server 2013 verfügbar ist</w:t>
      </w:r>
      <w:r w:rsidR="006257A7">
        <w:rPr>
          <w:rFonts w:cs="Tahoma"/>
          <w:color w:val="000000"/>
          <w:szCs w:val="18"/>
          <w:lang w:val="de-DE"/>
        </w:rPr>
        <w:t xml:space="preserve">. </w:t>
      </w:r>
    </w:p>
    <w:p w:rsidR="00E73313" w:rsidRPr="003002D3" w:rsidRDefault="00E73313" w:rsidP="00E73313">
      <w:pPr>
        <w:rPr>
          <w:lang w:val="de-DE"/>
        </w:rPr>
      </w:pPr>
    </w:p>
    <w:p w:rsidR="00E73313" w:rsidRPr="003002D3" w:rsidRDefault="00E73313" w:rsidP="00E73313">
      <w:pPr>
        <w:pStyle w:val="EndnoteText"/>
        <w:ind w:left="0"/>
        <w:rPr>
          <w:lang w:val="de-DE"/>
        </w:rPr>
      </w:pPr>
      <w:bookmarkStart w:id="1447" w:name="_78_SharePoint™_Server"/>
      <w:bookmarkStart w:id="1448" w:name="_Toc336338339"/>
      <w:bookmarkStart w:id="1449" w:name="Srv_81SQLSvr08R2DataCenter"/>
      <w:bookmarkEnd w:id="1447"/>
    </w:p>
    <w:p w:rsidR="00E73313" w:rsidRPr="003002D3" w:rsidRDefault="00E73313" w:rsidP="00E73313">
      <w:pPr>
        <w:pStyle w:val="Heading3"/>
        <w:rPr>
          <w:lang w:val="de-DE"/>
        </w:rPr>
      </w:pPr>
      <w:bookmarkStart w:id="1450" w:name="_75_73_SQL"/>
      <w:bookmarkStart w:id="1451" w:name="_Toc363999077"/>
      <w:bookmarkStart w:id="1452" w:name="Srv_69SQLSvr08EntandEntProc"/>
      <w:bookmarkStart w:id="1453" w:name="Srv_70SQLSvr08EntandEntProc"/>
      <w:bookmarkStart w:id="1454" w:name="Srv_72SQLSvr08R2developer"/>
      <w:bookmarkStart w:id="1455" w:name="Srv_72SQLSvr08R2DataCenter"/>
      <w:bookmarkEnd w:id="1450"/>
      <w:r w:rsidRPr="003002D3">
        <w:rPr>
          <w:rFonts w:ascii="Tahoma" w:hAnsi="Tahoma"/>
          <w:caps/>
          <w:color w:val="F66400"/>
          <w:sz w:val="22"/>
          <w:vertAlign w:val="superscript"/>
          <w:lang w:val="de-DE"/>
        </w:rPr>
        <w:t>80</w:t>
      </w:r>
      <w:r w:rsidRPr="003002D3">
        <w:rPr>
          <w:rFonts w:ascii="Tahoma" w:hAnsi="Tahoma"/>
          <w:color w:val="F66400"/>
          <w:sz w:val="22"/>
          <w:lang w:val="de-DE"/>
        </w:rPr>
        <w:t xml:space="preserve"> SQL Server</w:t>
      </w:r>
      <w:r w:rsidR="0069040B" w:rsidRPr="0069040B">
        <w:rPr>
          <w:rFonts w:ascii="Tahoma" w:hAnsi="Tahoma"/>
          <w:color w:val="F66400"/>
          <w:sz w:val="22"/>
          <w:vertAlign w:val="superscript"/>
          <w:lang w:val="de-DE"/>
        </w:rPr>
        <w:t>®</w:t>
      </w:r>
      <w:r w:rsidRPr="003002D3">
        <w:rPr>
          <w:rFonts w:ascii="Tahoma" w:hAnsi="Tahoma"/>
          <w:color w:val="F66400"/>
          <w:sz w:val="22"/>
          <w:lang w:val="de-DE"/>
        </w:rPr>
        <w:t xml:space="preserve"> 2008 R2 Datacenter</w:t>
      </w:r>
      <w:bookmarkEnd w:id="1448"/>
      <w:bookmarkEnd w:id="1451"/>
    </w:p>
    <w:bookmarkEnd w:id="1449"/>
    <w:p w:rsidR="00E73313" w:rsidRPr="003002D3" w:rsidRDefault="00E73313" w:rsidP="00E73313">
      <w:pPr>
        <w:rPr>
          <w:lang w:val="de-DE"/>
        </w:rPr>
      </w:pPr>
    </w:p>
    <w:p w:rsidR="00E73313" w:rsidRPr="003002D3" w:rsidRDefault="00E73313" w:rsidP="00BA264B">
      <w:pPr>
        <w:spacing w:after="60"/>
        <w:ind w:left="720"/>
        <w:rPr>
          <w:lang w:val="de-DE"/>
        </w:rPr>
      </w:pPr>
      <w:r w:rsidRPr="003002D3">
        <w:rPr>
          <w:rFonts w:cs="Tahoma"/>
          <w:b/>
          <w:color w:val="000000"/>
          <w:szCs w:val="18"/>
          <w:lang w:val="de-DE"/>
        </w:rPr>
        <w:t>Lizenzgewährungen im Zusammenhang mit der Änderung des Lizenzmodells und dem Ende der</w:t>
      </w:r>
      <w:r w:rsidR="00BA264B">
        <w:rPr>
          <w:rFonts w:cs="Tahoma"/>
          <w:b/>
          <w:color w:val="000000"/>
          <w:szCs w:val="18"/>
          <w:lang w:val="de-DE"/>
        </w:rPr>
        <w:t> </w:t>
      </w:r>
      <w:r w:rsidRPr="003002D3">
        <w:rPr>
          <w:rFonts w:cs="Tahoma"/>
          <w:b/>
          <w:color w:val="000000"/>
          <w:szCs w:val="18"/>
          <w:lang w:val="de-DE"/>
        </w:rPr>
        <w:t>Lebensdauer von SQL Server Datacenter</w:t>
      </w:r>
    </w:p>
    <w:p w:rsidR="00E73313" w:rsidRPr="003002D3" w:rsidRDefault="00E73313" w:rsidP="00BA264B">
      <w:pPr>
        <w:ind w:left="720"/>
        <w:rPr>
          <w:lang w:val="de-DE"/>
        </w:rPr>
      </w:pPr>
      <w:r w:rsidRPr="003002D3">
        <w:rPr>
          <w:color w:val="000000"/>
          <w:lang w:val="de-DE"/>
        </w:rPr>
        <w:t>SQL Server 2008 R2 ist die letzte Version von SQL Server, die unter dem Pro-Prozessor-Lizenzmodell lizenziert wird, und die letzte Version von SQL Server Datacenter</w:t>
      </w:r>
      <w:r w:rsidR="006257A7">
        <w:rPr>
          <w:color w:val="000000"/>
          <w:lang w:val="de-DE"/>
        </w:rPr>
        <w:t xml:space="preserve">. </w:t>
      </w:r>
      <w:r w:rsidRPr="003002D3">
        <w:rPr>
          <w:color w:val="000000"/>
          <w:lang w:val="de-DE"/>
        </w:rPr>
        <w:t>Als Ausnahme erhalten Volumenlizenzkunden, die am 1</w:t>
      </w:r>
      <w:r w:rsidR="006257A7">
        <w:rPr>
          <w:color w:val="000000"/>
          <w:lang w:val="de-DE"/>
        </w:rPr>
        <w:t xml:space="preserve">. </w:t>
      </w:r>
      <w:r w:rsidRPr="003002D3">
        <w:rPr>
          <w:color w:val="000000"/>
          <w:lang w:val="de-DE"/>
        </w:rPr>
        <w:t>April 2012 über aktive Software Assurance für SQL Server 2008 R2 Datacenter-Prozessorlizenzen („qualifizierende Lizenzen“) verfügen, die folgenden Optionen</w:t>
      </w:r>
      <w:r w:rsidR="006257A7">
        <w:rPr>
          <w:color w:val="000000"/>
          <w:lang w:val="de-DE"/>
        </w:rPr>
        <w:t xml:space="preserve">. </w:t>
      </w:r>
      <w:r w:rsidRPr="003002D3">
        <w:rPr>
          <w:color w:val="000000"/>
          <w:lang w:val="de-DE"/>
        </w:rPr>
        <w:t>SQL Server</w:t>
      </w:r>
      <w:r w:rsidR="00BA264B">
        <w:rPr>
          <w:color w:val="000000"/>
          <w:lang w:val="de-DE"/>
        </w:rPr>
        <w:t> </w:t>
      </w:r>
      <w:r w:rsidRPr="003002D3">
        <w:rPr>
          <w:color w:val="000000"/>
          <w:lang w:val="de-DE"/>
        </w:rPr>
        <w:t>2008 R2 Datacenter-Prozessor</w:t>
      </w:r>
      <w:r w:rsidRPr="003002D3">
        <w:rPr>
          <w:rFonts w:cs="Tahoma"/>
          <w:bCs/>
          <w:color w:val="000000"/>
          <w:szCs w:val="18"/>
          <w:lang w:val="de-DE"/>
        </w:rPr>
        <w:t>lizenzen, die danach unter derselben Beitrittslaufzeit, jedoch vor dem</w:t>
      </w:r>
      <w:r w:rsidR="00BA264B">
        <w:rPr>
          <w:rFonts w:cs="Tahoma"/>
          <w:bCs/>
          <w:color w:val="000000"/>
          <w:szCs w:val="18"/>
          <w:lang w:val="de-DE"/>
        </w:rPr>
        <w:t> </w:t>
      </w:r>
      <w:r w:rsidRPr="003002D3">
        <w:rPr>
          <w:rFonts w:cs="Tahoma"/>
          <w:bCs/>
          <w:color w:val="000000"/>
          <w:szCs w:val="18"/>
          <w:lang w:val="de-DE"/>
        </w:rPr>
        <w:t>1</w:t>
      </w:r>
      <w:r w:rsidR="006257A7">
        <w:rPr>
          <w:rFonts w:cs="Tahoma"/>
          <w:bCs/>
          <w:color w:val="000000"/>
          <w:szCs w:val="18"/>
          <w:lang w:val="de-DE"/>
        </w:rPr>
        <w:t xml:space="preserve">. </w:t>
      </w:r>
      <w:r w:rsidRPr="003002D3">
        <w:rPr>
          <w:rFonts w:cs="Tahoma"/>
          <w:bCs/>
          <w:color w:val="000000"/>
          <w:szCs w:val="18"/>
          <w:lang w:val="de-DE"/>
        </w:rPr>
        <w:t>April 2015 im Rahmen eines Konzern-, Konzern-Abonnement-, Open Value Subscription-Prozesses oder des geplanten jährlichen True Up-Prozesses des EES-Kunden erworben werden, sind ebenfalls qualifizierende Lizenzen im Sinne dieser Optionen</w:t>
      </w:r>
      <w:r w:rsidR="006257A7">
        <w:rPr>
          <w:rFonts w:cs="Tahoma"/>
          <w:bCs/>
          <w:color w:val="000000"/>
          <w:szCs w:val="18"/>
          <w:lang w:val="de-DE"/>
        </w:rPr>
        <w:t xml:space="preserve">. </w:t>
      </w:r>
      <w:r w:rsidRPr="003002D3">
        <w:rPr>
          <w:rFonts w:cs="Tahoma"/>
          <w:bCs/>
          <w:color w:val="000000"/>
          <w:szCs w:val="18"/>
          <w:lang w:val="de-DE"/>
        </w:rPr>
        <w:t>Lizenzen, die nach dem 1</w:t>
      </w:r>
      <w:r w:rsidR="006257A7">
        <w:rPr>
          <w:rFonts w:cs="Tahoma"/>
          <w:bCs/>
          <w:color w:val="000000"/>
          <w:szCs w:val="18"/>
          <w:lang w:val="de-DE"/>
        </w:rPr>
        <w:t xml:space="preserve">. </w:t>
      </w:r>
      <w:r w:rsidRPr="003002D3">
        <w:rPr>
          <w:rFonts w:cs="Tahoma"/>
          <w:bCs/>
          <w:color w:val="000000"/>
          <w:szCs w:val="18"/>
          <w:lang w:val="de-DE"/>
        </w:rPr>
        <w:t>April 2015 oder unter einer nachfolgenden Beitrittslaufzeit, einem separaten Vertrag oder einem Beitritt erworben werden, dessen Wirksamkeitsdatum nach dem 1</w:t>
      </w:r>
      <w:r w:rsidR="006257A7">
        <w:rPr>
          <w:rFonts w:cs="Tahoma"/>
          <w:bCs/>
          <w:color w:val="000000"/>
          <w:szCs w:val="18"/>
          <w:lang w:val="de-DE"/>
        </w:rPr>
        <w:t xml:space="preserve">. </w:t>
      </w:r>
      <w:r w:rsidRPr="003002D3">
        <w:rPr>
          <w:rFonts w:cs="Tahoma"/>
          <w:bCs/>
          <w:color w:val="000000"/>
          <w:szCs w:val="18"/>
          <w:lang w:val="de-DE"/>
        </w:rPr>
        <w:t>April 2012 liegt, sind keine qualifizierenden Lizenzen</w:t>
      </w:r>
      <w:r w:rsidR="006257A7">
        <w:rPr>
          <w:rFonts w:cs="Tahoma"/>
          <w:bCs/>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cs="Tahoma"/>
          <w:b/>
          <w:color w:val="000000"/>
          <w:szCs w:val="18"/>
          <w:lang w:val="de-DE"/>
        </w:rPr>
        <w:t>Aktuelle Laufzeit</w:t>
      </w:r>
    </w:p>
    <w:p w:rsidR="00E73313" w:rsidRPr="003002D3" w:rsidRDefault="00E73313" w:rsidP="00E73313">
      <w:pPr>
        <w:ind w:left="720"/>
        <w:contextualSpacing/>
        <w:rPr>
          <w:lang w:val="de-DE"/>
        </w:rPr>
      </w:pPr>
      <w:r w:rsidRPr="003002D3">
        <w:rPr>
          <w:rFonts w:eastAsia="Calibri" w:cs="Tahoma"/>
          <w:szCs w:val="18"/>
          <w:lang w:val="de-DE"/>
        </w:rPr>
        <w:t>Während der aktuellen Laufzeit ihrer Software Assurance zum 1</w:t>
      </w:r>
      <w:r w:rsidR="006257A7">
        <w:rPr>
          <w:rFonts w:eastAsia="Calibri" w:cs="Tahoma"/>
          <w:szCs w:val="18"/>
          <w:lang w:val="de-DE"/>
        </w:rPr>
        <w:t xml:space="preserve">. </w:t>
      </w:r>
      <w:r w:rsidRPr="003002D3">
        <w:rPr>
          <w:rFonts w:eastAsia="Calibri" w:cs="Tahoma"/>
          <w:szCs w:val="18"/>
          <w:lang w:val="de-DE"/>
        </w:rPr>
        <w:t>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Datacenter upzugraden und diese zu verwenden</w:t>
      </w:r>
      <w:r w:rsidR="006257A7">
        <w:rPr>
          <w:rFonts w:eastAsia="Calibri" w:cs="Tahoma"/>
          <w:szCs w:val="18"/>
          <w:lang w:val="de-DE"/>
        </w:rPr>
        <w:t xml:space="preserve">. </w:t>
      </w:r>
      <w:r w:rsidRPr="003002D3">
        <w:rPr>
          <w:rFonts w:eastAsia="Calibri" w:cs="Tahoma"/>
          <w:szCs w:val="18"/>
          <w:lang w:val="de-DE"/>
        </w:rPr>
        <w:t>Diese Kunden verfügen ebenfalls über die „Unbegrenzte Virtualisierung“-Nutzungsrechte, wie in den Produkthinweisen zu SQL Server 2012 Enterprise in dieser Produktliste beschrieben</w:t>
      </w:r>
      <w:r w:rsidR="006257A7">
        <w:rPr>
          <w:rFonts w:eastAsia="Calibri" w:cs="Tahoma"/>
          <w:szCs w:val="18"/>
          <w:lang w:val="de-DE"/>
        </w:rPr>
        <w:t xml:space="preserve">. </w:t>
      </w:r>
    </w:p>
    <w:p w:rsidR="00E73313" w:rsidRPr="003002D3" w:rsidRDefault="00E73313" w:rsidP="00E73313">
      <w:pPr>
        <w:ind w:left="720"/>
        <w:contextualSpacing/>
        <w:rPr>
          <w:lang w:val="de-DE"/>
        </w:rPr>
      </w:pPr>
    </w:p>
    <w:p w:rsidR="00E73313" w:rsidRPr="003002D3" w:rsidRDefault="00E73313" w:rsidP="00E73313">
      <w:pPr>
        <w:spacing w:after="60"/>
        <w:ind w:left="720"/>
        <w:rPr>
          <w:lang w:val="de-DE"/>
        </w:rPr>
      </w:pPr>
      <w:r w:rsidRPr="003002D3">
        <w:rPr>
          <w:rFonts w:cs="Tahoma"/>
          <w:b/>
          <w:color w:val="000000"/>
          <w:szCs w:val="18"/>
          <w:lang w:val="de-DE"/>
        </w:rPr>
        <w:t>Erster Verlängerungszeitraum (vor dem 1</w:t>
      </w:r>
      <w:r w:rsidR="006257A7">
        <w:rPr>
          <w:rFonts w:cs="Tahoma"/>
          <w:b/>
          <w:color w:val="000000"/>
          <w:szCs w:val="18"/>
          <w:lang w:val="de-DE"/>
        </w:rPr>
        <w:t xml:space="preserve">. </w:t>
      </w:r>
      <w:r w:rsidRPr="003002D3">
        <w:rPr>
          <w:rFonts w:cs="Tahoma"/>
          <w:b/>
          <w:color w:val="000000"/>
          <w:szCs w:val="18"/>
          <w:lang w:val="de-DE"/>
        </w:rPr>
        <w:t>April 2015)</w:t>
      </w:r>
    </w:p>
    <w:p w:rsidR="00E73313" w:rsidRPr="003002D3" w:rsidRDefault="00E73313" w:rsidP="00E73313">
      <w:pPr>
        <w:tabs>
          <w:tab w:val="left" w:pos="720"/>
        </w:tabs>
        <w:ind w:left="720"/>
        <w:contextualSpacing/>
        <w:rPr>
          <w:lang w:val="de-DE"/>
        </w:rPr>
      </w:pPr>
      <w:r w:rsidRPr="003002D3">
        <w:rPr>
          <w:rFonts w:eastAsia="Calibri" w:cs="Tahoma"/>
          <w:szCs w:val="18"/>
          <w:lang w:val="de-DE"/>
        </w:rPr>
        <w:t>Bei der ersten Software Assurance-Verlängerung am oder nach dem 1</w:t>
      </w:r>
      <w:r w:rsidR="006257A7">
        <w:rPr>
          <w:rFonts w:eastAsia="Calibri" w:cs="Tahoma"/>
          <w:szCs w:val="18"/>
          <w:lang w:val="de-DE"/>
        </w:rPr>
        <w:t xml:space="preserve">. </w:t>
      </w:r>
      <w:r w:rsidRPr="003002D3">
        <w:rPr>
          <w:rFonts w:eastAsia="Calibri" w:cs="Tahoma"/>
          <w:szCs w:val="18"/>
          <w:lang w:val="de-DE"/>
        </w:rPr>
        <w:t>April 2012 (jedoch vor dem 1</w:t>
      </w:r>
      <w:r w:rsidR="006257A7">
        <w:rPr>
          <w:rFonts w:eastAsia="Calibri" w:cs="Tahoma"/>
          <w:szCs w:val="18"/>
          <w:lang w:val="de-DE"/>
        </w:rPr>
        <w:t xml:space="preserve">. </w:t>
      </w:r>
      <w:r w:rsidRPr="003002D3">
        <w:rPr>
          <w:rFonts w:eastAsia="Calibri" w:cs="Tahoma"/>
          <w:szCs w:val="18"/>
          <w:lang w:val="de-DE"/>
        </w:rPr>
        <w:t>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E73313" w:rsidRPr="003002D3" w:rsidRDefault="00E73313" w:rsidP="00E73313">
      <w:pPr>
        <w:numPr>
          <w:ilvl w:val="1"/>
          <w:numId w:val="50"/>
        </w:numPr>
        <w:tabs>
          <w:tab w:val="left" w:pos="1440"/>
        </w:tabs>
        <w:contextualSpacing/>
        <w:rPr>
          <w:lang w:val="de-DE"/>
        </w:rPr>
      </w:pPr>
      <w:r w:rsidRPr="003002D3">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E73313" w:rsidRPr="0062435A" w:rsidRDefault="00E73313" w:rsidP="00E73313">
      <w:pPr>
        <w:numPr>
          <w:ilvl w:val="2"/>
          <w:numId w:val="54"/>
        </w:numPr>
        <w:tabs>
          <w:tab w:val="left" w:pos="1800"/>
        </w:tabs>
        <w:ind w:left="1800" w:hanging="360"/>
        <w:contextualSpacing/>
      </w:pPr>
      <w:r>
        <w:rPr>
          <w:rFonts w:eastAsia="Calibri" w:cs="Tahoma"/>
          <w:szCs w:val="18"/>
        </w:rPr>
        <w:t>acht oder</w:t>
      </w:r>
    </w:p>
    <w:p w:rsidR="00E73313" w:rsidRPr="003002D3" w:rsidRDefault="00E73313" w:rsidP="00E73313">
      <w:pPr>
        <w:numPr>
          <w:ilvl w:val="2"/>
          <w:numId w:val="54"/>
        </w:numPr>
        <w:tabs>
          <w:tab w:val="left" w:pos="1800"/>
        </w:tabs>
        <w:ind w:left="1800" w:hanging="360"/>
        <w:contextualSpacing/>
        <w:rPr>
          <w:lang w:val="de-DE"/>
        </w:rPr>
      </w:pPr>
      <w:r w:rsidRPr="003002D3">
        <w:rPr>
          <w:rFonts w:eastAsia="Calibri" w:cs="Tahoma"/>
          <w:szCs w:val="18"/>
          <w:lang w:val="de-DE"/>
        </w:rPr>
        <w:t>der tatsächlichen Anzahl von Cores pro physischem Prozessor multipliziert mit dem entsprechenden Core-Faktor</w:t>
      </w:r>
      <w:r w:rsidR="006257A7">
        <w:rPr>
          <w:rFonts w:eastAsia="Calibri" w:cs="Tahoma"/>
          <w:szCs w:val="18"/>
          <w:lang w:val="de-DE"/>
        </w:rPr>
        <w:t xml:space="preserve">. </w:t>
      </w:r>
      <w:r w:rsidRPr="003002D3">
        <w:rPr>
          <w:rFonts w:eastAsia="Calibri" w:cs="Tahoma"/>
          <w:szCs w:val="18"/>
          <w:lang w:val="de-DE"/>
        </w:rPr>
        <w:t>(Wenn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szCs w:val="18"/>
          <w:lang w:val="de-DE"/>
        </w:rPr>
        <w:t xml:space="preserve">. </w:t>
      </w:r>
      <w:r w:rsidRPr="003002D3">
        <w:rPr>
          <w:rFonts w:eastAsia="Calibri" w:cs="Tahoma"/>
          <w:szCs w:val="18"/>
          <w:lang w:val="de-DE"/>
        </w:rPr>
        <w:t xml:space="preserve">) </w:t>
      </w:r>
    </w:p>
    <w:p w:rsidR="00E73313" w:rsidRPr="003002D3" w:rsidRDefault="00E73313" w:rsidP="00E73313">
      <w:pPr>
        <w:numPr>
          <w:ilvl w:val="1"/>
          <w:numId w:val="50"/>
        </w:numPr>
        <w:tabs>
          <w:tab w:val="left" w:pos="1440"/>
          <w:tab w:val="left" w:pos="2970"/>
        </w:tabs>
        <w:contextualSpacing/>
        <w:rPr>
          <w:lang w:val="de-DE"/>
        </w:rPr>
      </w:pPr>
      <w:r w:rsidRPr="003002D3">
        <w:rPr>
          <w:rFonts w:eastAsia="Calibri" w:cs="Tahoma"/>
          <w:szCs w:val="18"/>
          <w:lang w:val="de-DE"/>
        </w:rPr>
        <w:t>eine Anzahl, die der Anzahl von dem Server zugewiesenen qualifizierenden Lizenzen entspricht, die die tatsächliche Anzahl physischer Prozessoren auf dem Server übersteigen, multipliziert mit acht</w:t>
      </w:r>
      <w:r w:rsidR="006257A7">
        <w:rPr>
          <w:rFonts w:eastAsia="Calibri" w:cs="Tahoma"/>
          <w:szCs w:val="18"/>
          <w:lang w:val="de-DE"/>
        </w:rPr>
        <w:t xml:space="preserve">. </w:t>
      </w:r>
    </w:p>
    <w:p w:rsidR="00E73313" w:rsidRPr="003002D3" w:rsidRDefault="00E73313" w:rsidP="00E73313">
      <w:pPr>
        <w:ind w:left="720"/>
        <w:contextualSpacing/>
        <w:rPr>
          <w:lang w:val="de-DE"/>
        </w:rPr>
      </w:pPr>
    </w:p>
    <w:p w:rsidR="00E73313" w:rsidRPr="003002D3" w:rsidRDefault="00E73313" w:rsidP="00E73313">
      <w:pPr>
        <w:spacing w:after="60"/>
        <w:ind w:left="720"/>
        <w:rPr>
          <w:lang w:val="de-DE"/>
        </w:rPr>
      </w:pPr>
      <w:r w:rsidRPr="003002D3">
        <w:rPr>
          <w:rFonts w:eastAsia="Calibri" w:cs="Tahoma"/>
          <w:b/>
          <w:szCs w:val="18"/>
          <w:lang w:val="de-DE"/>
        </w:rPr>
        <w:t>Erster Verlängerungszeitraum (am oder nach dem 1</w:t>
      </w:r>
      <w:r w:rsidR="006257A7">
        <w:rPr>
          <w:rFonts w:eastAsia="Calibri" w:cs="Tahoma"/>
          <w:b/>
          <w:szCs w:val="18"/>
          <w:lang w:val="de-DE"/>
        </w:rPr>
        <w:t xml:space="preserve">. </w:t>
      </w:r>
      <w:r w:rsidRPr="003002D3">
        <w:rPr>
          <w:rFonts w:eastAsia="Calibri" w:cs="Tahoma"/>
          <w:b/>
          <w:szCs w:val="18"/>
          <w:lang w:val="de-DE"/>
        </w:rPr>
        <w:t>April 2015)</w:t>
      </w:r>
    </w:p>
    <w:p w:rsidR="00E73313" w:rsidRPr="003002D3" w:rsidRDefault="00E73313" w:rsidP="00E73313">
      <w:pPr>
        <w:ind w:left="720"/>
        <w:contextualSpacing/>
        <w:rPr>
          <w:lang w:val="de-DE"/>
        </w:rPr>
      </w:pPr>
      <w:r w:rsidRPr="003002D3">
        <w:rPr>
          <w:rFonts w:eastAsia="Calibri" w:cs="Tahoma"/>
          <w:color w:val="000000"/>
          <w:szCs w:val="18"/>
          <w:lang w:val="de-DE"/>
        </w:rPr>
        <w:t>Kunden, die Software Assurance am oder nach dem 1</w:t>
      </w:r>
      <w:r w:rsidR="006257A7">
        <w:rPr>
          <w:rFonts w:eastAsia="Calibri" w:cs="Tahoma"/>
          <w:color w:val="000000"/>
          <w:szCs w:val="18"/>
          <w:lang w:val="de-DE"/>
        </w:rPr>
        <w:t xml:space="preserve">. </w:t>
      </w:r>
      <w:r w:rsidRPr="003002D3">
        <w:rPr>
          <w:rFonts w:eastAsia="Calibri" w:cs="Tahoma"/>
          <w:color w:val="000000"/>
          <w:szCs w:val="18"/>
          <w:lang w:val="de-DE"/>
        </w:rPr>
        <w:t>April 2015</w:t>
      </w:r>
      <w:r w:rsidRPr="003002D3">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E73313" w:rsidRPr="003002D3" w:rsidRDefault="00E73313" w:rsidP="00E73313">
      <w:pPr>
        <w:ind w:left="720"/>
        <w:contextualSpacing/>
        <w:rPr>
          <w:lang w:val="de-DE"/>
        </w:rPr>
      </w:pPr>
    </w:p>
    <w:p w:rsidR="00E73313" w:rsidRPr="0062435A" w:rsidRDefault="00E73313" w:rsidP="00E73313">
      <w:pPr>
        <w:numPr>
          <w:ilvl w:val="2"/>
          <w:numId w:val="50"/>
        </w:numPr>
        <w:spacing w:after="60"/>
        <w:ind w:left="1440"/>
      </w:pPr>
      <w:r w:rsidRPr="003002D3">
        <w:rPr>
          <w:rFonts w:eastAsia="Calibri" w:cs="Tahoma"/>
          <w:szCs w:val="18"/>
          <w:lang w:val="de-DE"/>
        </w:rPr>
        <w:t>Wie im ersten Absatz dieses Produkthinweises dargelegt, sind Lizenzen, die vor dem 1</w:t>
      </w:r>
      <w:r w:rsidR="006257A7">
        <w:rPr>
          <w:rFonts w:eastAsia="Calibri" w:cs="Tahoma"/>
          <w:szCs w:val="18"/>
          <w:lang w:val="de-DE"/>
        </w:rPr>
        <w:t xml:space="preserve">. </w:t>
      </w:r>
      <w:r w:rsidRPr="003002D3">
        <w:rPr>
          <w:rFonts w:eastAsia="Calibri" w:cs="Tahoma"/>
          <w:szCs w:val="18"/>
          <w:lang w:val="de-DE"/>
        </w:rPr>
        <w:t>April 2015 erworben wurden, qualifizierende Lizenzen, und Kunden sind berechtigt, Software Assurance in Übereinstimmung mit den Bestimmungen im Abschnitt oben mit der Überschrift „Erster Verlängerungszeitraum (vor dem 1</w:t>
      </w:r>
      <w:r w:rsidR="006257A7">
        <w:rPr>
          <w:rFonts w:eastAsia="Calibri" w:cs="Tahoma"/>
          <w:szCs w:val="18"/>
          <w:lang w:val="de-DE"/>
        </w:rPr>
        <w:t xml:space="preserve">. </w:t>
      </w:r>
      <w:r>
        <w:rPr>
          <w:rFonts w:eastAsia="Calibri" w:cs="Tahoma"/>
          <w:szCs w:val="18"/>
        </w:rPr>
        <w:t xml:space="preserve">April 2015)“ zu verlängern, und </w:t>
      </w:r>
    </w:p>
    <w:p w:rsidR="00E73313" w:rsidRPr="003002D3" w:rsidRDefault="00E328C3" w:rsidP="00BA264B">
      <w:pPr>
        <w:numPr>
          <w:ilvl w:val="2"/>
          <w:numId w:val="50"/>
        </w:numPr>
        <w:spacing w:after="60"/>
        <w:ind w:left="1440"/>
        <w:rPr>
          <w:lang w:val="de-DE"/>
        </w:rPr>
      </w:pPr>
      <w:r>
        <w:rPr>
          <w:rFonts w:eastAsia="Calibri" w:cs="Tahoma"/>
          <w:szCs w:val="18"/>
          <w:lang w:val="de-DE"/>
        </w:rPr>
        <w:t>F</w:t>
      </w:r>
      <w:r w:rsidR="00E73313" w:rsidRPr="003002D3">
        <w:rPr>
          <w:rFonts w:eastAsia="Calibri" w:cs="Tahoma"/>
          <w:szCs w:val="18"/>
          <w:lang w:val="de-DE"/>
        </w:rPr>
        <w:t>ür Lizenzen, die nach dem 1</w:t>
      </w:r>
      <w:r w:rsidR="006257A7">
        <w:rPr>
          <w:rFonts w:eastAsia="Calibri" w:cs="Tahoma"/>
          <w:szCs w:val="18"/>
          <w:lang w:val="de-DE"/>
        </w:rPr>
        <w:t xml:space="preserve">. </w:t>
      </w:r>
      <w:r w:rsidR="00E73313" w:rsidRPr="003002D3">
        <w:rPr>
          <w:rFonts w:eastAsia="Calibri" w:cs="Tahoma"/>
          <w:szCs w:val="18"/>
          <w:lang w:val="de-DE"/>
        </w:rPr>
        <w:t>April 2015 erworben wurden, sind Kunden berechtigt, Software Assurance für acht SQL Server Enterprise-Core-Lizenzen zu verlängern, ohne die zugrunde liegenden Core-Lizenzen für jede SQL Server 2008 R2 Datacenter-Prozessorlizenz zu erwerben</w:t>
      </w:r>
      <w:r w:rsidR="006257A7">
        <w:rPr>
          <w:rFonts w:eastAsia="Calibri" w:cs="Tahoma"/>
          <w:szCs w:val="18"/>
          <w:lang w:val="de-DE"/>
        </w:rPr>
        <w:t xml:space="preserve">. </w:t>
      </w:r>
      <w:r w:rsidR="00E73313" w:rsidRPr="003002D3">
        <w:rPr>
          <w:rFonts w:eastAsia="Calibri" w:cs="Tahoma"/>
          <w:szCs w:val="18"/>
          <w:lang w:val="de-DE"/>
        </w:rPr>
        <w:t>Für</w:t>
      </w:r>
      <w:r w:rsidR="00BA264B">
        <w:rPr>
          <w:rFonts w:eastAsia="Calibri" w:cs="Tahoma"/>
          <w:szCs w:val="18"/>
          <w:lang w:val="de-DE"/>
        </w:rPr>
        <w:t> </w:t>
      </w:r>
      <w:r w:rsidR="00E73313" w:rsidRPr="003002D3">
        <w:rPr>
          <w:rFonts w:eastAsia="Calibri" w:cs="Tahoma"/>
          <w:szCs w:val="18"/>
          <w:lang w:val="de-DE"/>
        </w:rPr>
        <w:t>die kontinuierliche Verwendung von SQL Server 2012 auf Prozessoren, die mehr als acht Core-Lizenzen pro Prozessor erfordern, muss der Kunde die zusätzlichen Core-Lizenzen erwerben</w:t>
      </w:r>
      <w:r w:rsidR="006257A7">
        <w:rPr>
          <w:rFonts w:eastAsia="Calibri" w:cs="Tahoma"/>
          <w:szCs w:val="18"/>
          <w:lang w:val="de-DE"/>
        </w:rPr>
        <w:t xml:space="preserve">. </w:t>
      </w:r>
    </w:p>
    <w:p w:rsidR="00E73313" w:rsidRPr="003002D3" w:rsidRDefault="00E73313" w:rsidP="00E73313">
      <w:pPr>
        <w:ind w:left="1440"/>
        <w:contextualSpacing/>
        <w:rPr>
          <w:lang w:val="de-DE"/>
        </w:rPr>
      </w:pPr>
    </w:p>
    <w:p w:rsidR="00E73313" w:rsidRPr="003002D3" w:rsidRDefault="00E73313" w:rsidP="00E73313">
      <w:pPr>
        <w:ind w:left="720"/>
        <w:contextualSpacing/>
        <w:rPr>
          <w:lang w:val="de-DE"/>
        </w:rPr>
      </w:pPr>
      <w:r w:rsidRPr="003002D3">
        <w:rPr>
          <w:rFonts w:eastAsia="Calibri" w:cs="Tahoma"/>
          <w:szCs w:val="18"/>
          <w:lang w:val="de-DE"/>
        </w:rPr>
        <w:t>Die Prozessorlizenzen des Kunden sind bei Erwerb von Software Assurance für Core-Lizenzen unter diesem Angebot nicht mehr gültig</w:t>
      </w:r>
      <w:r w:rsidR="006257A7">
        <w:rPr>
          <w:rFonts w:eastAsia="Calibri" w:cs="Tahoma"/>
          <w:szCs w:val="18"/>
          <w:lang w:val="de-DE"/>
        </w:rPr>
        <w:t xml:space="preserve">. </w:t>
      </w:r>
      <w:r w:rsidRPr="003002D3">
        <w:rPr>
          <w:rFonts w:eastAsia="Calibri" w:cs="Tahoma"/>
          <w:szCs w:val="18"/>
          <w:lang w:val="de-DE"/>
        </w:rPr>
        <w:t>Die Option zum Erwerb von Core-Lizenzen für Software Assurance für SQL Server ist nicht auf die Software Assurance-Verlängerung unter Abonnementprogrammen anwendbar</w:t>
      </w:r>
      <w:r w:rsidR="006257A7">
        <w:rPr>
          <w:rFonts w:eastAsia="Calibri" w:cs="Tahoma"/>
          <w:szCs w:val="18"/>
          <w:lang w:val="de-DE"/>
        </w:rPr>
        <w:t xml:space="preserve">. </w:t>
      </w:r>
    </w:p>
    <w:p w:rsidR="00E73313" w:rsidRDefault="00E73313" w:rsidP="00E73313">
      <w:pPr>
        <w:tabs>
          <w:tab w:val="left" w:pos="720"/>
        </w:tabs>
        <w:ind w:left="720"/>
        <w:contextualSpacing/>
        <w:rPr>
          <w:lang w:val="de-DE"/>
        </w:rPr>
      </w:pPr>
    </w:p>
    <w:p w:rsidR="00BA264B" w:rsidRDefault="00BA264B" w:rsidP="00E73313">
      <w:pPr>
        <w:tabs>
          <w:tab w:val="left" w:pos="720"/>
        </w:tabs>
        <w:ind w:left="720"/>
        <w:contextualSpacing/>
        <w:rPr>
          <w:lang w:val="de-DE"/>
        </w:rPr>
      </w:pPr>
    </w:p>
    <w:p w:rsidR="00F25255" w:rsidRDefault="00F25255" w:rsidP="00E73313">
      <w:pPr>
        <w:tabs>
          <w:tab w:val="left" w:pos="720"/>
        </w:tabs>
        <w:ind w:left="720"/>
        <w:contextualSpacing/>
        <w:rPr>
          <w:lang w:val="de-DE"/>
        </w:rPr>
      </w:pPr>
    </w:p>
    <w:p w:rsidR="00F25255" w:rsidRPr="003002D3" w:rsidRDefault="00F25255" w:rsidP="00E73313">
      <w:pPr>
        <w:tabs>
          <w:tab w:val="left" w:pos="720"/>
        </w:tabs>
        <w:ind w:left="720"/>
        <w:contextualSpacing/>
        <w:rPr>
          <w:lang w:val="de-DE"/>
        </w:rPr>
      </w:pPr>
    </w:p>
    <w:p w:rsidR="00E73313" w:rsidRPr="003002D3" w:rsidRDefault="00E73313" w:rsidP="00E73313">
      <w:pPr>
        <w:tabs>
          <w:tab w:val="left" w:pos="720"/>
        </w:tabs>
        <w:spacing w:after="60"/>
        <w:ind w:left="720"/>
        <w:rPr>
          <w:lang w:val="de-DE"/>
        </w:rPr>
      </w:pPr>
      <w:r w:rsidRPr="003002D3">
        <w:rPr>
          <w:rFonts w:eastAsia="Calibri" w:cs="Tahoma"/>
          <w:b/>
          <w:szCs w:val="18"/>
          <w:lang w:val="de-DE"/>
        </w:rPr>
        <w:t>Für Kunden mit Software Assurance, die vor dem 1</w:t>
      </w:r>
      <w:r w:rsidR="006257A7">
        <w:rPr>
          <w:rFonts w:eastAsia="Calibri" w:cs="Tahoma"/>
          <w:b/>
          <w:szCs w:val="18"/>
          <w:lang w:val="de-DE"/>
        </w:rPr>
        <w:t xml:space="preserve">. </w:t>
      </w:r>
      <w:r w:rsidRPr="003002D3">
        <w:rPr>
          <w:rFonts w:eastAsia="Calibri" w:cs="Tahoma"/>
          <w:b/>
          <w:szCs w:val="18"/>
          <w:lang w:val="de-DE"/>
        </w:rPr>
        <w:t>April 2015 abläuft, die sich gegen eine Verlängerung entscheiden</w:t>
      </w:r>
    </w:p>
    <w:p w:rsidR="00E73313" w:rsidRPr="003002D3" w:rsidRDefault="00E73313" w:rsidP="00E73313">
      <w:pPr>
        <w:tabs>
          <w:tab w:val="left" w:pos="720"/>
        </w:tabs>
        <w:ind w:left="720"/>
        <w:contextualSpacing/>
        <w:rPr>
          <w:lang w:val="de-DE"/>
        </w:rPr>
      </w:pPr>
      <w:r w:rsidRPr="003002D3">
        <w:rPr>
          <w:rFonts w:eastAsia="Calibri" w:cs="Tahoma"/>
          <w:szCs w:val="18"/>
          <w:lang w:val="de-DE"/>
        </w:rPr>
        <w:t xml:space="preserve">Konzern-Abonnement- </w:t>
      </w:r>
      <w:r w:rsidRPr="003002D3">
        <w:rPr>
          <w:rFonts w:cs="Tahoma"/>
          <w:bCs/>
          <w:color w:val="000000"/>
          <w:szCs w:val="18"/>
          <w:lang w:val="de-DE"/>
        </w:rPr>
        <w:t>und Open Value Subscription-</w:t>
      </w:r>
      <w:r w:rsidRPr="003002D3">
        <w:rPr>
          <w:rFonts w:eastAsia="Calibri" w:cs="Tahoma"/>
          <w:szCs w:val="18"/>
          <w:lang w:val="de-DE"/>
        </w:rPr>
        <w:t>Kunden mit Software Assurance, die vor dem 1</w:t>
      </w:r>
      <w:r w:rsidR="006257A7">
        <w:rPr>
          <w:rFonts w:eastAsia="Calibri" w:cs="Tahoma"/>
          <w:szCs w:val="18"/>
          <w:lang w:val="de-DE"/>
        </w:rPr>
        <w:t xml:space="preserve">. </w:t>
      </w:r>
      <w:r w:rsidRPr="003002D3">
        <w:rPr>
          <w:rFonts w:eastAsia="Calibri" w:cs="Tahoma"/>
          <w:szCs w:val="18"/>
          <w:lang w:val="de-DE"/>
        </w:rPr>
        <w:t>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E73313" w:rsidRPr="00F25255" w:rsidRDefault="00E73313" w:rsidP="00F25255">
      <w:pPr>
        <w:tabs>
          <w:tab w:val="left" w:pos="720"/>
        </w:tabs>
        <w:spacing w:line="168" w:lineRule="auto"/>
        <w:ind w:left="720"/>
        <w:contextualSpacing/>
        <w:rPr>
          <w:sz w:val="16"/>
          <w:szCs w:val="16"/>
          <w:lang w:val="de-DE"/>
        </w:rPr>
      </w:pPr>
    </w:p>
    <w:p w:rsidR="00E73313" w:rsidRPr="003002D3" w:rsidRDefault="00E73313" w:rsidP="00E73313">
      <w:pPr>
        <w:numPr>
          <w:ilvl w:val="0"/>
          <w:numId w:val="51"/>
        </w:numPr>
        <w:tabs>
          <w:tab w:val="left" w:pos="1440"/>
        </w:tabs>
        <w:spacing w:after="60"/>
        <w:rPr>
          <w:lang w:val="de-DE"/>
        </w:rPr>
      </w:pPr>
      <w:r w:rsidRPr="003002D3">
        <w:rPr>
          <w:rFonts w:eastAsia="Calibri" w:cs="Tahoma"/>
          <w:b/>
          <w:szCs w:val="18"/>
          <w:lang w:val="de-DE"/>
        </w:rPr>
        <w:t>SQL Server 2008 R2 Datacenter:</w:t>
      </w:r>
      <w:r w:rsidRPr="003002D3">
        <w:rPr>
          <w:rFonts w:eastAsia="Calibri" w:cs="Tahoma"/>
          <w:szCs w:val="18"/>
          <w:lang w:val="de-DE"/>
        </w:rPr>
        <w:t xml:space="preserve"> Die kontinuierliche Verwendung dieser Version der Software unterliegt den Produktbenutzungsrechten für SQL Server 2008 R2 Datacenter-Prozessorlizenzen</w:t>
      </w:r>
      <w:r w:rsidR="006257A7">
        <w:rPr>
          <w:rFonts w:eastAsia="Calibri" w:cs="Tahoma"/>
          <w:szCs w:val="18"/>
          <w:lang w:val="de-DE"/>
        </w:rPr>
        <w:t xml:space="preserve">. </w:t>
      </w:r>
    </w:p>
    <w:p w:rsidR="00E73313" w:rsidRPr="003002D3" w:rsidRDefault="00E73313" w:rsidP="00E73313">
      <w:pPr>
        <w:numPr>
          <w:ilvl w:val="0"/>
          <w:numId w:val="51"/>
        </w:numPr>
        <w:tabs>
          <w:tab w:val="left" w:pos="1440"/>
          <w:tab w:val="left" w:pos="2970"/>
        </w:tabs>
        <w:spacing w:after="60"/>
        <w:rPr>
          <w:lang w:val="de-DE"/>
        </w:rPr>
      </w:pPr>
      <w:r w:rsidRPr="003002D3">
        <w:rPr>
          <w:rFonts w:eastAsia="Calibri" w:cs="Tahoma"/>
          <w:b/>
          <w:szCs w:val="18"/>
          <w:lang w:val="de-DE"/>
        </w:rPr>
        <w:t xml:space="preserve">SQL Server 2012 Enterprise Core: </w:t>
      </w:r>
      <w:r w:rsidRPr="003002D3">
        <w:rPr>
          <w:rFonts w:eastAsia="Calibri" w:cs="Tahoma"/>
          <w:szCs w:val="18"/>
          <w:lang w:val="de-DE"/>
        </w:rPr>
        <w:t xml:space="preserve">Die Verwendung dieser Version der Software unterliegt den Produktbenutzungsrechten für SQL Server 2008 R2 Enterprise-Prozessorlizenzen, jedoch mit folgenden Einschränkungen: </w:t>
      </w:r>
    </w:p>
    <w:p w:rsidR="00E73313" w:rsidRPr="003002D3" w:rsidRDefault="00E73313" w:rsidP="00F25255">
      <w:pPr>
        <w:numPr>
          <w:ilvl w:val="1"/>
          <w:numId w:val="51"/>
        </w:numPr>
        <w:tabs>
          <w:tab w:val="left" w:pos="1800"/>
        </w:tabs>
        <w:spacing w:after="60" w:line="235" w:lineRule="auto"/>
        <w:ind w:left="1800"/>
        <w:rPr>
          <w:lang w:val="de-DE"/>
        </w:rPr>
      </w:pPr>
      <w:r w:rsidRPr="003002D3">
        <w:rPr>
          <w:rFonts w:eastAsia="Calibri" w:cs="Tahoma"/>
          <w:szCs w:val="18"/>
          <w:lang w:val="de-DE"/>
        </w:rPr>
        <w:t>Kunden verfügen nicht mehr über Nutzungsrechte für Unbegrenzte Virtualisierung,</w:t>
      </w:r>
      <w:r w:rsidR="00BA264B">
        <w:rPr>
          <w:rFonts w:eastAsia="Calibri" w:cs="Tahoma"/>
          <w:szCs w:val="18"/>
          <w:lang w:val="de-DE"/>
        </w:rPr>
        <w:t> </w:t>
      </w:r>
      <w:r w:rsidRPr="003002D3">
        <w:rPr>
          <w:rFonts w:eastAsia="Calibri" w:cs="Tahoma"/>
          <w:szCs w:val="18"/>
          <w:lang w:val="de-DE"/>
        </w:rPr>
        <w:t>Lizenzmobilität innerhalb von Serverfarmen oder Lizenzmobilität durch</w:t>
      </w:r>
      <w:r w:rsidR="00BA264B">
        <w:rPr>
          <w:rFonts w:eastAsia="Calibri" w:cs="Tahoma"/>
          <w:szCs w:val="18"/>
          <w:lang w:val="de-DE"/>
        </w:rPr>
        <w:t> </w:t>
      </w:r>
      <w:r w:rsidRPr="003002D3">
        <w:rPr>
          <w:rFonts w:eastAsia="Calibri" w:cs="Tahoma"/>
          <w:szCs w:val="18"/>
          <w:lang w:val="de-DE"/>
        </w:rPr>
        <w:t xml:space="preserve">Software Assurance, und </w:t>
      </w:r>
    </w:p>
    <w:p w:rsidR="00E73313" w:rsidRPr="0062435A" w:rsidRDefault="00E73313" w:rsidP="00F25255">
      <w:pPr>
        <w:numPr>
          <w:ilvl w:val="1"/>
          <w:numId w:val="51"/>
        </w:numPr>
        <w:tabs>
          <w:tab w:val="left" w:pos="1800"/>
        </w:tabs>
        <w:spacing w:after="60" w:line="235" w:lineRule="auto"/>
        <w:ind w:left="1800"/>
      </w:pPr>
      <w:r w:rsidRPr="003002D3">
        <w:rPr>
          <w:rFonts w:eastAsia="Calibri" w:cs="Tahoma"/>
          <w:szCs w:val="18"/>
          <w:lang w:val="de-DE"/>
        </w:rPr>
        <w:t>Neuzuweisungen von Lizenzen unterliegen den Beschränkungen unten unter (i) und (ii) in Bezug auf ihre „Core-Lizenzäquivalenz“</w:t>
      </w:r>
      <w:r w:rsidR="006257A7">
        <w:rPr>
          <w:rFonts w:eastAsia="Calibri" w:cs="Tahoma"/>
          <w:szCs w:val="18"/>
          <w:lang w:val="de-DE"/>
        </w:rPr>
        <w:t xml:space="preserve">. </w:t>
      </w:r>
      <w:r>
        <w:rPr>
          <w:rFonts w:eastAsia="Calibri" w:cs="Tahoma"/>
          <w:szCs w:val="18"/>
        </w:rPr>
        <w:t>Die Core-Lizenzäquivalenz wird wie folgt bestimmt</w:t>
      </w:r>
      <w:r w:rsidR="006257A7">
        <w:rPr>
          <w:rFonts w:eastAsia="Calibri" w:cs="Tahoma"/>
          <w:szCs w:val="18"/>
        </w:rPr>
        <w:t xml:space="preserve">. </w:t>
      </w:r>
    </w:p>
    <w:p w:rsidR="00E73313" w:rsidRPr="003002D3" w:rsidRDefault="00E73313" w:rsidP="00E73313">
      <w:pPr>
        <w:numPr>
          <w:ilvl w:val="2"/>
          <w:numId w:val="51"/>
        </w:numPr>
        <w:tabs>
          <w:tab w:val="left" w:pos="2160"/>
        </w:tabs>
        <w:spacing w:after="60"/>
        <w:ind w:left="2160" w:hanging="360"/>
        <w:rPr>
          <w:lang w:val="de-DE"/>
        </w:rPr>
      </w:pPr>
      <w:r w:rsidRPr="003002D3">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E73313" w:rsidRPr="0062435A" w:rsidRDefault="00E73313" w:rsidP="00F25255">
      <w:pPr>
        <w:numPr>
          <w:ilvl w:val="4"/>
          <w:numId w:val="50"/>
        </w:numPr>
        <w:tabs>
          <w:tab w:val="left" w:pos="2520"/>
        </w:tabs>
        <w:spacing w:after="60" w:line="235" w:lineRule="auto"/>
        <w:ind w:left="2520"/>
      </w:pPr>
      <w:r>
        <w:rPr>
          <w:rFonts w:eastAsia="Calibri" w:cs="Tahoma"/>
          <w:szCs w:val="18"/>
        </w:rPr>
        <w:t xml:space="preserve">acht Cores pro Prozessorlizenz ODER </w:t>
      </w:r>
    </w:p>
    <w:p w:rsidR="00E73313" w:rsidRPr="003002D3" w:rsidRDefault="00E73313" w:rsidP="00F25255">
      <w:pPr>
        <w:numPr>
          <w:ilvl w:val="4"/>
          <w:numId w:val="50"/>
        </w:numPr>
        <w:tabs>
          <w:tab w:val="left" w:pos="2520"/>
        </w:tabs>
        <w:spacing w:after="60" w:line="235" w:lineRule="auto"/>
        <w:ind w:left="2520"/>
        <w:rPr>
          <w:lang w:val="de-DE"/>
        </w:rPr>
      </w:pPr>
      <w:r w:rsidRPr="003002D3">
        <w:rPr>
          <w:rFonts w:eastAsia="Calibri" w:cs="Tahoma"/>
          <w:szCs w:val="18"/>
          <w:lang w:val="de-DE"/>
        </w:rPr>
        <w:t>einer Anzahl von Cores pro Prozessorlizenz basierend auf der tatsächlichen Anzahl von Cores pro physischem Prozessor multipliziert mit dem entsprechenden Core-Faktor</w:t>
      </w:r>
      <w:r w:rsidR="006257A7">
        <w:rPr>
          <w:rFonts w:eastAsia="Calibri" w:cs="Tahoma"/>
          <w:szCs w:val="18"/>
          <w:lang w:val="de-DE"/>
        </w:rPr>
        <w:t xml:space="preserve">. </w:t>
      </w:r>
      <w:r w:rsidRPr="003002D3">
        <w:rPr>
          <w:rFonts w:eastAsia="Calibri" w:cs="Tahoma"/>
          <w:szCs w:val="18"/>
          <w:lang w:val="de-DE"/>
        </w:rPr>
        <w:t>(Wenn die tatsächliche Anzahl von Cores pro physischem Prozessor mehr als 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szCs w:val="18"/>
          <w:lang w:val="de-DE"/>
        </w:rPr>
        <w:t xml:space="preserve">. </w:t>
      </w:r>
      <w:r w:rsidRPr="003002D3">
        <w:rPr>
          <w:rFonts w:eastAsia="Calibri" w:cs="Tahoma"/>
          <w:szCs w:val="18"/>
          <w:lang w:val="de-DE"/>
        </w:rPr>
        <w:t xml:space="preserve">) </w:t>
      </w:r>
    </w:p>
    <w:p w:rsidR="00E73313" w:rsidRPr="003002D3" w:rsidRDefault="00E73313" w:rsidP="00E73313">
      <w:pPr>
        <w:numPr>
          <w:ilvl w:val="2"/>
          <w:numId w:val="51"/>
        </w:numPr>
        <w:tabs>
          <w:tab w:val="left" w:pos="2160"/>
        </w:tabs>
        <w:spacing w:after="60"/>
        <w:ind w:left="2160" w:hanging="360"/>
        <w:rPr>
          <w:lang w:val="de-DE"/>
        </w:rPr>
      </w:pPr>
      <w:r w:rsidRPr="003002D3">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acht Cores pro Prozessorlizenz</w:t>
      </w:r>
      <w:r w:rsidR="006257A7">
        <w:rPr>
          <w:rFonts w:eastAsia="Calibri" w:cs="Tahoma"/>
          <w:szCs w:val="18"/>
          <w:lang w:val="de-DE"/>
        </w:rPr>
        <w:t xml:space="preserve">. </w:t>
      </w:r>
    </w:p>
    <w:p w:rsidR="00E73313" w:rsidRPr="003002D3" w:rsidRDefault="00E73313" w:rsidP="00F25255">
      <w:pPr>
        <w:numPr>
          <w:ilvl w:val="1"/>
          <w:numId w:val="51"/>
        </w:numPr>
        <w:tabs>
          <w:tab w:val="left" w:pos="1800"/>
          <w:tab w:val="left" w:pos="2970"/>
        </w:tabs>
        <w:spacing w:after="60" w:line="235" w:lineRule="auto"/>
        <w:ind w:left="1800"/>
        <w:rPr>
          <w:lang w:val="de-DE"/>
        </w:rPr>
      </w:pPr>
      <w:r w:rsidRPr="003002D3">
        <w:rPr>
          <w:rFonts w:eastAsia="Calibri" w:cs="Tahoma"/>
          <w:szCs w:val="18"/>
          <w:lang w:val="de-DE"/>
        </w:rPr>
        <w:t>Kunden sind berechtigt, Lizenzen einem anderen Server neu zuzuweisen</w:t>
      </w:r>
      <w:r w:rsidR="006257A7">
        <w:rPr>
          <w:rFonts w:eastAsia="Calibri" w:cs="Tahoma"/>
          <w:szCs w:val="18"/>
          <w:lang w:val="de-DE"/>
        </w:rPr>
        <w:t xml:space="preserve">. </w:t>
      </w:r>
      <w:r w:rsidRPr="003002D3">
        <w:rPr>
          <w:rFonts w:eastAsia="Calibri" w:cs="Tahoma"/>
          <w:szCs w:val="18"/>
          <w:lang w:val="de-DE"/>
        </w:rPr>
        <w:t>Wenn der Kunde jedoch eine Lizenz einem anderen Server neu zuweist, muss der Kunde die Nutzungsrechte für SQL Server 2012 befolgen</w:t>
      </w:r>
      <w:r w:rsidR="006257A7">
        <w:rPr>
          <w:rFonts w:eastAsia="Calibri" w:cs="Tahoma"/>
          <w:szCs w:val="18"/>
          <w:lang w:val="de-DE"/>
        </w:rPr>
        <w:t xml:space="preserve">. </w:t>
      </w:r>
      <w:r w:rsidRPr="003002D3">
        <w:rPr>
          <w:rFonts w:eastAsia="Calibri" w:cs="Tahoma"/>
          <w:szCs w:val="18"/>
          <w:lang w:val="de-DE"/>
        </w:rPr>
        <w:t>Beim Zuweisen von Core-Lizenzen zu Servern unter den Nutzungsrechten für SQL 2012 ist der Kunde berechtigt, die Core-Äquivalenz seiner vorhandenen Lizenzen mit zusätzlichen Core-Lizenzen für SQL Server 2012 zu kombinieren</w:t>
      </w:r>
      <w:r w:rsidR="006257A7">
        <w:rPr>
          <w:rFonts w:eastAsia="Calibri" w:cs="Tahoma"/>
          <w:szCs w:val="18"/>
          <w:lang w:val="de-DE"/>
        </w:rPr>
        <w:t xml:space="preserve">. </w:t>
      </w:r>
    </w:p>
    <w:p w:rsidR="00E73313" w:rsidRPr="003002D3" w:rsidRDefault="00E73313" w:rsidP="00F25255">
      <w:pPr>
        <w:numPr>
          <w:ilvl w:val="1"/>
          <w:numId w:val="51"/>
        </w:numPr>
        <w:tabs>
          <w:tab w:val="left" w:pos="1800"/>
        </w:tabs>
        <w:spacing w:after="60" w:line="235" w:lineRule="auto"/>
        <w:ind w:left="1800"/>
        <w:rPr>
          <w:lang w:val="de-DE"/>
        </w:rPr>
      </w:pPr>
      <w:r w:rsidRPr="003002D3">
        <w:rPr>
          <w:rFonts w:eastAsia="Calibri" w:cs="Tahoma"/>
          <w:szCs w:val="18"/>
          <w:lang w:val="de-DE"/>
        </w:rPr>
        <w:t>Die angenommene Core-Lizenzäquivalenz der Kunden impliziert nicht, dass sie berechtigt sind, eine einzelne Prozessorlizenz Cores auf zwei oder mehr Prozessoren zuzuweisen</w:t>
      </w:r>
      <w:r w:rsidR="006257A7">
        <w:rPr>
          <w:rFonts w:eastAsia="Calibri" w:cs="Tahoma"/>
          <w:szCs w:val="18"/>
          <w:lang w:val="de-DE"/>
        </w:rPr>
        <w:t xml:space="preserve">. </w:t>
      </w:r>
    </w:p>
    <w:p w:rsidR="00E73313" w:rsidRPr="00F25255" w:rsidRDefault="00E73313" w:rsidP="00F25255">
      <w:pPr>
        <w:tabs>
          <w:tab w:val="left" w:pos="720"/>
        </w:tabs>
        <w:spacing w:line="168" w:lineRule="auto"/>
        <w:ind w:left="720"/>
        <w:contextualSpacing/>
        <w:rPr>
          <w:sz w:val="16"/>
          <w:szCs w:val="16"/>
          <w:lang w:val="de-DE"/>
        </w:rPr>
      </w:pPr>
    </w:p>
    <w:p w:rsidR="00E73313" w:rsidRPr="003002D3" w:rsidRDefault="00E73313" w:rsidP="00E73313">
      <w:pPr>
        <w:tabs>
          <w:tab w:val="left" w:pos="720"/>
        </w:tabs>
        <w:spacing w:after="60"/>
        <w:ind w:left="720"/>
        <w:rPr>
          <w:lang w:val="de-DE"/>
        </w:rPr>
      </w:pPr>
      <w:r w:rsidRPr="003002D3">
        <w:rPr>
          <w:rFonts w:eastAsia="Calibri" w:cs="Tahoma"/>
          <w:b/>
          <w:szCs w:val="18"/>
          <w:lang w:val="de-DE"/>
        </w:rPr>
        <w:t>Für Kunden mit Software Assurance, die am oder nach dem 1</w:t>
      </w:r>
      <w:r w:rsidR="006257A7">
        <w:rPr>
          <w:rFonts w:eastAsia="Calibri" w:cs="Tahoma"/>
          <w:b/>
          <w:szCs w:val="18"/>
          <w:lang w:val="de-DE"/>
        </w:rPr>
        <w:t xml:space="preserve">. </w:t>
      </w:r>
      <w:r w:rsidRPr="003002D3">
        <w:rPr>
          <w:rFonts w:eastAsia="Calibri" w:cs="Tahoma"/>
          <w:b/>
          <w:szCs w:val="18"/>
          <w:lang w:val="de-DE"/>
        </w:rPr>
        <w:t>April 2015 abläuft, die sich gegen eine Verlängerung entscheiden</w:t>
      </w:r>
    </w:p>
    <w:p w:rsidR="00E73313" w:rsidRPr="003002D3" w:rsidRDefault="00E73313" w:rsidP="00BA264B">
      <w:pPr>
        <w:tabs>
          <w:tab w:val="left" w:pos="720"/>
        </w:tabs>
        <w:ind w:left="720"/>
        <w:contextualSpacing/>
        <w:rPr>
          <w:lang w:val="de-DE"/>
        </w:rPr>
      </w:pPr>
      <w:r w:rsidRPr="003002D3">
        <w:rPr>
          <w:rFonts w:eastAsia="Calibri" w:cs="Tahoma"/>
          <w:color w:val="000000"/>
          <w:szCs w:val="18"/>
          <w:lang w:val="de-DE"/>
        </w:rPr>
        <w:t xml:space="preserve">Konzern-Abonnement- </w:t>
      </w:r>
      <w:r w:rsidRPr="003002D3">
        <w:rPr>
          <w:rFonts w:cs="Tahoma"/>
          <w:bCs/>
          <w:color w:val="000000"/>
          <w:szCs w:val="18"/>
          <w:lang w:val="de-DE"/>
        </w:rPr>
        <w:t>und Open Value Subscription-</w:t>
      </w:r>
      <w:r w:rsidRPr="003002D3">
        <w:rPr>
          <w:rFonts w:eastAsia="Calibri" w:cs="Tahoma"/>
          <w:color w:val="000000"/>
          <w:szCs w:val="18"/>
          <w:lang w:val="de-DE"/>
        </w:rPr>
        <w:t>Kunden mit Software Assurance, die am oder nach dem</w:t>
      </w:r>
      <w:r w:rsidR="00BA264B">
        <w:rPr>
          <w:rFonts w:eastAsia="Calibri" w:cs="Tahoma"/>
          <w:color w:val="000000"/>
          <w:szCs w:val="18"/>
          <w:lang w:val="de-DE"/>
        </w:rPr>
        <w:t> </w:t>
      </w:r>
      <w:r w:rsidRPr="003002D3">
        <w:rPr>
          <w:rFonts w:eastAsia="Calibri" w:cs="Tahoma"/>
          <w:color w:val="000000"/>
          <w:szCs w:val="18"/>
          <w:lang w:val="de-DE"/>
        </w:rPr>
        <w:t>1</w:t>
      </w:r>
      <w:r w:rsidR="006257A7">
        <w:rPr>
          <w:rFonts w:eastAsia="Calibri" w:cs="Tahoma"/>
          <w:color w:val="000000"/>
          <w:szCs w:val="18"/>
          <w:lang w:val="de-DE"/>
        </w:rPr>
        <w:t xml:space="preserve">. </w:t>
      </w:r>
      <w:r w:rsidRPr="003002D3">
        <w:rPr>
          <w:rFonts w:eastAsia="Calibri" w:cs="Tahoma"/>
          <w:color w:val="000000"/>
          <w:szCs w:val="18"/>
          <w:lang w:val="de-DE"/>
        </w:rPr>
        <w:t xml:space="preserve">April 2015 abläuft, die sich für ein Buy-Out von Prozessorlizenzen entscheiden, sowie sonstige Kunden, die zeitlich unbeschränkte Lizenzen unter ihrem Vertrag erwerben, haben folgende Optionen: </w:t>
      </w:r>
    </w:p>
    <w:p w:rsidR="00E73313" w:rsidRPr="00F25255" w:rsidRDefault="00E73313" w:rsidP="00F25255">
      <w:pPr>
        <w:tabs>
          <w:tab w:val="left" w:pos="720"/>
        </w:tabs>
        <w:spacing w:line="168" w:lineRule="auto"/>
        <w:ind w:left="720"/>
        <w:contextualSpacing/>
        <w:rPr>
          <w:sz w:val="16"/>
          <w:szCs w:val="16"/>
          <w:lang w:val="de-DE"/>
        </w:rPr>
      </w:pPr>
    </w:p>
    <w:p w:rsidR="00E73313" w:rsidRPr="00DD788F" w:rsidRDefault="00E73313" w:rsidP="00F25255">
      <w:pPr>
        <w:numPr>
          <w:ilvl w:val="2"/>
          <w:numId w:val="50"/>
        </w:numPr>
        <w:tabs>
          <w:tab w:val="left" w:pos="1440"/>
        </w:tabs>
        <w:spacing w:after="40" w:line="235" w:lineRule="auto"/>
        <w:ind w:left="1440"/>
        <w:rPr>
          <w:lang w:val="de-DE"/>
        </w:rPr>
      </w:pPr>
      <w:r w:rsidRPr="003002D3">
        <w:rPr>
          <w:rFonts w:eastAsia="Calibri" w:cs="Tahoma"/>
          <w:szCs w:val="18"/>
          <w:lang w:val="de-DE"/>
        </w:rPr>
        <w:t>Wie im ersten Absatz dieses Produkthinweises dargelegt, sind vor dem 1</w:t>
      </w:r>
      <w:r w:rsidR="006257A7">
        <w:rPr>
          <w:rFonts w:eastAsia="Calibri" w:cs="Tahoma"/>
          <w:szCs w:val="18"/>
          <w:lang w:val="de-DE"/>
        </w:rPr>
        <w:t xml:space="preserve">. </w:t>
      </w:r>
      <w:r w:rsidRPr="003002D3">
        <w:rPr>
          <w:rFonts w:eastAsia="Calibri" w:cs="Tahoma"/>
          <w:szCs w:val="18"/>
          <w:lang w:val="de-DE"/>
        </w:rPr>
        <w:t>April 2015 erworbene Lizenzen qualifizierende Lizenzen, und Kunden sind berechtigt, SQL Server 2012 in Übereinstimmung mit den Bestimmungen im Abschnitt oben mit der Überschrift „Für Kunden mit</w:t>
      </w:r>
      <w:r w:rsidR="00BA264B">
        <w:rPr>
          <w:rFonts w:eastAsia="Calibri" w:cs="Tahoma"/>
          <w:szCs w:val="18"/>
          <w:lang w:val="de-DE"/>
        </w:rPr>
        <w:t> </w:t>
      </w:r>
      <w:r w:rsidRPr="003002D3">
        <w:rPr>
          <w:rFonts w:eastAsia="Calibri" w:cs="Tahoma"/>
          <w:szCs w:val="18"/>
          <w:lang w:val="de-DE"/>
        </w:rPr>
        <w:t>Software Assurance, die vor dem 1</w:t>
      </w:r>
      <w:r w:rsidR="006257A7">
        <w:rPr>
          <w:rFonts w:eastAsia="Calibri" w:cs="Tahoma"/>
          <w:szCs w:val="18"/>
          <w:lang w:val="de-DE"/>
        </w:rPr>
        <w:t xml:space="preserve">. </w:t>
      </w:r>
      <w:r w:rsidRPr="003002D3">
        <w:rPr>
          <w:rFonts w:eastAsia="Calibri" w:cs="Tahoma"/>
          <w:szCs w:val="18"/>
          <w:lang w:val="de-DE"/>
        </w:rPr>
        <w:t xml:space="preserve">April 2015 abläuft, die sich gegen eine Verlängerung entscheiden“ weiterhin zu verwenden, und </w:t>
      </w:r>
    </w:p>
    <w:p w:rsidR="00DD788F" w:rsidRPr="003002D3" w:rsidRDefault="00DD788F" w:rsidP="00DD788F">
      <w:pPr>
        <w:tabs>
          <w:tab w:val="left" w:pos="1440"/>
        </w:tabs>
        <w:spacing w:after="40" w:line="235" w:lineRule="auto"/>
        <w:rPr>
          <w:lang w:val="de-DE"/>
        </w:rPr>
      </w:pPr>
    </w:p>
    <w:p w:rsidR="00E73313" w:rsidRPr="00DD788F" w:rsidRDefault="00E328C3" w:rsidP="00F25255">
      <w:pPr>
        <w:numPr>
          <w:ilvl w:val="2"/>
          <w:numId w:val="50"/>
        </w:numPr>
        <w:tabs>
          <w:tab w:val="left" w:pos="1440"/>
        </w:tabs>
        <w:spacing w:after="40" w:line="235" w:lineRule="auto"/>
        <w:ind w:left="1440"/>
        <w:rPr>
          <w:lang w:val="de-DE"/>
        </w:rPr>
      </w:pPr>
      <w:r>
        <w:rPr>
          <w:rFonts w:eastAsia="Calibri" w:cs="Tahoma"/>
          <w:szCs w:val="18"/>
          <w:lang w:val="de-DE"/>
        </w:rPr>
        <w:t>F</w:t>
      </w:r>
      <w:r w:rsidR="00E73313" w:rsidRPr="003002D3">
        <w:rPr>
          <w:rFonts w:eastAsia="Calibri" w:cs="Tahoma"/>
          <w:szCs w:val="18"/>
          <w:lang w:val="de-DE"/>
        </w:rPr>
        <w:t>ür Lizenzen, die nach dem 1</w:t>
      </w:r>
      <w:r w:rsidR="006257A7">
        <w:rPr>
          <w:rFonts w:eastAsia="Calibri" w:cs="Tahoma"/>
          <w:szCs w:val="18"/>
          <w:lang w:val="de-DE"/>
        </w:rPr>
        <w:t xml:space="preserve">. </w:t>
      </w:r>
      <w:r w:rsidR="00E73313" w:rsidRPr="003002D3">
        <w:rPr>
          <w:rFonts w:eastAsia="Calibri" w:cs="Tahoma"/>
          <w:szCs w:val="18"/>
          <w:lang w:val="de-DE"/>
        </w:rPr>
        <w:t>April 2015 erworben wurden, verfügt die Prozessorlizenz von Kunden über eine Core-Äquivalenz von acht Core-Lizenzen für SQL Server 2012 Enterprise</w:t>
      </w:r>
      <w:r w:rsidR="006257A7">
        <w:rPr>
          <w:rFonts w:eastAsia="Calibri" w:cs="Tahoma"/>
          <w:szCs w:val="18"/>
          <w:lang w:val="de-DE"/>
        </w:rPr>
        <w:t xml:space="preserve">. </w:t>
      </w:r>
      <w:r w:rsidR="00E73313" w:rsidRPr="003002D3">
        <w:rPr>
          <w:rFonts w:eastAsia="Calibri" w:cs="Tahoma"/>
          <w:szCs w:val="18"/>
          <w:lang w:val="de-DE"/>
        </w:rPr>
        <w:t>Für die</w:t>
      </w:r>
      <w:r w:rsidR="00F25255">
        <w:rPr>
          <w:rFonts w:eastAsia="Calibri" w:cs="Tahoma"/>
          <w:szCs w:val="18"/>
          <w:lang w:val="de-DE"/>
        </w:rPr>
        <w:t> </w:t>
      </w:r>
      <w:r w:rsidR="00E73313" w:rsidRPr="003002D3">
        <w:rPr>
          <w:rFonts w:eastAsia="Calibri" w:cs="Tahoma"/>
          <w:szCs w:val="18"/>
          <w:lang w:val="de-DE"/>
        </w:rPr>
        <w:t>kontinuierliche Verwendung von SQL Server 2012 auf Prozessoren, die mehr als acht Core-Lizenzen pro Prozessor erfordern, muss der Kunde die zusätzlichen Core-Lizenzen erwerben</w:t>
      </w:r>
      <w:r w:rsidR="006257A7">
        <w:rPr>
          <w:rFonts w:eastAsia="Calibri" w:cs="Tahoma"/>
          <w:szCs w:val="18"/>
          <w:lang w:val="de-DE"/>
        </w:rPr>
        <w:t xml:space="preserve">. </w:t>
      </w:r>
    </w:p>
    <w:p w:rsidR="00DD788F" w:rsidRPr="003002D3" w:rsidRDefault="00DD788F" w:rsidP="00DD788F">
      <w:pPr>
        <w:tabs>
          <w:tab w:val="left" w:pos="1440"/>
        </w:tabs>
        <w:spacing w:after="40" w:line="235" w:lineRule="auto"/>
        <w:rPr>
          <w:lang w:val="de-DE"/>
        </w:rPr>
      </w:pPr>
    </w:p>
    <w:p w:rsidR="00E73313" w:rsidRPr="003002D3" w:rsidRDefault="00E73313" w:rsidP="00E328C3">
      <w:pPr>
        <w:tabs>
          <w:tab w:val="left" w:pos="720"/>
        </w:tabs>
        <w:spacing w:after="40"/>
        <w:ind w:left="720"/>
        <w:rPr>
          <w:lang w:val="de-DE"/>
        </w:rPr>
      </w:pPr>
      <w:r w:rsidRPr="003002D3">
        <w:rPr>
          <w:rFonts w:eastAsia="Calibri" w:cs="Tahoma"/>
          <w:b/>
          <w:szCs w:val="18"/>
          <w:lang w:val="de-DE"/>
        </w:rPr>
        <w:t>Für Kunden in der Volksrepublik China, die dort Prozessorlizenzen und Software Assurance für SQL Server 2008 R2 erwerben</w:t>
      </w:r>
    </w:p>
    <w:p w:rsidR="00E73313" w:rsidRPr="003002D3" w:rsidRDefault="00E73313" w:rsidP="00BA264B">
      <w:pPr>
        <w:tabs>
          <w:tab w:val="left" w:pos="720"/>
        </w:tabs>
        <w:ind w:left="720"/>
        <w:contextualSpacing/>
        <w:rPr>
          <w:lang w:val="de-DE"/>
        </w:rPr>
      </w:pPr>
      <w:r w:rsidRPr="003002D3">
        <w:rPr>
          <w:lang w:val="de-DE"/>
        </w:rPr>
        <w:t>Die Verweise auf den 1</w:t>
      </w:r>
      <w:r w:rsidR="006257A7">
        <w:rPr>
          <w:lang w:val="de-DE"/>
        </w:rPr>
        <w:t xml:space="preserve">. </w:t>
      </w:r>
      <w:r w:rsidRPr="003002D3">
        <w:rPr>
          <w:lang w:val="de-DE"/>
        </w:rPr>
        <w:t>April 2012 und den 1</w:t>
      </w:r>
      <w:r w:rsidR="006257A7">
        <w:rPr>
          <w:lang w:val="de-DE"/>
        </w:rPr>
        <w:t xml:space="preserve">. </w:t>
      </w:r>
      <w:r w:rsidRPr="003002D3">
        <w:rPr>
          <w:lang w:val="de-DE"/>
        </w:rPr>
        <w:t>April 2015 in dieser Produktliste sind nicht anwendbar</w:t>
      </w:r>
      <w:r w:rsidR="006257A7">
        <w:rPr>
          <w:lang w:val="de-DE"/>
        </w:rPr>
        <w:t xml:space="preserve">. </w:t>
      </w:r>
      <w:r w:rsidRPr="003002D3">
        <w:rPr>
          <w:lang w:val="de-DE"/>
        </w:rPr>
        <w:t>Die</w:t>
      </w:r>
      <w:r w:rsidR="00BA264B">
        <w:rPr>
          <w:lang w:val="de-DE"/>
        </w:rPr>
        <w:t> </w:t>
      </w:r>
      <w:r w:rsidRPr="003002D3">
        <w:rPr>
          <w:lang w:val="de-DE"/>
        </w:rPr>
        <w:t>anwendbaren Daten für diese Kunden sind der 1</w:t>
      </w:r>
      <w:r w:rsidR="006257A7">
        <w:rPr>
          <w:lang w:val="de-DE"/>
        </w:rPr>
        <w:t xml:space="preserve">. </w:t>
      </w:r>
      <w:r w:rsidRPr="003002D3">
        <w:rPr>
          <w:lang w:val="de-DE"/>
        </w:rPr>
        <w:t>Juli 2012 bzw</w:t>
      </w:r>
      <w:r w:rsidR="006257A7">
        <w:rPr>
          <w:lang w:val="de-DE"/>
        </w:rPr>
        <w:t xml:space="preserve">. </w:t>
      </w:r>
      <w:r w:rsidRPr="003002D3">
        <w:rPr>
          <w:lang w:val="de-DE"/>
        </w:rPr>
        <w:t>der 1</w:t>
      </w:r>
      <w:r w:rsidR="006257A7">
        <w:rPr>
          <w:lang w:val="de-DE"/>
        </w:rPr>
        <w:t xml:space="preserve">. </w:t>
      </w:r>
      <w:r w:rsidRPr="003002D3">
        <w:rPr>
          <w:lang w:val="de-DE"/>
        </w:rPr>
        <w:t>Juli 2015</w:t>
      </w:r>
      <w:r w:rsidR="006257A7">
        <w:rPr>
          <w:lang w:val="de-DE"/>
        </w:rPr>
        <w:t xml:space="preserve">. </w:t>
      </w:r>
    </w:p>
    <w:p w:rsidR="00E73313" w:rsidRPr="00E328C3" w:rsidRDefault="00E73313" w:rsidP="00E328C3">
      <w:pPr>
        <w:spacing w:line="180" w:lineRule="auto"/>
        <w:rPr>
          <w:szCs w:val="18"/>
          <w:lang w:val="de-DE"/>
        </w:rPr>
      </w:pPr>
    </w:p>
    <w:p w:rsidR="00E73313" w:rsidRPr="00E328C3" w:rsidRDefault="00E73313" w:rsidP="00E328C3">
      <w:pPr>
        <w:spacing w:line="180" w:lineRule="auto"/>
        <w:ind w:left="900"/>
        <w:rPr>
          <w:szCs w:val="18"/>
          <w:lang w:val="de-DE"/>
        </w:rPr>
      </w:pPr>
    </w:p>
    <w:p w:rsidR="00E73313" w:rsidRPr="003002D3" w:rsidRDefault="00E73313" w:rsidP="00E73313">
      <w:pPr>
        <w:pStyle w:val="Heading3"/>
        <w:rPr>
          <w:lang w:val="de-DE"/>
        </w:rPr>
      </w:pPr>
      <w:bookmarkStart w:id="1456" w:name="_76_74_SQL"/>
      <w:bookmarkStart w:id="1457" w:name="_Toc336338341"/>
      <w:bookmarkStart w:id="1458" w:name="_Toc363999078"/>
      <w:bookmarkStart w:id="1459" w:name="Srv_83SQL2008R2Smallbiz"/>
      <w:bookmarkEnd w:id="1456"/>
      <w:r w:rsidRPr="003002D3">
        <w:rPr>
          <w:rFonts w:ascii="Tahoma" w:hAnsi="Tahoma" w:cs="Tahoma"/>
          <w:caps/>
          <w:color w:val="FE6700"/>
          <w:sz w:val="22"/>
          <w:vertAlign w:val="superscript"/>
          <w:lang w:val="de-DE"/>
        </w:rPr>
        <w:t>81</w:t>
      </w:r>
      <w:r w:rsidRPr="00BA264B">
        <w:rPr>
          <w:rFonts w:ascii="Tahoma" w:hAnsi="Tahoma" w:cs="Tahoma"/>
          <w:caps/>
          <w:color w:val="FE6700"/>
          <w:sz w:val="22"/>
          <w:lang w:val="de-DE"/>
        </w:rPr>
        <w:t xml:space="preserve"> </w:t>
      </w:r>
      <w:r w:rsidRPr="003002D3">
        <w:rPr>
          <w:rFonts w:ascii="Tahoma" w:hAnsi="Tahoma" w:cs="Tahoma"/>
          <w:color w:val="FE6700"/>
          <w:sz w:val="22"/>
          <w:lang w:val="de-DE"/>
        </w:rPr>
        <w:t>SQL Server</w:t>
      </w:r>
      <w:r w:rsidR="0069040B" w:rsidRPr="0069040B">
        <w:rPr>
          <w:rFonts w:ascii="Tahoma" w:hAnsi="Tahoma" w:cs="Tahoma"/>
          <w:color w:val="FE6700"/>
          <w:sz w:val="22"/>
          <w:vertAlign w:val="superscript"/>
          <w:lang w:val="de-DE"/>
        </w:rPr>
        <w:t>®</w:t>
      </w:r>
      <w:r w:rsidRPr="003002D3">
        <w:rPr>
          <w:rFonts w:ascii="Tahoma" w:hAnsi="Tahoma" w:cs="Tahoma"/>
          <w:color w:val="FE6700"/>
          <w:sz w:val="22"/>
          <w:lang w:val="de-DE"/>
        </w:rPr>
        <w:t xml:space="preserve"> 2008 R2 Small Business</w:t>
      </w:r>
      <w:bookmarkEnd w:id="1457"/>
      <w:bookmarkEnd w:id="1458"/>
    </w:p>
    <w:bookmarkEnd w:id="1459"/>
    <w:p w:rsidR="00E73313" w:rsidRPr="00E328C3" w:rsidRDefault="00E73313" w:rsidP="00E328C3">
      <w:pPr>
        <w:spacing w:line="180" w:lineRule="auto"/>
        <w:rPr>
          <w:szCs w:val="18"/>
          <w:lang w:val="de-DE"/>
        </w:rPr>
      </w:pPr>
    </w:p>
    <w:p w:rsidR="00E73313" w:rsidRPr="003002D3" w:rsidRDefault="00E73313" w:rsidP="00E328C3">
      <w:pPr>
        <w:spacing w:after="40"/>
        <w:ind w:left="720"/>
        <w:rPr>
          <w:lang w:val="de-DE"/>
        </w:rPr>
      </w:pPr>
      <w:r w:rsidRPr="003002D3">
        <w:rPr>
          <w:rFonts w:eastAsia="Calibri" w:cs="Tahoma"/>
          <w:b/>
          <w:szCs w:val="18"/>
          <w:lang w:val="de-DE"/>
        </w:rPr>
        <w:t>Lizenzgewährungen im Zusammenhang mit dem Ende der Lebensdauer von SQL Server Small Business Edition</w:t>
      </w:r>
    </w:p>
    <w:p w:rsidR="00E73313" w:rsidRPr="003002D3" w:rsidRDefault="00E73313" w:rsidP="00E328C3">
      <w:pPr>
        <w:spacing w:after="200"/>
        <w:ind w:left="720"/>
        <w:rPr>
          <w:lang w:val="de-DE"/>
        </w:rPr>
      </w:pPr>
      <w:r w:rsidRPr="003002D3">
        <w:rPr>
          <w:rFonts w:eastAsia="Calibri" w:cs="Tahoma"/>
          <w:szCs w:val="18"/>
          <w:lang w:val="de-DE"/>
        </w:rPr>
        <w:t>SQL Server 2008 R2 für Small Business ist die letzte Version von SQL Server für Small Business Edition</w:t>
      </w:r>
      <w:r w:rsidR="006257A7">
        <w:rPr>
          <w:rFonts w:eastAsia="Calibri" w:cs="Tahoma"/>
          <w:szCs w:val="18"/>
          <w:lang w:val="de-DE"/>
        </w:rPr>
        <w:t xml:space="preserve">. </w:t>
      </w:r>
      <w:r w:rsidRPr="003002D3">
        <w:rPr>
          <w:rFonts w:eastAsia="Calibri" w:cs="Tahoma"/>
          <w:szCs w:val="18"/>
          <w:lang w:val="de-DE"/>
        </w:rPr>
        <w:t>Als</w:t>
      </w:r>
      <w:r w:rsidR="00E328C3">
        <w:rPr>
          <w:rFonts w:eastAsia="Calibri" w:cs="Tahoma"/>
          <w:szCs w:val="18"/>
          <w:lang w:val="de-DE"/>
        </w:rPr>
        <w:t> </w:t>
      </w:r>
      <w:r w:rsidRPr="003002D3">
        <w:rPr>
          <w:rFonts w:eastAsia="Calibri" w:cs="Tahoma"/>
          <w:szCs w:val="18"/>
          <w:lang w:val="de-DE"/>
        </w:rPr>
        <w:t>Ausnahme sind Volumenlizenzkunden, die am 1</w:t>
      </w:r>
      <w:r w:rsidR="006257A7">
        <w:rPr>
          <w:rFonts w:eastAsia="Calibri" w:cs="Tahoma"/>
          <w:szCs w:val="18"/>
          <w:lang w:val="de-DE"/>
        </w:rPr>
        <w:t xml:space="preserve">. </w:t>
      </w:r>
      <w:r w:rsidRPr="003002D3">
        <w:rPr>
          <w:rFonts w:eastAsia="Calibri" w:cs="Tahoma"/>
          <w:szCs w:val="18"/>
          <w:lang w:val="de-DE"/>
        </w:rPr>
        <w:t>April 2012 über aktive Software Assurance für SQL</w:t>
      </w:r>
      <w:r w:rsidR="00E328C3">
        <w:rPr>
          <w:rFonts w:eastAsia="Calibri" w:cs="Tahoma"/>
          <w:szCs w:val="18"/>
          <w:lang w:val="de-DE"/>
        </w:rPr>
        <w:t> </w:t>
      </w:r>
      <w:r w:rsidRPr="003002D3">
        <w:rPr>
          <w:rFonts w:eastAsia="Calibri" w:cs="Tahoma"/>
          <w:szCs w:val="18"/>
          <w:lang w:val="de-DE"/>
        </w:rPr>
        <w:t>Server 2008 R2 für Small Business-Lizenzen verfügen, berechtigt, auf SQL Server 2012 Standard Server</w:t>
      </w:r>
      <w:r w:rsidR="00E328C3">
        <w:rPr>
          <w:rFonts w:eastAsia="Calibri" w:cs="Tahoma"/>
          <w:szCs w:val="18"/>
          <w:lang w:val="de-DE"/>
        </w:rPr>
        <w:t> </w:t>
      </w:r>
      <w:r w:rsidRPr="003002D3">
        <w:rPr>
          <w:rFonts w:eastAsia="Calibri" w:cs="Tahoma"/>
          <w:szCs w:val="18"/>
          <w:lang w:val="de-DE"/>
        </w:rPr>
        <w:t>(oder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w:t>
      </w:r>
      <w:r w:rsidR="006257A7">
        <w:rPr>
          <w:rFonts w:eastAsia="Calibri" w:cs="Tahoma"/>
          <w:szCs w:val="18"/>
          <w:lang w:val="de-DE"/>
        </w:rPr>
        <w:t xml:space="preserve">. </w:t>
      </w:r>
      <w:r w:rsidRPr="003002D3">
        <w:rPr>
          <w:rFonts w:eastAsia="Calibri" w:cs="Tahoma"/>
          <w:szCs w:val="18"/>
          <w:lang w:val="de-DE"/>
        </w:rPr>
        <w:t>Außerdem sind Volumenlizenzkunden, die am 1</w:t>
      </w:r>
      <w:r w:rsidR="006257A7">
        <w:rPr>
          <w:rFonts w:eastAsia="Calibri" w:cs="Tahoma"/>
          <w:szCs w:val="18"/>
          <w:lang w:val="de-DE"/>
        </w:rPr>
        <w:t xml:space="preserve">. </w:t>
      </w:r>
      <w:r w:rsidRPr="003002D3">
        <w:rPr>
          <w:rFonts w:eastAsia="Calibri" w:cs="Tahoma"/>
          <w:szCs w:val="18"/>
          <w:lang w:val="de-DE"/>
        </w:rPr>
        <w:t>April 2012 über aktive Software Assurance für CALs</w:t>
      </w:r>
      <w:r w:rsidR="00E328C3">
        <w:rPr>
          <w:rFonts w:eastAsia="Calibri" w:cs="Tahoma"/>
          <w:szCs w:val="18"/>
          <w:lang w:val="de-DE"/>
        </w:rPr>
        <w:t> </w:t>
      </w:r>
      <w:r w:rsidRPr="003002D3">
        <w:rPr>
          <w:rFonts w:eastAsia="Calibri" w:cs="Tahoma"/>
          <w:szCs w:val="18"/>
          <w:lang w:val="de-DE"/>
        </w:rPr>
        <w:t>für SQL</w:t>
      </w:r>
      <w:r w:rsidR="00E328C3">
        <w:rPr>
          <w:rFonts w:eastAsia="Calibri" w:cs="Tahoma"/>
          <w:szCs w:val="18"/>
          <w:lang w:val="de-DE"/>
        </w:rPr>
        <w:t> </w:t>
      </w:r>
      <w:r w:rsidRPr="003002D3">
        <w:rPr>
          <w:rFonts w:eastAsia="Calibri" w:cs="Tahoma"/>
          <w:szCs w:val="18"/>
          <w:lang w:val="de-DE"/>
        </w:rPr>
        <w:t>Server 2008 R2 für Small Business verfügen, berechtigt, auf CALs für SQL Server 2012 (oder</w:t>
      </w:r>
      <w:r w:rsidR="00E328C3">
        <w:rPr>
          <w:rFonts w:eastAsia="Calibri" w:cs="Tahoma"/>
          <w:szCs w:val="18"/>
          <w:lang w:val="de-DE"/>
        </w:rPr>
        <w:t> </w:t>
      </w:r>
      <w:r w:rsidRPr="003002D3">
        <w:rPr>
          <w:rFonts w:eastAsia="Calibri" w:cs="Tahoma"/>
          <w:szCs w:val="18"/>
          <w:lang w:val="de-DE"/>
        </w:rPr>
        <w:t>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w:t>
      </w:r>
      <w:r w:rsidR="006257A7">
        <w:rPr>
          <w:rFonts w:eastAsia="Calibri" w:cs="Tahoma"/>
          <w:szCs w:val="18"/>
          <w:lang w:val="de-DE"/>
        </w:rPr>
        <w:t xml:space="preserve">. </w:t>
      </w:r>
      <w:r w:rsidRPr="003002D3">
        <w:rPr>
          <w:rFonts w:eastAsia="Calibri" w:cs="Tahoma"/>
          <w:szCs w:val="18"/>
          <w:lang w:val="de-DE"/>
        </w:rPr>
        <w:t>Die</w:t>
      </w:r>
      <w:r w:rsidR="00E328C3">
        <w:rPr>
          <w:rFonts w:eastAsia="Calibri" w:cs="Tahoma"/>
          <w:szCs w:val="18"/>
          <w:lang w:val="de-DE"/>
        </w:rPr>
        <w:t> </w:t>
      </w:r>
      <w:r w:rsidRPr="003002D3">
        <w:rPr>
          <w:rFonts w:eastAsia="Calibri" w:cs="Tahoma"/>
          <w:szCs w:val="18"/>
          <w:lang w:val="de-DE"/>
        </w:rPr>
        <w:t>SQL</w:t>
      </w:r>
      <w:r w:rsidR="00E328C3">
        <w:rPr>
          <w:rFonts w:eastAsia="Calibri" w:cs="Tahoma"/>
          <w:szCs w:val="18"/>
          <w:lang w:val="de-DE"/>
        </w:rPr>
        <w:t> </w:t>
      </w:r>
      <w:r w:rsidRPr="003002D3">
        <w:rPr>
          <w:rFonts w:eastAsia="Calibri" w:cs="Tahoma"/>
          <w:szCs w:val="18"/>
          <w:lang w:val="de-DE"/>
        </w:rPr>
        <w:t>Server Small Business-Lizenzen des Kunden sind bei Erwerb von Software Assurance für SQL</w:t>
      </w:r>
      <w:r w:rsidR="00E328C3">
        <w:rPr>
          <w:rFonts w:eastAsia="Calibri" w:cs="Tahoma"/>
          <w:szCs w:val="18"/>
          <w:lang w:val="de-DE"/>
        </w:rPr>
        <w:t> </w:t>
      </w:r>
      <w:r w:rsidRPr="003002D3">
        <w:rPr>
          <w:rFonts w:eastAsia="Calibri" w:cs="Tahoma"/>
          <w:szCs w:val="18"/>
          <w:lang w:val="de-DE"/>
        </w:rPr>
        <w:t>Server</w:t>
      </w:r>
      <w:r w:rsidR="00E328C3">
        <w:rPr>
          <w:rFonts w:eastAsia="Calibri" w:cs="Tahoma"/>
          <w:szCs w:val="18"/>
          <w:lang w:val="de-DE"/>
        </w:rPr>
        <w:t> </w:t>
      </w:r>
      <w:r w:rsidRPr="003002D3">
        <w:rPr>
          <w:rFonts w:eastAsia="Calibri" w:cs="Tahoma"/>
          <w:szCs w:val="18"/>
          <w:lang w:val="de-DE"/>
        </w:rPr>
        <w:t>Standard unter diesem Angebot nicht mehr gültig</w:t>
      </w:r>
      <w:r w:rsidR="006257A7">
        <w:rPr>
          <w:rFonts w:eastAsia="Calibri" w:cs="Tahoma"/>
          <w:szCs w:val="18"/>
          <w:lang w:val="de-DE"/>
        </w:rPr>
        <w:t xml:space="preserve">. </w:t>
      </w:r>
    </w:p>
    <w:p w:rsidR="00E73313" w:rsidRPr="003002D3" w:rsidRDefault="00E73313" w:rsidP="00E328C3">
      <w:pPr>
        <w:spacing w:after="40"/>
        <w:ind w:left="720"/>
        <w:rPr>
          <w:lang w:val="de-DE"/>
        </w:rPr>
      </w:pPr>
      <w:r w:rsidRPr="003002D3">
        <w:rPr>
          <w:b/>
          <w:lang w:val="de-DE"/>
        </w:rPr>
        <w:t>Für Kunden in der Volksrepublik</w:t>
      </w:r>
      <w:r w:rsidRPr="003002D3">
        <w:rPr>
          <w:lang w:val="de-DE"/>
        </w:rPr>
        <w:t xml:space="preserve"> </w:t>
      </w:r>
      <w:r w:rsidRPr="003002D3">
        <w:rPr>
          <w:b/>
          <w:lang w:val="de-DE"/>
        </w:rPr>
        <w:t>China, die dort Lizenzen und Software Assurance für SQL Server 2008 R2 erwerben</w:t>
      </w:r>
    </w:p>
    <w:p w:rsidR="00E73313" w:rsidRPr="003002D3" w:rsidRDefault="00E73313" w:rsidP="00E328C3">
      <w:pPr>
        <w:ind w:left="720"/>
        <w:rPr>
          <w:lang w:val="de-DE"/>
        </w:rPr>
      </w:pPr>
      <w:r w:rsidRPr="003002D3">
        <w:rPr>
          <w:lang w:val="de-DE"/>
        </w:rPr>
        <w:t>Die Verweise auf den 1</w:t>
      </w:r>
      <w:r w:rsidR="006257A7">
        <w:rPr>
          <w:lang w:val="de-DE"/>
        </w:rPr>
        <w:t xml:space="preserve">. </w:t>
      </w:r>
      <w:r w:rsidRPr="003002D3">
        <w:rPr>
          <w:lang w:val="de-DE"/>
        </w:rPr>
        <w:t>April 2012 in dieser Produktliste sind nicht anwendbar</w:t>
      </w:r>
      <w:r w:rsidR="006257A7">
        <w:rPr>
          <w:lang w:val="de-DE"/>
        </w:rPr>
        <w:t xml:space="preserve">. </w:t>
      </w:r>
      <w:r w:rsidRPr="003002D3">
        <w:rPr>
          <w:lang w:val="de-DE"/>
        </w:rPr>
        <w:t>Das anwendbare Datum für</w:t>
      </w:r>
      <w:r w:rsidR="00E328C3">
        <w:rPr>
          <w:lang w:val="de-DE"/>
        </w:rPr>
        <w:t> </w:t>
      </w:r>
      <w:r w:rsidRPr="003002D3">
        <w:rPr>
          <w:lang w:val="de-DE"/>
        </w:rPr>
        <w:t>diese Kunden ist der 1</w:t>
      </w:r>
      <w:r w:rsidR="006257A7">
        <w:rPr>
          <w:lang w:val="de-DE"/>
        </w:rPr>
        <w:t xml:space="preserve">. </w:t>
      </w:r>
      <w:r w:rsidRPr="003002D3">
        <w:rPr>
          <w:lang w:val="de-DE"/>
        </w:rPr>
        <w:t>Juli 2012</w:t>
      </w:r>
      <w:r w:rsidR="006257A7">
        <w:rPr>
          <w:lang w:val="de-DE"/>
        </w:rPr>
        <w:t xml:space="preserve">. </w:t>
      </w:r>
    </w:p>
    <w:p w:rsidR="00E73313" w:rsidRPr="00E328C3" w:rsidRDefault="00E73313" w:rsidP="00E328C3">
      <w:pPr>
        <w:spacing w:line="180" w:lineRule="auto"/>
        <w:ind w:left="720"/>
        <w:rPr>
          <w:szCs w:val="18"/>
          <w:lang w:val="de-DE"/>
        </w:rPr>
      </w:pPr>
    </w:p>
    <w:p w:rsidR="00E73313" w:rsidRPr="00E328C3" w:rsidRDefault="00E73313" w:rsidP="00E328C3">
      <w:pPr>
        <w:spacing w:line="180" w:lineRule="auto"/>
        <w:rPr>
          <w:szCs w:val="18"/>
          <w:lang w:val="de-DE"/>
        </w:rPr>
      </w:pPr>
      <w:bookmarkStart w:id="1460" w:name="_Toc336338342"/>
      <w:bookmarkStart w:id="1461" w:name="Srv_84SQL2008R2Webproc"/>
    </w:p>
    <w:p w:rsidR="00E73313" w:rsidRPr="003002D3" w:rsidRDefault="00E73313" w:rsidP="00E73313">
      <w:pPr>
        <w:pStyle w:val="Heading3"/>
        <w:rPr>
          <w:lang w:val="de-DE"/>
        </w:rPr>
      </w:pPr>
      <w:bookmarkStart w:id="1462" w:name="_77_75_SQL"/>
      <w:bookmarkStart w:id="1463" w:name="_Toc363999079"/>
      <w:bookmarkEnd w:id="1462"/>
      <w:r w:rsidRPr="003002D3">
        <w:rPr>
          <w:rFonts w:ascii="Tahoma" w:hAnsi="Tahoma" w:cs="Tahoma"/>
          <w:caps/>
          <w:color w:val="F66400"/>
          <w:sz w:val="22"/>
          <w:vertAlign w:val="superscript"/>
          <w:lang w:val="de-DE"/>
        </w:rPr>
        <w:t>82</w:t>
      </w:r>
      <w:r w:rsidRPr="003002D3">
        <w:rPr>
          <w:rFonts w:ascii="Tahoma" w:hAnsi="Tahoma" w:cs="Tahoma"/>
          <w:color w:val="F66400"/>
          <w:sz w:val="22"/>
          <w:lang w:val="de-DE"/>
        </w:rPr>
        <w:t xml:space="preserve"> SQL Server</w:t>
      </w:r>
      <w:r w:rsidR="0069040B" w:rsidRPr="0069040B">
        <w:rPr>
          <w:rFonts w:ascii="Tahoma" w:hAnsi="Tahoma" w:cs="Tahoma"/>
          <w:color w:val="F66400"/>
          <w:sz w:val="22"/>
          <w:vertAlign w:val="superscript"/>
          <w:lang w:val="de-DE"/>
        </w:rPr>
        <w:t>®</w:t>
      </w:r>
      <w:r w:rsidRPr="003002D3">
        <w:rPr>
          <w:rFonts w:ascii="Tahoma" w:hAnsi="Tahoma" w:cs="Tahoma"/>
          <w:color w:val="F66400"/>
          <w:sz w:val="22"/>
          <w:lang w:val="de-DE"/>
        </w:rPr>
        <w:t xml:space="preserve"> 2008 R2 Web-Prozessor</w:t>
      </w:r>
      <w:bookmarkEnd w:id="1460"/>
      <w:bookmarkEnd w:id="1463"/>
    </w:p>
    <w:bookmarkEnd w:id="1461"/>
    <w:p w:rsidR="00E73313" w:rsidRPr="00E328C3" w:rsidRDefault="00E73313" w:rsidP="00E328C3">
      <w:pPr>
        <w:spacing w:line="180" w:lineRule="auto"/>
        <w:rPr>
          <w:szCs w:val="18"/>
          <w:lang w:val="de-DE"/>
        </w:rPr>
      </w:pPr>
    </w:p>
    <w:p w:rsidR="00E73313" w:rsidRPr="003002D3" w:rsidRDefault="00E73313" w:rsidP="00E73313">
      <w:pPr>
        <w:spacing w:after="60"/>
        <w:ind w:left="720"/>
        <w:rPr>
          <w:lang w:val="de-DE"/>
        </w:rPr>
      </w:pPr>
      <w:r w:rsidRPr="003002D3">
        <w:rPr>
          <w:rFonts w:eastAsia="Calibri" w:cs="Tahoma"/>
          <w:b/>
          <w:szCs w:val="18"/>
          <w:lang w:val="de-DE"/>
        </w:rPr>
        <w:t>Lizenzgewährungen im Zusammenhang mit der Änderung des Lizenzmodells</w:t>
      </w:r>
    </w:p>
    <w:p w:rsidR="00E73313" w:rsidRPr="003002D3" w:rsidRDefault="00E73313" w:rsidP="00E73313">
      <w:pPr>
        <w:ind w:left="720"/>
        <w:rPr>
          <w:lang w:val="de-DE"/>
        </w:rPr>
      </w:pPr>
      <w:r w:rsidRPr="003002D3">
        <w:rPr>
          <w:rFonts w:eastAsia="Calibri" w:cs="Tahoma"/>
          <w:szCs w:val="18"/>
          <w:lang w:val="de-DE"/>
        </w:rPr>
        <w:t>SQL Server 2008 R2 ist die letzte Version von SQL Server, die unter dem Pro-Prozessor-Lizenzmodell lizenziert wird, und die letzte Version von SQL Server Web Edition unter Volumenlizenz-Endbenutzerprogrammen</w:t>
      </w:r>
      <w:r w:rsidR="006257A7">
        <w:rPr>
          <w:rFonts w:eastAsia="Calibri" w:cs="Tahoma"/>
          <w:szCs w:val="18"/>
          <w:lang w:val="de-DE"/>
        </w:rPr>
        <w:t xml:space="preserve">. </w:t>
      </w:r>
      <w:r w:rsidRPr="003002D3">
        <w:rPr>
          <w:rFonts w:eastAsia="Calibri" w:cs="Tahoma"/>
          <w:szCs w:val="18"/>
          <w:lang w:val="de-DE"/>
        </w:rPr>
        <w:t>Als Ausnahme erhalten Volumenlizenzkunden, die am 1</w:t>
      </w:r>
      <w:r w:rsidR="006257A7">
        <w:rPr>
          <w:rFonts w:eastAsia="Calibri" w:cs="Tahoma"/>
          <w:szCs w:val="18"/>
          <w:lang w:val="de-DE"/>
        </w:rPr>
        <w:t xml:space="preserve">. </w:t>
      </w:r>
      <w:r w:rsidRPr="003002D3">
        <w:rPr>
          <w:rFonts w:eastAsia="Calibri" w:cs="Tahoma"/>
          <w:szCs w:val="18"/>
          <w:lang w:val="de-DE"/>
        </w:rPr>
        <w:t>April 2012 über aktive Software Assurance für SQL Server 2008 R2 Web-Prozessorlizenzen („qualifizierende Lizenzen“) verfügen, die folgenden Optionen</w:t>
      </w:r>
      <w:r w:rsidR="006257A7">
        <w:rPr>
          <w:rFonts w:eastAsia="Calibri" w:cs="Tahoma"/>
          <w:szCs w:val="18"/>
          <w:lang w:val="de-DE"/>
        </w:rPr>
        <w:t xml:space="preserve">. </w:t>
      </w:r>
      <w:r w:rsidRPr="003002D3">
        <w:rPr>
          <w:lang w:val="de-DE"/>
        </w:rPr>
        <w:t>SQL Server 2008 R2 Web-Prozessor</w:t>
      </w:r>
      <w:r w:rsidRPr="003002D3">
        <w:rPr>
          <w:rFonts w:cs="Tahoma"/>
          <w:bCs/>
          <w:color w:val="000000"/>
          <w:szCs w:val="18"/>
          <w:lang w:val="de-DE"/>
        </w:rPr>
        <w:t>lizenzen, die danach unter derselben Beitrittslaufzeit, jedoch vor dem 1</w:t>
      </w:r>
      <w:r w:rsidR="006257A7">
        <w:rPr>
          <w:rFonts w:cs="Tahoma"/>
          <w:bCs/>
          <w:color w:val="000000"/>
          <w:szCs w:val="18"/>
          <w:lang w:val="de-DE"/>
        </w:rPr>
        <w:t xml:space="preserve">. </w:t>
      </w:r>
      <w:r w:rsidRPr="003002D3">
        <w:rPr>
          <w:rFonts w:cs="Tahoma"/>
          <w:bCs/>
          <w:color w:val="000000"/>
          <w:szCs w:val="18"/>
          <w:lang w:val="de-DE"/>
        </w:rPr>
        <w:t>April 2015 im Rahmen eines Konzern-, Konzern-Abonnement-, Open Value Subscription-Prozesses oder des geplanten jährlichen True Up-Prozesses des EES-Kunden erworben werden, sind ebenfalls qualifizierende Lizenzen im Sinne dieser Optionen</w:t>
      </w:r>
      <w:r w:rsidR="006257A7">
        <w:rPr>
          <w:rFonts w:cs="Tahoma"/>
          <w:bCs/>
          <w:color w:val="000000"/>
          <w:szCs w:val="18"/>
          <w:lang w:val="de-DE"/>
        </w:rPr>
        <w:t xml:space="preserve">. </w:t>
      </w:r>
      <w:r w:rsidRPr="003002D3">
        <w:rPr>
          <w:rFonts w:cs="Tahoma"/>
          <w:bCs/>
          <w:color w:val="000000"/>
          <w:szCs w:val="18"/>
          <w:lang w:val="de-DE"/>
        </w:rPr>
        <w:t>Lizenzen, die nach dem 1</w:t>
      </w:r>
      <w:r w:rsidR="006257A7">
        <w:rPr>
          <w:rFonts w:cs="Tahoma"/>
          <w:bCs/>
          <w:color w:val="000000"/>
          <w:szCs w:val="18"/>
          <w:lang w:val="de-DE"/>
        </w:rPr>
        <w:t xml:space="preserve">. </w:t>
      </w:r>
      <w:r w:rsidRPr="003002D3">
        <w:rPr>
          <w:rFonts w:cs="Tahoma"/>
          <w:bCs/>
          <w:color w:val="000000"/>
          <w:szCs w:val="18"/>
          <w:lang w:val="de-DE"/>
        </w:rPr>
        <w:t>April 2015 oder unter einer nachfolgenden Beitrittslaufzeit, einem separaten Vertrag oder einem Beitritt erworben werden, dessen Wirksamkeitsdatum nach dem 1</w:t>
      </w:r>
      <w:r w:rsidR="006257A7">
        <w:rPr>
          <w:rFonts w:cs="Tahoma"/>
          <w:bCs/>
          <w:color w:val="000000"/>
          <w:szCs w:val="18"/>
          <w:lang w:val="de-DE"/>
        </w:rPr>
        <w:t xml:space="preserve">. </w:t>
      </w:r>
      <w:r w:rsidRPr="003002D3">
        <w:rPr>
          <w:rFonts w:cs="Tahoma"/>
          <w:bCs/>
          <w:color w:val="000000"/>
          <w:szCs w:val="18"/>
          <w:lang w:val="de-DE"/>
        </w:rPr>
        <w:t>April 2012 liegt, sind keine qualifizierenden Lizenzen</w:t>
      </w:r>
      <w:r w:rsidR="006257A7">
        <w:rPr>
          <w:rFonts w:cs="Tahoma"/>
          <w:bCs/>
          <w:color w:val="000000"/>
          <w:szCs w:val="18"/>
          <w:lang w:val="de-DE"/>
        </w:rPr>
        <w:t xml:space="preserve">. </w:t>
      </w:r>
    </w:p>
    <w:p w:rsidR="00E73313" w:rsidRPr="00E328C3" w:rsidRDefault="00E73313" w:rsidP="00E328C3">
      <w:pPr>
        <w:spacing w:line="180" w:lineRule="auto"/>
        <w:ind w:left="720"/>
        <w:rPr>
          <w:szCs w:val="18"/>
          <w:lang w:val="de-DE"/>
        </w:rPr>
      </w:pPr>
    </w:p>
    <w:p w:rsidR="00E73313" w:rsidRPr="003002D3" w:rsidRDefault="00E73313" w:rsidP="00E73313">
      <w:pPr>
        <w:spacing w:after="60"/>
        <w:ind w:left="720"/>
        <w:rPr>
          <w:lang w:val="de-DE"/>
        </w:rPr>
      </w:pPr>
      <w:r w:rsidRPr="003002D3">
        <w:rPr>
          <w:rFonts w:eastAsia="Calibri" w:cs="Tahoma"/>
          <w:b/>
          <w:szCs w:val="18"/>
          <w:lang w:val="de-DE"/>
        </w:rPr>
        <w:t>Aktuelle Laufzeit</w:t>
      </w:r>
    </w:p>
    <w:p w:rsidR="00E73313" w:rsidRDefault="00E73313" w:rsidP="00E73313">
      <w:pPr>
        <w:ind w:left="720"/>
        <w:rPr>
          <w:rFonts w:eastAsia="Calibri" w:cs="Tahoma"/>
          <w:szCs w:val="18"/>
          <w:lang w:val="de-DE"/>
        </w:rPr>
      </w:pPr>
      <w:r w:rsidRPr="003002D3">
        <w:rPr>
          <w:rFonts w:eastAsia="Calibri" w:cs="Tahoma"/>
          <w:szCs w:val="18"/>
          <w:lang w:val="de-DE"/>
        </w:rPr>
        <w:t>Während der aktuellen Laufzeit ihrer Software Assurance zum 1</w:t>
      </w:r>
      <w:r w:rsidR="006257A7">
        <w:rPr>
          <w:rFonts w:eastAsia="Calibri" w:cs="Tahoma"/>
          <w:szCs w:val="18"/>
          <w:lang w:val="de-DE"/>
        </w:rPr>
        <w:t xml:space="preserve">. </w:t>
      </w:r>
      <w:r w:rsidRPr="003002D3">
        <w:rPr>
          <w:rFonts w:eastAsia="Calibri" w:cs="Tahoma"/>
          <w:szCs w:val="18"/>
          <w:lang w:val="de-DE"/>
        </w:rPr>
        <w:t>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Web upzugraden und diese zu verwenden</w:t>
      </w:r>
      <w:r w:rsidR="006257A7">
        <w:rPr>
          <w:rFonts w:eastAsia="Calibri" w:cs="Tahoma"/>
          <w:szCs w:val="18"/>
          <w:lang w:val="de-DE"/>
        </w:rPr>
        <w:t xml:space="preserve">. </w:t>
      </w:r>
      <w:r w:rsidRPr="003002D3">
        <w:rPr>
          <w:rFonts w:eastAsia="Calibri" w:cs="Tahoma"/>
          <w:szCs w:val="18"/>
          <w:lang w:val="de-DE"/>
        </w:rPr>
        <w:t>Zusätzlich werden Kunden Rechte unter Lizenzmobilität durch Software Assurance und Lizenzmobilität innerhalb von Serverfarmen gewährt</w:t>
      </w:r>
      <w:r w:rsidR="006257A7">
        <w:rPr>
          <w:rFonts w:eastAsia="Calibri" w:cs="Tahoma"/>
          <w:szCs w:val="18"/>
          <w:lang w:val="de-DE"/>
        </w:rPr>
        <w:t xml:space="preserve">. </w:t>
      </w:r>
      <w:r w:rsidRPr="003002D3">
        <w:rPr>
          <w:rFonts w:eastAsia="Calibri" w:cs="Tahoma"/>
          <w:szCs w:val="18"/>
          <w:lang w:val="de-DE"/>
        </w:rPr>
        <w:t>Die Lizenzbestimmungen für Lizenzmobilität finden Kunden in den Produktbenutzungsrechten für SQL Server 2012 Standard Core</w:t>
      </w:r>
      <w:r w:rsidR="006257A7">
        <w:rPr>
          <w:rFonts w:eastAsia="Calibri" w:cs="Tahoma"/>
          <w:szCs w:val="18"/>
          <w:lang w:val="de-DE"/>
        </w:rPr>
        <w:t xml:space="preserve">. </w:t>
      </w:r>
    </w:p>
    <w:p w:rsidR="00E73313" w:rsidRPr="003002D3" w:rsidRDefault="00E73313" w:rsidP="00E73313">
      <w:pPr>
        <w:spacing w:after="60"/>
        <w:ind w:left="720"/>
        <w:rPr>
          <w:lang w:val="de-DE"/>
        </w:rPr>
      </w:pPr>
      <w:r w:rsidRPr="003002D3">
        <w:rPr>
          <w:rFonts w:eastAsia="Calibri" w:cs="Tahoma"/>
          <w:b/>
          <w:szCs w:val="18"/>
          <w:lang w:val="de-DE"/>
        </w:rPr>
        <w:t>Erster Verlängerungszeitraum (vor dem 1</w:t>
      </w:r>
      <w:r w:rsidR="006257A7">
        <w:rPr>
          <w:rFonts w:eastAsia="Calibri" w:cs="Tahoma"/>
          <w:b/>
          <w:szCs w:val="18"/>
          <w:lang w:val="de-DE"/>
        </w:rPr>
        <w:t xml:space="preserve">. </w:t>
      </w:r>
      <w:r w:rsidRPr="003002D3">
        <w:rPr>
          <w:rFonts w:eastAsia="Calibri" w:cs="Tahoma"/>
          <w:b/>
          <w:szCs w:val="18"/>
          <w:lang w:val="de-DE"/>
        </w:rPr>
        <w:t>April 2015)</w:t>
      </w:r>
    </w:p>
    <w:p w:rsidR="00E73313" w:rsidRPr="003002D3" w:rsidRDefault="00E73313" w:rsidP="00E73313">
      <w:pPr>
        <w:ind w:left="720"/>
        <w:rPr>
          <w:lang w:val="de-DE"/>
        </w:rPr>
      </w:pPr>
      <w:r w:rsidRPr="003002D3">
        <w:rPr>
          <w:rFonts w:eastAsia="Calibri" w:cs="Tahoma"/>
          <w:szCs w:val="18"/>
          <w:lang w:val="de-DE"/>
        </w:rPr>
        <w:t>Bei der ersten Software Assurance-Verlängerung am oder nach dem 1</w:t>
      </w:r>
      <w:r w:rsidR="006257A7">
        <w:rPr>
          <w:rFonts w:eastAsia="Calibri" w:cs="Tahoma"/>
          <w:szCs w:val="18"/>
          <w:lang w:val="de-DE"/>
        </w:rPr>
        <w:t xml:space="preserve">. </w:t>
      </w:r>
      <w:r w:rsidRPr="003002D3">
        <w:rPr>
          <w:rFonts w:eastAsia="Calibri" w:cs="Tahoma"/>
          <w:szCs w:val="18"/>
          <w:lang w:val="de-DE"/>
        </w:rPr>
        <w:t>April 2012 (jedoch vor dem 1</w:t>
      </w:r>
      <w:r w:rsidR="006257A7">
        <w:rPr>
          <w:rFonts w:eastAsia="Calibri" w:cs="Tahoma"/>
          <w:szCs w:val="18"/>
          <w:lang w:val="de-DE"/>
        </w:rPr>
        <w:t xml:space="preserve">. </w:t>
      </w:r>
      <w:r w:rsidRPr="003002D3">
        <w:rPr>
          <w:rFonts w:eastAsia="Calibri" w:cs="Tahoma"/>
          <w:szCs w:val="18"/>
          <w:lang w:val="de-DE"/>
        </w:rPr>
        <w:t>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rsidR="00E73313" w:rsidRPr="003002D3" w:rsidRDefault="00E73313" w:rsidP="00E73313">
      <w:pPr>
        <w:numPr>
          <w:ilvl w:val="0"/>
          <w:numId w:val="116"/>
        </w:numPr>
        <w:tabs>
          <w:tab w:val="left" w:pos="1800"/>
        </w:tabs>
        <w:spacing w:after="60"/>
        <w:rPr>
          <w:lang w:val="de-DE"/>
        </w:rPr>
      </w:pPr>
      <w:r w:rsidRPr="003002D3">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E73313" w:rsidRPr="0062435A" w:rsidRDefault="00E73313" w:rsidP="00E73313">
      <w:pPr>
        <w:numPr>
          <w:ilvl w:val="3"/>
          <w:numId w:val="55"/>
        </w:numPr>
        <w:spacing w:after="60"/>
        <w:ind w:left="2160"/>
      </w:pPr>
      <w:r>
        <w:rPr>
          <w:rFonts w:eastAsia="Calibri" w:cs="Tahoma"/>
          <w:szCs w:val="18"/>
        </w:rPr>
        <w:t>vier ODER</w:t>
      </w:r>
    </w:p>
    <w:p w:rsidR="00E73313" w:rsidRPr="003002D3" w:rsidRDefault="00E73313" w:rsidP="00E73313">
      <w:pPr>
        <w:numPr>
          <w:ilvl w:val="3"/>
          <w:numId w:val="55"/>
        </w:numPr>
        <w:spacing w:after="60"/>
        <w:ind w:left="2160"/>
        <w:rPr>
          <w:lang w:val="de-DE"/>
        </w:rPr>
      </w:pPr>
      <w:r w:rsidRPr="003002D3">
        <w:rPr>
          <w:rFonts w:eastAsia="Calibri" w:cs="Tahoma"/>
          <w:szCs w:val="18"/>
          <w:lang w:val="de-DE"/>
        </w:rPr>
        <w:t>der tatsächlichen Anzahl von Cores pro physischem Prozessor multipliziert mit dem entsprechenden Core-Faktor</w:t>
      </w:r>
      <w:r w:rsidR="006257A7">
        <w:rPr>
          <w:rFonts w:eastAsia="Calibri" w:cs="Tahoma"/>
          <w:szCs w:val="18"/>
          <w:lang w:val="de-DE"/>
        </w:rPr>
        <w:t xml:space="preserve">. </w:t>
      </w:r>
      <w:r w:rsidRPr="003002D3">
        <w:rPr>
          <w:rFonts w:eastAsia="Calibri" w:cs="Tahoma"/>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szCs w:val="18"/>
          <w:lang w:val="de-DE"/>
        </w:rPr>
        <w:t xml:space="preserve">. </w:t>
      </w:r>
      <w:r w:rsidRPr="003002D3">
        <w:rPr>
          <w:rFonts w:eastAsia="Calibri" w:cs="Tahoma"/>
          <w:szCs w:val="18"/>
          <w:lang w:val="de-DE"/>
        </w:rPr>
        <w:t xml:space="preserve">) </w:t>
      </w:r>
    </w:p>
    <w:p w:rsidR="00E73313" w:rsidRPr="003002D3" w:rsidRDefault="00E73313" w:rsidP="00E73313">
      <w:pPr>
        <w:numPr>
          <w:ilvl w:val="0"/>
          <w:numId w:val="116"/>
        </w:numPr>
        <w:tabs>
          <w:tab w:val="left" w:pos="1800"/>
        </w:tabs>
        <w:spacing w:after="60"/>
        <w:rPr>
          <w:lang w:val="de-DE"/>
        </w:rPr>
      </w:pPr>
      <w:r w:rsidRPr="003002D3">
        <w:rPr>
          <w:rFonts w:eastAsia="Calibri" w:cs="Tahoma"/>
          <w:szCs w:val="18"/>
          <w:lang w:val="de-DE"/>
        </w:rPr>
        <w:t>eine Anzahl, die der Anzahl von dem Server zugewiesenen qualifizierenden Lizenzen entspricht, die die tatsächliche Anzahl physischer Prozessoren auf dem Server übersteigen, multipliziert mit vier</w:t>
      </w:r>
      <w:r w:rsidR="006257A7">
        <w:rPr>
          <w:rFonts w:eastAsia="Calibri" w:cs="Tahoma"/>
          <w:szCs w:val="18"/>
          <w:lang w:val="de-DE"/>
        </w:rPr>
        <w:t xml:space="preserve">. </w:t>
      </w:r>
    </w:p>
    <w:p w:rsidR="00E73313" w:rsidRPr="003002D3" w:rsidRDefault="00E73313" w:rsidP="00E73313">
      <w:pPr>
        <w:rPr>
          <w:lang w:val="de-DE"/>
        </w:rPr>
      </w:pPr>
    </w:p>
    <w:p w:rsidR="00E73313" w:rsidRPr="003002D3" w:rsidRDefault="00E73313" w:rsidP="00E73313">
      <w:pPr>
        <w:spacing w:after="60"/>
        <w:ind w:left="720"/>
        <w:rPr>
          <w:lang w:val="de-DE"/>
        </w:rPr>
      </w:pPr>
      <w:r w:rsidRPr="003002D3">
        <w:rPr>
          <w:rFonts w:eastAsia="Calibri" w:cs="Tahoma"/>
          <w:b/>
          <w:szCs w:val="18"/>
          <w:lang w:val="de-DE"/>
        </w:rPr>
        <w:t>Erster Verlängerungszeitraum (am oder nach dem 1</w:t>
      </w:r>
      <w:r w:rsidR="006257A7">
        <w:rPr>
          <w:rFonts w:eastAsia="Calibri" w:cs="Tahoma"/>
          <w:b/>
          <w:szCs w:val="18"/>
          <w:lang w:val="de-DE"/>
        </w:rPr>
        <w:t xml:space="preserve">. </w:t>
      </w:r>
      <w:r w:rsidRPr="003002D3">
        <w:rPr>
          <w:rFonts w:eastAsia="Calibri" w:cs="Tahoma"/>
          <w:b/>
          <w:szCs w:val="18"/>
          <w:lang w:val="de-DE"/>
        </w:rPr>
        <w:t>April 2015)</w:t>
      </w:r>
    </w:p>
    <w:p w:rsidR="00E73313" w:rsidRPr="003002D3" w:rsidRDefault="00E73313" w:rsidP="00E73313">
      <w:pPr>
        <w:ind w:left="720"/>
        <w:contextualSpacing/>
        <w:rPr>
          <w:lang w:val="de-DE"/>
        </w:rPr>
      </w:pPr>
      <w:r w:rsidRPr="003002D3">
        <w:rPr>
          <w:rFonts w:eastAsia="Calibri" w:cs="Tahoma"/>
          <w:color w:val="000000"/>
          <w:szCs w:val="18"/>
          <w:lang w:val="de-DE"/>
        </w:rPr>
        <w:t>Kunden, die Software Assurance am oder nach dem 1</w:t>
      </w:r>
      <w:r w:rsidR="006257A7">
        <w:rPr>
          <w:rFonts w:eastAsia="Calibri" w:cs="Tahoma"/>
          <w:color w:val="000000"/>
          <w:szCs w:val="18"/>
          <w:lang w:val="de-DE"/>
        </w:rPr>
        <w:t xml:space="preserve">. </w:t>
      </w:r>
      <w:r w:rsidRPr="003002D3">
        <w:rPr>
          <w:rFonts w:eastAsia="Calibri" w:cs="Tahoma"/>
          <w:color w:val="000000"/>
          <w:szCs w:val="18"/>
          <w:lang w:val="de-DE"/>
        </w:rPr>
        <w:t>April 2015</w:t>
      </w:r>
      <w:r w:rsidRPr="003002D3">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E73313" w:rsidRPr="003002D3" w:rsidRDefault="00E73313" w:rsidP="00E73313">
      <w:pPr>
        <w:ind w:left="720"/>
        <w:contextualSpacing/>
        <w:rPr>
          <w:lang w:val="de-DE"/>
        </w:rPr>
      </w:pPr>
    </w:p>
    <w:p w:rsidR="00E73313" w:rsidRPr="0062435A" w:rsidRDefault="00E73313" w:rsidP="00E73313">
      <w:pPr>
        <w:numPr>
          <w:ilvl w:val="3"/>
          <w:numId w:val="89"/>
        </w:numPr>
        <w:spacing w:after="60"/>
        <w:ind w:left="1440"/>
      </w:pPr>
      <w:r w:rsidRPr="003002D3">
        <w:rPr>
          <w:rFonts w:eastAsia="Calibri" w:cs="Tahoma"/>
          <w:szCs w:val="18"/>
          <w:lang w:val="de-DE"/>
        </w:rPr>
        <w:t>Wie im ersten Absatz dieses Produkthinweises dargelegt, sind Lizenzen, die vor dem 1</w:t>
      </w:r>
      <w:r w:rsidR="006257A7">
        <w:rPr>
          <w:rFonts w:eastAsia="Calibri" w:cs="Tahoma"/>
          <w:szCs w:val="18"/>
          <w:lang w:val="de-DE"/>
        </w:rPr>
        <w:t xml:space="preserve">. </w:t>
      </w:r>
      <w:r w:rsidRPr="003002D3">
        <w:rPr>
          <w:rFonts w:eastAsia="Calibri" w:cs="Tahoma"/>
          <w:szCs w:val="18"/>
          <w:lang w:val="de-DE"/>
        </w:rPr>
        <w:t>April 2015 erworben wurden, qualifizierende Lizenzen, und Kunden sind berechtigt, Software Assurance in Übereinstimmung mit den Bestimmungen im Abschnitt oben mit der Überschrift „Erster Verlängerungszeitraum (vor dem 1</w:t>
      </w:r>
      <w:r w:rsidR="006257A7">
        <w:rPr>
          <w:rFonts w:eastAsia="Calibri" w:cs="Tahoma"/>
          <w:szCs w:val="18"/>
          <w:lang w:val="de-DE"/>
        </w:rPr>
        <w:t xml:space="preserve">. </w:t>
      </w:r>
      <w:r>
        <w:rPr>
          <w:rFonts w:eastAsia="Calibri" w:cs="Tahoma"/>
          <w:szCs w:val="18"/>
        </w:rPr>
        <w:t xml:space="preserve">April 2015)“ zu verlängern, und </w:t>
      </w:r>
    </w:p>
    <w:p w:rsidR="00E73313" w:rsidRPr="003002D3" w:rsidRDefault="00E328C3" w:rsidP="00E73313">
      <w:pPr>
        <w:numPr>
          <w:ilvl w:val="3"/>
          <w:numId w:val="89"/>
        </w:numPr>
        <w:spacing w:after="60"/>
        <w:ind w:left="1440"/>
        <w:rPr>
          <w:lang w:val="de-DE"/>
        </w:rPr>
      </w:pPr>
      <w:r>
        <w:rPr>
          <w:rFonts w:eastAsia="Calibri" w:cs="Tahoma"/>
          <w:szCs w:val="18"/>
          <w:lang w:val="de-DE"/>
        </w:rPr>
        <w:t>F</w:t>
      </w:r>
      <w:r w:rsidR="00E73313" w:rsidRPr="003002D3">
        <w:rPr>
          <w:rFonts w:eastAsia="Calibri" w:cs="Tahoma"/>
          <w:szCs w:val="18"/>
          <w:lang w:val="de-DE"/>
        </w:rPr>
        <w:t>ür Lizenzen, die nach dem 1</w:t>
      </w:r>
      <w:r w:rsidR="006257A7">
        <w:rPr>
          <w:rFonts w:eastAsia="Calibri" w:cs="Tahoma"/>
          <w:szCs w:val="18"/>
          <w:lang w:val="de-DE"/>
        </w:rPr>
        <w:t xml:space="preserve">. </w:t>
      </w:r>
      <w:r w:rsidR="00E73313" w:rsidRPr="003002D3">
        <w:rPr>
          <w:rFonts w:eastAsia="Calibri" w:cs="Tahoma"/>
          <w:szCs w:val="18"/>
          <w:lang w:val="de-DE"/>
        </w:rPr>
        <w:t>April 2015 erworben wurden, sind Kunden berechtigt, Software Assurance für vier SQL Server Standard-Core-Lizenzen zu verlängern, ohne die zugrunde liegenden Core-Lizenzen für jede SQL Server 2008 R2 Web-Prozessorlizenz zu erwerben</w:t>
      </w:r>
      <w:r w:rsidR="006257A7">
        <w:rPr>
          <w:rFonts w:eastAsia="Calibri" w:cs="Tahoma"/>
          <w:szCs w:val="18"/>
          <w:lang w:val="de-DE"/>
        </w:rPr>
        <w:t xml:space="preserve">. </w:t>
      </w:r>
      <w:r w:rsidR="00E73313" w:rsidRPr="003002D3">
        <w:rPr>
          <w:rFonts w:eastAsia="Calibri" w:cs="Tahoma"/>
          <w:szCs w:val="18"/>
          <w:lang w:val="de-DE"/>
        </w:rPr>
        <w:t>Für die kontinuierliche Verwendung von SQL Server 2012 auf Prozessoren, die mehr als vier Core-Lizenzen pro Prozessor erfordern, muss der Kunde die zusätzlichen Core-Lizenzen erwerben</w:t>
      </w:r>
      <w:r w:rsidR="006257A7">
        <w:rPr>
          <w:rFonts w:eastAsia="Calibri" w:cs="Tahoma"/>
          <w:szCs w:val="18"/>
          <w:lang w:val="de-DE"/>
        </w:rPr>
        <w:t xml:space="preserve">. </w:t>
      </w:r>
    </w:p>
    <w:p w:rsidR="00E73313" w:rsidRPr="003002D3" w:rsidRDefault="00E73313" w:rsidP="00E73313">
      <w:pPr>
        <w:numPr>
          <w:ilvl w:val="0"/>
          <w:numId w:val="50"/>
        </w:numPr>
        <w:spacing w:after="60"/>
        <w:ind w:left="1440"/>
        <w:rPr>
          <w:lang w:val="de-DE"/>
        </w:rPr>
      </w:pPr>
      <w:r w:rsidRPr="003002D3">
        <w:rPr>
          <w:rFonts w:eastAsia="Calibri" w:cs="Tahoma"/>
          <w:szCs w:val="18"/>
          <w:lang w:val="de-DE"/>
        </w:rPr>
        <w:t>Die Prozessorlizenzen des Kunden sind bei Erwerb von Software Assurance für Core-Lizenzen unter diesem Angebot nicht mehr gültig</w:t>
      </w:r>
      <w:r w:rsidR="006257A7">
        <w:rPr>
          <w:rFonts w:eastAsia="Calibri" w:cs="Tahoma"/>
          <w:szCs w:val="18"/>
          <w:lang w:val="de-DE"/>
        </w:rPr>
        <w:t xml:space="preserve">. </w:t>
      </w:r>
      <w:r w:rsidRPr="003002D3">
        <w:rPr>
          <w:rFonts w:eastAsia="Calibri" w:cs="Tahoma"/>
          <w:szCs w:val="18"/>
          <w:lang w:val="de-DE"/>
        </w:rPr>
        <w:t>Die Option zum Erwerb von Core-Lizenzen für Software Assurance für SQL Server ist nicht auf die Software Assurance-Verlängerung unter Abonnementprogrammen anwendbar</w:t>
      </w:r>
      <w:r w:rsidR="006257A7">
        <w:rPr>
          <w:rFonts w:eastAsia="Calibri" w:cs="Tahoma"/>
          <w:szCs w:val="18"/>
          <w:lang w:val="de-DE"/>
        </w:rPr>
        <w:t xml:space="preserve">. </w:t>
      </w:r>
    </w:p>
    <w:p w:rsidR="00E73313" w:rsidRPr="003002D3" w:rsidRDefault="00E73313" w:rsidP="00E73313">
      <w:pPr>
        <w:ind w:left="720"/>
        <w:contextualSpacing/>
        <w:rPr>
          <w:lang w:val="de-DE"/>
        </w:rPr>
      </w:pPr>
    </w:p>
    <w:p w:rsidR="00E73313" w:rsidRPr="003002D3" w:rsidRDefault="00E73313" w:rsidP="00E73313">
      <w:pPr>
        <w:spacing w:after="60"/>
        <w:ind w:left="720"/>
        <w:rPr>
          <w:lang w:val="de-DE"/>
        </w:rPr>
      </w:pPr>
      <w:r w:rsidRPr="003002D3">
        <w:rPr>
          <w:rFonts w:eastAsia="Calibri" w:cs="Tahoma"/>
          <w:b/>
          <w:szCs w:val="18"/>
          <w:lang w:val="de-DE"/>
        </w:rPr>
        <w:t>Für Kunden mit Software Assurance, die vor dem 1</w:t>
      </w:r>
      <w:r w:rsidR="006257A7">
        <w:rPr>
          <w:rFonts w:eastAsia="Calibri" w:cs="Tahoma"/>
          <w:b/>
          <w:szCs w:val="18"/>
          <w:lang w:val="de-DE"/>
        </w:rPr>
        <w:t xml:space="preserve">. </w:t>
      </w:r>
      <w:r w:rsidRPr="003002D3">
        <w:rPr>
          <w:rFonts w:eastAsia="Calibri" w:cs="Tahoma"/>
          <w:b/>
          <w:szCs w:val="18"/>
          <w:lang w:val="de-DE"/>
        </w:rPr>
        <w:t>April 2015 abläuft, die sich gegen eine Verlängerung entscheiden</w:t>
      </w:r>
    </w:p>
    <w:p w:rsidR="00E73313" w:rsidRPr="003002D3" w:rsidRDefault="00E73313" w:rsidP="00E73313">
      <w:pPr>
        <w:ind w:left="720"/>
        <w:contextualSpacing/>
        <w:rPr>
          <w:lang w:val="de-DE"/>
        </w:rPr>
      </w:pPr>
      <w:r w:rsidRPr="003002D3">
        <w:rPr>
          <w:rFonts w:eastAsia="Calibri" w:cs="Tahoma"/>
          <w:szCs w:val="18"/>
          <w:lang w:val="de-DE"/>
        </w:rPr>
        <w:t xml:space="preserve">Konzern-Abonnement- </w:t>
      </w:r>
      <w:r w:rsidRPr="003002D3">
        <w:rPr>
          <w:rFonts w:cs="Tahoma"/>
          <w:bCs/>
          <w:color w:val="000000"/>
          <w:szCs w:val="18"/>
          <w:lang w:val="de-DE"/>
        </w:rPr>
        <w:t>und Open Value Subscription-</w:t>
      </w:r>
      <w:r w:rsidRPr="003002D3">
        <w:rPr>
          <w:rFonts w:eastAsia="Calibri" w:cs="Tahoma"/>
          <w:szCs w:val="18"/>
          <w:lang w:val="de-DE"/>
        </w:rPr>
        <w:t>Kunden mit Software Assurance, die vor dem 1</w:t>
      </w:r>
      <w:r w:rsidR="006257A7">
        <w:rPr>
          <w:rFonts w:eastAsia="Calibri" w:cs="Tahoma"/>
          <w:szCs w:val="18"/>
          <w:lang w:val="de-DE"/>
        </w:rPr>
        <w:t xml:space="preserve">. </w:t>
      </w:r>
      <w:r w:rsidRPr="003002D3">
        <w:rPr>
          <w:rFonts w:eastAsia="Calibri" w:cs="Tahoma"/>
          <w:szCs w:val="18"/>
          <w:lang w:val="de-DE"/>
        </w:rPr>
        <w:t>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E73313" w:rsidRPr="003002D3" w:rsidRDefault="00E73313" w:rsidP="00E73313">
      <w:pPr>
        <w:numPr>
          <w:ilvl w:val="0"/>
          <w:numId w:val="90"/>
        </w:numPr>
        <w:tabs>
          <w:tab w:val="left" w:pos="1800"/>
        </w:tabs>
        <w:spacing w:after="60"/>
        <w:ind w:left="1800"/>
        <w:rPr>
          <w:lang w:val="de-DE"/>
        </w:rPr>
      </w:pPr>
      <w:r w:rsidRPr="003002D3">
        <w:rPr>
          <w:rFonts w:eastAsia="Calibri" w:cs="Tahoma"/>
          <w:b/>
          <w:szCs w:val="18"/>
          <w:lang w:val="de-DE"/>
        </w:rPr>
        <w:t>SQL Server 2008 R2 Web:</w:t>
      </w:r>
      <w:r w:rsidRPr="003002D3">
        <w:rPr>
          <w:rFonts w:eastAsia="Calibri" w:cs="Tahoma"/>
          <w:szCs w:val="18"/>
          <w:lang w:val="de-DE"/>
        </w:rPr>
        <w:t xml:space="preserve"> Die kontinuierliche Verwendung dieser Version der Software unterliegt den Produktbenutzungsrechten für SQL Server 2008 R2 Web-Prozessorlizenzen</w:t>
      </w:r>
      <w:r w:rsidR="006257A7">
        <w:rPr>
          <w:rFonts w:eastAsia="Calibri" w:cs="Tahoma"/>
          <w:szCs w:val="18"/>
          <w:lang w:val="de-DE"/>
        </w:rPr>
        <w:t xml:space="preserve">. </w:t>
      </w:r>
      <w:r w:rsidRPr="003002D3">
        <w:rPr>
          <w:rFonts w:eastAsia="Calibri" w:cs="Tahoma"/>
          <w:szCs w:val="18"/>
          <w:lang w:val="de-DE"/>
        </w:rPr>
        <w:t>Kunden verfügen nicht mehr über Rechte unter Lizenzmobilität innerhalb von Serverfarmen oder Lizenzmobilität durch Software Assurance</w:t>
      </w:r>
      <w:r w:rsidR="006257A7">
        <w:rPr>
          <w:rFonts w:eastAsia="Calibri" w:cs="Tahoma"/>
          <w:szCs w:val="18"/>
          <w:lang w:val="de-DE"/>
        </w:rPr>
        <w:t xml:space="preserve">. </w:t>
      </w:r>
    </w:p>
    <w:p w:rsidR="00E73313" w:rsidRPr="003002D3" w:rsidRDefault="00E73313" w:rsidP="00E73313">
      <w:pPr>
        <w:numPr>
          <w:ilvl w:val="0"/>
          <w:numId w:val="90"/>
        </w:numPr>
        <w:tabs>
          <w:tab w:val="left" w:pos="1800"/>
        </w:tabs>
        <w:spacing w:after="60"/>
        <w:ind w:left="1800"/>
        <w:rPr>
          <w:lang w:val="de-DE"/>
        </w:rPr>
      </w:pPr>
      <w:r w:rsidRPr="003002D3">
        <w:rPr>
          <w:rFonts w:eastAsia="Calibri" w:cs="Tahoma"/>
          <w:b/>
          <w:szCs w:val="18"/>
          <w:lang w:val="de-DE"/>
        </w:rPr>
        <w:t xml:space="preserve">SQL Server 2012 Standard Core: </w:t>
      </w:r>
      <w:r w:rsidRPr="003002D3">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E73313" w:rsidRPr="003002D3" w:rsidRDefault="00E73313" w:rsidP="00E73313">
      <w:pPr>
        <w:numPr>
          <w:ilvl w:val="1"/>
          <w:numId w:val="52"/>
        </w:numPr>
        <w:tabs>
          <w:tab w:val="left" w:pos="2160"/>
        </w:tabs>
        <w:spacing w:after="60"/>
        <w:ind w:left="2160"/>
        <w:rPr>
          <w:lang w:val="de-DE"/>
        </w:rPr>
      </w:pPr>
      <w:r w:rsidRPr="003002D3">
        <w:rPr>
          <w:rFonts w:eastAsia="Calibri" w:cs="Tahoma"/>
          <w:szCs w:val="18"/>
          <w:lang w:val="de-DE"/>
        </w:rPr>
        <w:t xml:space="preserve">Kunden verfügen nicht mehr über Rechte unter Lizenzmobilität innerhalb von Serverfarmen oder Lizenzmobilität durch Software Assurance, und </w:t>
      </w:r>
    </w:p>
    <w:p w:rsidR="00E73313" w:rsidRPr="0062435A" w:rsidRDefault="00E73313" w:rsidP="00E73313">
      <w:pPr>
        <w:numPr>
          <w:ilvl w:val="1"/>
          <w:numId w:val="52"/>
        </w:numPr>
        <w:tabs>
          <w:tab w:val="left" w:pos="2160"/>
        </w:tabs>
        <w:spacing w:after="60"/>
        <w:ind w:left="2160"/>
      </w:pPr>
      <w:r w:rsidRPr="003002D3">
        <w:rPr>
          <w:rFonts w:eastAsia="Calibri" w:cs="Tahoma"/>
          <w:szCs w:val="18"/>
          <w:lang w:val="de-DE"/>
        </w:rPr>
        <w:t>Neuzuweisungen von Lizenzen unterliegen den Beschränkungen unten unter (i) und (ii) in Bezug auf ihre „Core-Lizenzäquivalenz“</w:t>
      </w:r>
      <w:r w:rsidR="006257A7">
        <w:rPr>
          <w:rFonts w:eastAsia="Calibri" w:cs="Tahoma"/>
          <w:szCs w:val="18"/>
          <w:lang w:val="de-DE"/>
        </w:rPr>
        <w:t xml:space="preserve">. </w:t>
      </w:r>
      <w:r>
        <w:rPr>
          <w:rFonts w:eastAsia="Calibri" w:cs="Tahoma"/>
          <w:szCs w:val="18"/>
        </w:rPr>
        <w:t>Die Core-Lizenzäquivalenz wird wie folgt bestimmt</w:t>
      </w:r>
      <w:r w:rsidR="006257A7">
        <w:rPr>
          <w:rFonts w:eastAsia="Calibri" w:cs="Tahoma"/>
          <w:szCs w:val="18"/>
        </w:rPr>
        <w:t xml:space="preserve">. </w:t>
      </w:r>
    </w:p>
    <w:p w:rsidR="00E73313" w:rsidRPr="003002D3" w:rsidRDefault="00E73313" w:rsidP="00E73313">
      <w:pPr>
        <w:numPr>
          <w:ilvl w:val="2"/>
          <w:numId w:val="52"/>
        </w:numPr>
        <w:tabs>
          <w:tab w:val="left" w:pos="2520"/>
        </w:tabs>
        <w:spacing w:after="60"/>
        <w:ind w:left="2520"/>
        <w:rPr>
          <w:lang w:val="de-DE"/>
        </w:rPr>
      </w:pPr>
      <w:r w:rsidRPr="003002D3">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E73313" w:rsidRPr="0062435A" w:rsidRDefault="00E73313" w:rsidP="00E73313">
      <w:pPr>
        <w:numPr>
          <w:ilvl w:val="4"/>
          <w:numId w:val="50"/>
        </w:numPr>
        <w:tabs>
          <w:tab w:val="left" w:pos="2880"/>
        </w:tabs>
        <w:spacing w:after="60"/>
        <w:ind w:left="2880"/>
      </w:pPr>
      <w:r>
        <w:rPr>
          <w:rFonts w:eastAsia="Calibri" w:cs="Tahoma"/>
          <w:szCs w:val="18"/>
        </w:rPr>
        <w:t xml:space="preserve">vier Cores pro Prozessorlizenz ODER </w:t>
      </w:r>
    </w:p>
    <w:p w:rsidR="00E73313" w:rsidRPr="003002D3" w:rsidRDefault="00E73313" w:rsidP="00E73313">
      <w:pPr>
        <w:numPr>
          <w:ilvl w:val="4"/>
          <w:numId w:val="50"/>
        </w:numPr>
        <w:tabs>
          <w:tab w:val="left" w:pos="2880"/>
        </w:tabs>
        <w:spacing w:after="60"/>
        <w:ind w:left="2880"/>
        <w:rPr>
          <w:lang w:val="de-DE"/>
        </w:rPr>
      </w:pPr>
      <w:r w:rsidRPr="003002D3">
        <w:rPr>
          <w:rFonts w:eastAsia="Calibri" w:cs="Tahoma"/>
          <w:szCs w:val="18"/>
          <w:lang w:val="de-DE"/>
        </w:rPr>
        <w:t>einer Anzahl von Cores pro Prozessorlizenz basierend auf der tatsächlichen Anzahl von Cores pro physischem Prozessor multipliziert mit dem entsprechenden Core-Faktor</w:t>
      </w:r>
      <w:r w:rsidR="006257A7">
        <w:rPr>
          <w:rFonts w:eastAsia="Calibri" w:cs="Tahoma"/>
          <w:szCs w:val="18"/>
          <w:lang w:val="de-DE"/>
        </w:rPr>
        <w:t xml:space="preserve">. </w:t>
      </w:r>
      <w:r w:rsidRPr="003002D3">
        <w:rPr>
          <w:rFonts w:eastAsia="Calibri" w:cs="Tahoma"/>
          <w:szCs w:val="18"/>
          <w:lang w:val="de-DE"/>
        </w:rPr>
        <w:t>(Wenn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szCs w:val="18"/>
          <w:lang w:val="de-DE"/>
        </w:rPr>
        <w:t xml:space="preserve">. </w:t>
      </w:r>
      <w:r w:rsidRPr="003002D3">
        <w:rPr>
          <w:rFonts w:eastAsia="Calibri" w:cs="Tahoma"/>
          <w:szCs w:val="18"/>
          <w:lang w:val="de-DE"/>
        </w:rPr>
        <w:t xml:space="preserve">) </w:t>
      </w:r>
    </w:p>
    <w:p w:rsidR="00E73313" w:rsidRPr="003002D3" w:rsidRDefault="00E73313" w:rsidP="00E73313">
      <w:pPr>
        <w:numPr>
          <w:ilvl w:val="2"/>
          <w:numId w:val="52"/>
        </w:numPr>
        <w:tabs>
          <w:tab w:val="left" w:pos="2520"/>
        </w:tabs>
        <w:spacing w:after="60"/>
        <w:ind w:left="2520"/>
        <w:rPr>
          <w:lang w:val="de-DE"/>
        </w:rPr>
      </w:pPr>
      <w:r w:rsidRPr="003002D3">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r w:rsidR="006257A7">
        <w:rPr>
          <w:rFonts w:eastAsia="Calibri" w:cs="Tahoma"/>
          <w:szCs w:val="18"/>
          <w:lang w:val="de-DE"/>
        </w:rPr>
        <w:t xml:space="preserve">. </w:t>
      </w:r>
    </w:p>
    <w:p w:rsidR="00E73313" w:rsidRPr="003002D3" w:rsidRDefault="00E73313" w:rsidP="00E73313">
      <w:pPr>
        <w:numPr>
          <w:ilvl w:val="1"/>
          <w:numId w:val="52"/>
        </w:numPr>
        <w:tabs>
          <w:tab w:val="left" w:pos="2160"/>
        </w:tabs>
        <w:spacing w:after="60"/>
        <w:ind w:left="2160"/>
        <w:rPr>
          <w:lang w:val="de-DE"/>
        </w:rPr>
      </w:pPr>
      <w:r w:rsidRPr="003002D3">
        <w:rPr>
          <w:rFonts w:eastAsia="Calibri" w:cs="Tahoma"/>
          <w:szCs w:val="18"/>
          <w:lang w:val="de-DE"/>
        </w:rPr>
        <w:t>Kunden sind berechtigt, Lizenzen einem anderen Server neu zuzuweisen</w:t>
      </w:r>
      <w:r w:rsidR="006257A7">
        <w:rPr>
          <w:rFonts w:eastAsia="Calibri" w:cs="Tahoma"/>
          <w:szCs w:val="18"/>
          <w:lang w:val="de-DE"/>
        </w:rPr>
        <w:t xml:space="preserve">. </w:t>
      </w:r>
      <w:r w:rsidRPr="003002D3">
        <w:rPr>
          <w:rFonts w:eastAsia="Calibri" w:cs="Tahoma"/>
          <w:szCs w:val="18"/>
          <w:lang w:val="de-DE"/>
        </w:rPr>
        <w:t>Wenn der Kunde jedoch eine Lizenz einem anderen Server neu zuweist, muss der Kunde die Nutzungsrechte für SQL Server 2012 befolgen</w:t>
      </w:r>
      <w:r w:rsidR="006257A7">
        <w:rPr>
          <w:rFonts w:eastAsia="Calibri" w:cs="Tahoma"/>
          <w:szCs w:val="18"/>
          <w:lang w:val="de-DE"/>
        </w:rPr>
        <w:t xml:space="preserve">. </w:t>
      </w:r>
      <w:r w:rsidRPr="003002D3">
        <w:rPr>
          <w:rFonts w:eastAsia="Calibri" w:cs="Tahoma"/>
          <w:szCs w:val="18"/>
          <w:lang w:val="de-DE"/>
        </w:rPr>
        <w:t>Beim Zuweisen von Core-Lizenzen zu Servern unter den Nutzungsrechten für SQL 2012 ist der Kunde berechtigt, die Core-Äquivalenz seiner vorhandenen Lizenzen mit zusätzlichen Core-Lizenzen für SQL Server 2012 zu kombinieren</w:t>
      </w:r>
      <w:r w:rsidR="006257A7">
        <w:rPr>
          <w:rFonts w:eastAsia="Calibri" w:cs="Tahoma"/>
          <w:szCs w:val="18"/>
          <w:lang w:val="de-DE"/>
        </w:rPr>
        <w:t xml:space="preserve">. </w:t>
      </w:r>
    </w:p>
    <w:p w:rsidR="00E73313" w:rsidRPr="003002D3" w:rsidRDefault="00E73313" w:rsidP="00E73313">
      <w:pPr>
        <w:numPr>
          <w:ilvl w:val="1"/>
          <w:numId w:val="52"/>
        </w:numPr>
        <w:tabs>
          <w:tab w:val="left" w:pos="2160"/>
        </w:tabs>
        <w:spacing w:after="60"/>
        <w:ind w:left="2160"/>
        <w:rPr>
          <w:lang w:val="de-DE"/>
        </w:rPr>
      </w:pPr>
      <w:r w:rsidRPr="003002D3">
        <w:rPr>
          <w:rFonts w:eastAsia="Calibri" w:cs="Tahoma"/>
          <w:szCs w:val="18"/>
          <w:lang w:val="de-DE"/>
        </w:rPr>
        <w:t>Die angenommene Core-Lizenzäquivalenz der Kunden impliziert nicht, dass sie berechtigt sind, eine einzelne Prozessorlizenz Cores auf zwei oder mehr Prozessoren zuzuweisen</w:t>
      </w:r>
      <w:r w:rsidR="006257A7">
        <w:rPr>
          <w:rFonts w:eastAsia="Calibri" w:cs="Tahoma"/>
          <w:szCs w:val="18"/>
          <w:lang w:val="de-DE"/>
        </w:rPr>
        <w:t xml:space="preserve">. </w:t>
      </w:r>
    </w:p>
    <w:p w:rsidR="00E73313" w:rsidRPr="003002D3" w:rsidRDefault="00E73313" w:rsidP="00E73313">
      <w:pPr>
        <w:tabs>
          <w:tab w:val="left" w:pos="2160"/>
        </w:tabs>
        <w:spacing w:after="60"/>
        <w:rPr>
          <w:lang w:val="de-DE"/>
        </w:rPr>
      </w:pPr>
    </w:p>
    <w:p w:rsidR="00E73313" w:rsidRPr="003002D3" w:rsidRDefault="00E73313" w:rsidP="00E73313">
      <w:pPr>
        <w:tabs>
          <w:tab w:val="left" w:pos="720"/>
        </w:tabs>
        <w:spacing w:after="60"/>
        <w:ind w:left="720"/>
        <w:rPr>
          <w:lang w:val="de-DE"/>
        </w:rPr>
      </w:pPr>
      <w:r w:rsidRPr="003002D3">
        <w:rPr>
          <w:rFonts w:eastAsia="Calibri" w:cs="Tahoma"/>
          <w:b/>
          <w:szCs w:val="18"/>
          <w:lang w:val="de-DE"/>
        </w:rPr>
        <w:t>Für Kunden mit Software Assurance, die am oder nach dem 1</w:t>
      </w:r>
      <w:r w:rsidR="006257A7">
        <w:rPr>
          <w:rFonts w:eastAsia="Calibri" w:cs="Tahoma"/>
          <w:b/>
          <w:szCs w:val="18"/>
          <w:lang w:val="de-DE"/>
        </w:rPr>
        <w:t xml:space="preserve">. </w:t>
      </w:r>
      <w:r w:rsidRPr="003002D3">
        <w:rPr>
          <w:rFonts w:eastAsia="Calibri" w:cs="Tahoma"/>
          <w:b/>
          <w:szCs w:val="18"/>
          <w:lang w:val="de-DE"/>
        </w:rPr>
        <w:t>April 2015 abläuft, die sich gegen eine Verlängerung entscheiden</w:t>
      </w:r>
    </w:p>
    <w:p w:rsidR="00E73313" w:rsidRPr="003002D3" w:rsidRDefault="00E73313" w:rsidP="00E73313">
      <w:pPr>
        <w:tabs>
          <w:tab w:val="left" w:pos="720"/>
        </w:tabs>
        <w:ind w:left="720"/>
        <w:contextualSpacing/>
        <w:rPr>
          <w:lang w:val="de-DE"/>
        </w:rPr>
      </w:pPr>
      <w:r w:rsidRPr="003002D3">
        <w:rPr>
          <w:rFonts w:eastAsia="Calibri" w:cs="Tahoma"/>
          <w:color w:val="000000"/>
          <w:szCs w:val="18"/>
          <w:lang w:val="de-DE"/>
        </w:rPr>
        <w:t xml:space="preserve">Konzern-Abonnement- </w:t>
      </w:r>
      <w:r w:rsidRPr="003002D3">
        <w:rPr>
          <w:rFonts w:cs="Tahoma"/>
          <w:bCs/>
          <w:color w:val="000000"/>
          <w:szCs w:val="18"/>
          <w:lang w:val="de-DE"/>
        </w:rPr>
        <w:t>und Open Value Subscription-</w:t>
      </w:r>
      <w:r w:rsidRPr="003002D3">
        <w:rPr>
          <w:rFonts w:eastAsia="Calibri" w:cs="Tahoma"/>
          <w:color w:val="000000"/>
          <w:szCs w:val="18"/>
          <w:lang w:val="de-DE"/>
        </w:rPr>
        <w:t>Kunden mit Software Assurance, die am oder nach dem 1</w:t>
      </w:r>
      <w:r w:rsidR="006257A7">
        <w:rPr>
          <w:rFonts w:eastAsia="Calibri" w:cs="Tahoma"/>
          <w:color w:val="000000"/>
          <w:szCs w:val="18"/>
          <w:lang w:val="de-DE"/>
        </w:rPr>
        <w:t xml:space="preserve">. </w:t>
      </w:r>
      <w:r w:rsidRPr="003002D3">
        <w:rPr>
          <w:rFonts w:eastAsia="Calibri" w:cs="Tahoma"/>
          <w:color w:val="000000"/>
          <w:szCs w:val="18"/>
          <w:lang w:val="de-DE"/>
        </w:rPr>
        <w:t xml:space="preserve">April 2015 abläuft, die sich für ein Buy-Out von Prozessorlizenzen entscheiden, sowie sonstige Kunden, die zeitlich unbeschränkte Lizenzen unter ihrem Vertrag erwerben, haben folgende Optionen: </w:t>
      </w:r>
    </w:p>
    <w:p w:rsidR="00E73313" w:rsidRPr="003002D3" w:rsidRDefault="00E73313" w:rsidP="00E73313">
      <w:pPr>
        <w:tabs>
          <w:tab w:val="left" w:pos="720"/>
        </w:tabs>
        <w:ind w:left="720"/>
        <w:contextualSpacing/>
        <w:rPr>
          <w:lang w:val="de-DE"/>
        </w:rPr>
      </w:pPr>
    </w:p>
    <w:p w:rsidR="00E73313" w:rsidRPr="003002D3" w:rsidRDefault="00E73313" w:rsidP="00E73313">
      <w:pPr>
        <w:numPr>
          <w:ilvl w:val="2"/>
          <w:numId w:val="50"/>
        </w:numPr>
        <w:spacing w:after="60"/>
        <w:ind w:left="1440"/>
        <w:rPr>
          <w:lang w:val="de-DE"/>
        </w:rPr>
      </w:pPr>
      <w:r w:rsidRPr="003002D3">
        <w:rPr>
          <w:rFonts w:eastAsia="Calibri" w:cs="Tahoma"/>
          <w:szCs w:val="18"/>
          <w:lang w:val="de-DE"/>
        </w:rPr>
        <w:t>Wie im ersten Absatz dieses Produkthinweises dargelegt, sind vor dem 1</w:t>
      </w:r>
      <w:r w:rsidR="006257A7">
        <w:rPr>
          <w:rFonts w:eastAsia="Calibri" w:cs="Tahoma"/>
          <w:szCs w:val="18"/>
          <w:lang w:val="de-DE"/>
        </w:rPr>
        <w:t xml:space="preserve">. </w:t>
      </w:r>
      <w:r w:rsidRPr="003002D3">
        <w:rPr>
          <w:rFonts w:eastAsia="Calibri" w:cs="Tahoma"/>
          <w:szCs w:val="18"/>
          <w:lang w:val="de-DE"/>
        </w:rPr>
        <w:t>April 2015 erworbene Lizenzen qualifizierende Lizenzen, und Kunden sind berechtigt, SQL Server 2012 in Übereinstimmung mit den Bestimmungen im Abschnitt oben mit der Überschrift „Für Kunden mit Software Assurance, die vor dem 1</w:t>
      </w:r>
      <w:r w:rsidR="006257A7">
        <w:rPr>
          <w:rFonts w:eastAsia="Calibri" w:cs="Tahoma"/>
          <w:szCs w:val="18"/>
          <w:lang w:val="de-DE"/>
        </w:rPr>
        <w:t xml:space="preserve">. </w:t>
      </w:r>
      <w:r w:rsidRPr="003002D3">
        <w:rPr>
          <w:rFonts w:eastAsia="Calibri" w:cs="Tahoma"/>
          <w:szCs w:val="18"/>
          <w:lang w:val="de-DE"/>
        </w:rPr>
        <w:t xml:space="preserve">April 2015 abläuft, die sich gegen eine Verlängerung entscheiden“ weiterhin zu verwenden, und </w:t>
      </w:r>
    </w:p>
    <w:p w:rsidR="00E73313" w:rsidRPr="003002D3" w:rsidRDefault="00E328C3" w:rsidP="00E73313">
      <w:pPr>
        <w:numPr>
          <w:ilvl w:val="2"/>
          <w:numId w:val="50"/>
        </w:numPr>
        <w:spacing w:after="60"/>
        <w:ind w:left="1440"/>
        <w:rPr>
          <w:lang w:val="de-DE"/>
        </w:rPr>
      </w:pPr>
      <w:r>
        <w:rPr>
          <w:rFonts w:eastAsia="Calibri" w:cs="Tahoma"/>
          <w:szCs w:val="18"/>
          <w:lang w:val="de-DE"/>
        </w:rPr>
        <w:t>F</w:t>
      </w:r>
      <w:r w:rsidR="00E73313" w:rsidRPr="003002D3">
        <w:rPr>
          <w:rFonts w:eastAsia="Calibri" w:cs="Tahoma"/>
          <w:szCs w:val="18"/>
          <w:lang w:val="de-DE"/>
        </w:rPr>
        <w:t>ür Lizenzen, die nach dem 1</w:t>
      </w:r>
      <w:r w:rsidR="006257A7">
        <w:rPr>
          <w:rFonts w:eastAsia="Calibri" w:cs="Tahoma"/>
          <w:szCs w:val="18"/>
          <w:lang w:val="de-DE"/>
        </w:rPr>
        <w:t xml:space="preserve">. </w:t>
      </w:r>
      <w:r w:rsidR="00E73313" w:rsidRPr="003002D3">
        <w:rPr>
          <w:rFonts w:eastAsia="Calibri" w:cs="Tahoma"/>
          <w:szCs w:val="18"/>
          <w:lang w:val="de-DE"/>
        </w:rPr>
        <w:t>April 2015 erworben wurden, verfügt die Prozessorlizenz von Kunden über eine Core-Äquivalenz von vier Core-Lizenzen für SQL Server 2012 Standard</w:t>
      </w:r>
      <w:r w:rsidR="006257A7">
        <w:rPr>
          <w:rFonts w:eastAsia="Calibri" w:cs="Tahoma"/>
          <w:szCs w:val="18"/>
          <w:lang w:val="de-DE"/>
        </w:rPr>
        <w:t xml:space="preserve">. </w:t>
      </w:r>
      <w:r w:rsidR="00E73313" w:rsidRPr="003002D3">
        <w:rPr>
          <w:rFonts w:eastAsia="Calibri" w:cs="Tahoma"/>
          <w:szCs w:val="18"/>
          <w:lang w:val="de-DE"/>
        </w:rPr>
        <w:t>Für die kontinuierliche Verwendung von SQL Server 2012 auf Prozessoren, die mehr als vier Core-Lizenzen pro Prozessor erfordern, muss der Kunde die zusätzlichen Core-Lizenzen erwerben</w:t>
      </w:r>
      <w:r w:rsidR="006257A7">
        <w:rPr>
          <w:rFonts w:eastAsia="Calibri" w:cs="Tahoma"/>
          <w:szCs w:val="18"/>
          <w:lang w:val="de-DE"/>
        </w:rPr>
        <w:t xml:space="preserve">. </w:t>
      </w:r>
    </w:p>
    <w:p w:rsidR="00E73313" w:rsidRPr="003002D3" w:rsidRDefault="00E73313" w:rsidP="00E73313">
      <w:pPr>
        <w:rPr>
          <w:lang w:val="de-DE"/>
        </w:rPr>
      </w:pPr>
    </w:p>
    <w:p w:rsidR="00E73313" w:rsidRPr="003002D3" w:rsidRDefault="00E73313" w:rsidP="00E73313">
      <w:pPr>
        <w:tabs>
          <w:tab w:val="left" w:pos="720"/>
        </w:tabs>
        <w:spacing w:after="60"/>
        <w:ind w:left="720"/>
        <w:rPr>
          <w:lang w:val="de-DE"/>
        </w:rPr>
      </w:pPr>
      <w:r w:rsidRPr="003002D3">
        <w:rPr>
          <w:b/>
          <w:lang w:val="de-DE"/>
        </w:rPr>
        <w:t>Für Kunden in der Volksrepublik</w:t>
      </w:r>
      <w:r w:rsidRPr="003002D3">
        <w:rPr>
          <w:lang w:val="de-DE"/>
        </w:rPr>
        <w:t xml:space="preserve"> </w:t>
      </w:r>
      <w:r w:rsidRPr="003002D3">
        <w:rPr>
          <w:b/>
          <w:lang w:val="de-DE"/>
        </w:rPr>
        <w:t>China, die dort Prozessorlizenzen und Software Assurance für SQL Server 2008 R2 erwerben</w:t>
      </w:r>
    </w:p>
    <w:p w:rsidR="00E73313" w:rsidRPr="003002D3" w:rsidRDefault="00E73313" w:rsidP="00E328C3">
      <w:pPr>
        <w:tabs>
          <w:tab w:val="left" w:pos="720"/>
        </w:tabs>
        <w:ind w:left="720"/>
        <w:contextualSpacing/>
        <w:rPr>
          <w:lang w:val="de-DE"/>
        </w:rPr>
      </w:pPr>
      <w:r w:rsidRPr="003002D3">
        <w:rPr>
          <w:lang w:val="de-DE"/>
        </w:rPr>
        <w:t>Die Verweise auf den 1</w:t>
      </w:r>
      <w:r w:rsidR="006257A7">
        <w:rPr>
          <w:lang w:val="de-DE"/>
        </w:rPr>
        <w:t xml:space="preserve">. </w:t>
      </w:r>
      <w:r w:rsidRPr="003002D3">
        <w:rPr>
          <w:lang w:val="de-DE"/>
        </w:rPr>
        <w:t>April 2012 und den 1</w:t>
      </w:r>
      <w:r w:rsidR="006257A7">
        <w:rPr>
          <w:lang w:val="de-DE"/>
        </w:rPr>
        <w:t xml:space="preserve">. </w:t>
      </w:r>
      <w:r w:rsidRPr="003002D3">
        <w:rPr>
          <w:lang w:val="de-DE"/>
        </w:rPr>
        <w:t>April 2015 in dieser Produktliste sind nicht anwendbar</w:t>
      </w:r>
      <w:r w:rsidR="006257A7">
        <w:rPr>
          <w:lang w:val="de-DE"/>
        </w:rPr>
        <w:t xml:space="preserve">. </w:t>
      </w:r>
      <w:r w:rsidRPr="003002D3">
        <w:rPr>
          <w:lang w:val="de-DE"/>
        </w:rPr>
        <w:t>Die</w:t>
      </w:r>
      <w:r w:rsidR="00E328C3">
        <w:rPr>
          <w:lang w:val="de-DE"/>
        </w:rPr>
        <w:t> </w:t>
      </w:r>
      <w:r w:rsidRPr="003002D3">
        <w:rPr>
          <w:lang w:val="de-DE"/>
        </w:rPr>
        <w:t>anwendbaren Daten für diese Kunden sind der 1</w:t>
      </w:r>
      <w:r w:rsidR="006257A7">
        <w:rPr>
          <w:lang w:val="de-DE"/>
        </w:rPr>
        <w:t xml:space="preserve">. </w:t>
      </w:r>
      <w:r w:rsidRPr="003002D3">
        <w:rPr>
          <w:lang w:val="de-DE"/>
        </w:rPr>
        <w:t>Juli 2012 bzw</w:t>
      </w:r>
      <w:r w:rsidR="006257A7">
        <w:rPr>
          <w:lang w:val="de-DE"/>
        </w:rPr>
        <w:t xml:space="preserve">. </w:t>
      </w:r>
      <w:r w:rsidRPr="003002D3">
        <w:rPr>
          <w:lang w:val="de-DE"/>
        </w:rPr>
        <w:t>der 1</w:t>
      </w:r>
      <w:r w:rsidR="006257A7">
        <w:rPr>
          <w:lang w:val="de-DE"/>
        </w:rPr>
        <w:t xml:space="preserve">. </w:t>
      </w:r>
      <w:r w:rsidRPr="003002D3">
        <w:rPr>
          <w:lang w:val="de-DE"/>
        </w:rPr>
        <w:t>Juli 2015</w:t>
      </w:r>
      <w:r w:rsidR="006257A7">
        <w:rPr>
          <w:lang w:val="de-DE"/>
        </w:rPr>
        <w:t xml:space="preserve">. </w:t>
      </w:r>
    </w:p>
    <w:p w:rsidR="00E73313" w:rsidRDefault="00E73313" w:rsidP="00E73313">
      <w:pPr>
        <w:ind w:left="900"/>
        <w:rPr>
          <w:lang w:val="de-DE"/>
        </w:rPr>
      </w:pPr>
    </w:p>
    <w:p w:rsidR="00E328C3" w:rsidRDefault="00E328C3" w:rsidP="00E73313">
      <w:pPr>
        <w:ind w:left="900"/>
        <w:rPr>
          <w:lang w:val="de-DE"/>
        </w:rPr>
      </w:pPr>
    </w:p>
    <w:p w:rsidR="00F25255" w:rsidRDefault="00F25255" w:rsidP="00E73313">
      <w:pPr>
        <w:ind w:left="900"/>
        <w:rPr>
          <w:lang w:val="de-DE"/>
        </w:rPr>
      </w:pPr>
    </w:p>
    <w:p w:rsidR="00E73313" w:rsidRPr="001742B1" w:rsidRDefault="00E73313" w:rsidP="00E73313">
      <w:pPr>
        <w:pStyle w:val="Heading3"/>
        <w:rPr>
          <w:lang w:val="de-DE"/>
        </w:rPr>
      </w:pPr>
      <w:bookmarkStart w:id="1464" w:name="_85_84_SQL"/>
      <w:bookmarkStart w:id="1465" w:name="_78_76_SQL"/>
      <w:bookmarkStart w:id="1466" w:name="_83_SQL_Server®"/>
      <w:bookmarkStart w:id="1467" w:name="Srv_85SQL2008R2Workgroup5ClientAddon"/>
      <w:bookmarkStart w:id="1468" w:name="_Toc336338343"/>
      <w:bookmarkStart w:id="1469" w:name="_Toc363999080"/>
      <w:bookmarkEnd w:id="1464"/>
      <w:bookmarkEnd w:id="1465"/>
      <w:bookmarkEnd w:id="1466"/>
      <w:r w:rsidRPr="001742B1">
        <w:rPr>
          <w:rFonts w:ascii="Tahoma" w:hAnsi="Tahoma"/>
          <w:color w:val="F66400"/>
          <w:sz w:val="22"/>
          <w:vertAlign w:val="superscript"/>
          <w:lang w:val="de-DE"/>
        </w:rPr>
        <w:t>83</w:t>
      </w:r>
      <w:r w:rsidRPr="001742B1">
        <w:rPr>
          <w:rFonts w:ascii="Tahoma" w:hAnsi="Tahoma"/>
          <w:color w:val="F66400"/>
          <w:sz w:val="22"/>
          <w:lang w:val="de-DE"/>
        </w:rPr>
        <w:t xml:space="preserve"> SQL Server</w:t>
      </w:r>
      <w:r w:rsidR="0069040B" w:rsidRPr="001742B1">
        <w:rPr>
          <w:rFonts w:ascii="Tahoma" w:hAnsi="Tahoma"/>
          <w:color w:val="F66400"/>
          <w:sz w:val="22"/>
          <w:vertAlign w:val="superscript"/>
          <w:lang w:val="de-DE"/>
        </w:rPr>
        <w:t>®</w:t>
      </w:r>
      <w:r w:rsidRPr="001742B1">
        <w:rPr>
          <w:rFonts w:ascii="Tahoma" w:hAnsi="Tahoma"/>
          <w:color w:val="F66400"/>
          <w:sz w:val="22"/>
          <w:lang w:val="de-DE"/>
        </w:rPr>
        <w:t xml:space="preserve"> 2008 R2 Workgroup (Add-On für 5 Clients)</w:t>
      </w:r>
      <w:bookmarkEnd w:id="1467"/>
      <w:bookmarkEnd w:id="1468"/>
      <w:bookmarkEnd w:id="1469"/>
    </w:p>
    <w:p w:rsidR="00E73313" w:rsidRPr="001742B1" w:rsidRDefault="00E73313" w:rsidP="00E73313">
      <w:pPr>
        <w:pStyle w:val="EndnoteText"/>
        <w:ind w:left="0"/>
        <w:rPr>
          <w:lang w:val="de-DE"/>
        </w:rPr>
      </w:pPr>
    </w:p>
    <w:p w:rsidR="00E73313" w:rsidRPr="003002D3" w:rsidRDefault="00E73313" w:rsidP="00E73313">
      <w:pPr>
        <w:spacing w:after="60"/>
        <w:ind w:left="720"/>
        <w:rPr>
          <w:lang w:val="de-DE"/>
        </w:rPr>
      </w:pPr>
      <w:r w:rsidRPr="003002D3">
        <w:rPr>
          <w:b/>
          <w:lang w:val="de-DE"/>
        </w:rPr>
        <w:t>Lizenzgewährungen im Zusammenhang mit dem Ende der Lebensdauer von SQL Server Workgroup Edition</w:t>
      </w:r>
    </w:p>
    <w:p w:rsidR="00E73313" w:rsidRPr="003002D3" w:rsidRDefault="00E73313" w:rsidP="00E328C3">
      <w:pPr>
        <w:ind w:left="720"/>
        <w:rPr>
          <w:lang w:val="de-DE"/>
        </w:rPr>
      </w:pPr>
      <w:r w:rsidRPr="003002D3">
        <w:rPr>
          <w:rFonts w:eastAsia="Calibri" w:cs="Tahoma"/>
          <w:szCs w:val="18"/>
          <w:lang w:val="de-DE"/>
        </w:rPr>
        <w:t>SQL Server 2008 R2 Workgroup ist die letzte Version von SQL Server Workgroup Edition</w:t>
      </w:r>
      <w:r w:rsidR="006257A7">
        <w:rPr>
          <w:rFonts w:eastAsia="Calibri" w:cs="Tahoma"/>
          <w:szCs w:val="18"/>
          <w:lang w:val="de-DE"/>
        </w:rPr>
        <w:t xml:space="preserve">. </w:t>
      </w:r>
      <w:r w:rsidRPr="003002D3">
        <w:rPr>
          <w:rFonts w:eastAsia="Calibri" w:cs="Tahoma"/>
          <w:szCs w:val="18"/>
          <w:lang w:val="de-DE"/>
        </w:rPr>
        <w:t>Als Ausnahme sind</w:t>
      </w:r>
      <w:r w:rsidR="00E328C3">
        <w:rPr>
          <w:rFonts w:eastAsia="Calibri" w:cs="Tahoma"/>
          <w:szCs w:val="18"/>
          <w:lang w:val="de-DE"/>
        </w:rPr>
        <w:t> </w:t>
      </w:r>
      <w:r w:rsidRPr="003002D3">
        <w:rPr>
          <w:rFonts w:eastAsia="Calibri" w:cs="Tahoma"/>
          <w:szCs w:val="18"/>
          <w:lang w:val="de-DE"/>
        </w:rPr>
        <w:t>Volumenlizenzkunden, die am 1</w:t>
      </w:r>
      <w:r w:rsidR="006257A7">
        <w:rPr>
          <w:rFonts w:eastAsia="Calibri" w:cs="Tahoma"/>
          <w:szCs w:val="18"/>
          <w:lang w:val="de-DE"/>
        </w:rPr>
        <w:t xml:space="preserve">. </w:t>
      </w:r>
      <w:r w:rsidRPr="003002D3">
        <w:rPr>
          <w:rFonts w:eastAsia="Calibri" w:cs="Tahoma"/>
          <w:szCs w:val="18"/>
          <w:lang w:val="de-DE"/>
        </w:rPr>
        <w:t>April 2012 über aktive Software Assurance für SQL Server 2008 R2 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w:t>
      </w:r>
      <w:r w:rsidR="00E328C3">
        <w:rPr>
          <w:rFonts w:eastAsia="Calibri" w:cs="Tahoma"/>
          <w:szCs w:val="18"/>
          <w:lang w:val="de-DE"/>
        </w:rPr>
        <w:t> </w:t>
      </w:r>
      <w:r w:rsidRPr="003002D3">
        <w:rPr>
          <w:rFonts w:eastAsia="Calibri" w:cs="Tahoma"/>
          <w:szCs w:val="18"/>
          <w:lang w:val="de-DE"/>
        </w:rPr>
        <w:t>Server Standard zu erwerben, wenn die aktuelle Software Assurance abläuft</w:t>
      </w:r>
      <w:r w:rsidR="006257A7">
        <w:rPr>
          <w:rFonts w:eastAsia="Calibri" w:cs="Tahoma"/>
          <w:szCs w:val="18"/>
          <w:lang w:val="de-DE"/>
        </w:rPr>
        <w:t xml:space="preserve">. </w:t>
      </w:r>
      <w:r w:rsidRPr="003002D3">
        <w:rPr>
          <w:rFonts w:eastAsia="Calibri" w:cs="Tahoma"/>
          <w:szCs w:val="18"/>
          <w:lang w:val="de-DE"/>
        </w:rPr>
        <w:t>Außerdem sind Volumenlizenzkunden, die am 1</w:t>
      </w:r>
      <w:r w:rsidR="006257A7">
        <w:rPr>
          <w:rFonts w:eastAsia="Calibri" w:cs="Tahoma"/>
          <w:szCs w:val="18"/>
          <w:lang w:val="de-DE"/>
        </w:rPr>
        <w:t xml:space="preserve">. </w:t>
      </w:r>
      <w:r w:rsidRPr="003002D3">
        <w:rPr>
          <w:rFonts w:eastAsia="Calibri" w:cs="Tahoma"/>
          <w:szCs w:val="18"/>
          <w:lang w:val="de-DE"/>
        </w:rPr>
        <w:t>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w:t>
      </w:r>
      <w:r w:rsidR="006257A7">
        <w:rPr>
          <w:rFonts w:eastAsia="Calibri" w:cs="Tahoma"/>
          <w:szCs w:val="18"/>
          <w:lang w:val="de-DE"/>
        </w:rPr>
        <w:t xml:space="preserve">. </w:t>
      </w:r>
      <w:r w:rsidRPr="003002D3">
        <w:rPr>
          <w:rFonts w:eastAsia="Calibri" w:cs="Tahoma"/>
          <w:szCs w:val="18"/>
          <w:lang w:val="de-DE"/>
        </w:rPr>
        <w:t>Die SQL Server Workgroup-Lizenzen des Kunden sind bei Erwerb von Software Assurance für SQL Server Standard unter diesem Angebot nicht mehr gültig</w:t>
      </w:r>
      <w:r w:rsidR="006257A7">
        <w:rPr>
          <w:rFonts w:eastAsia="Calibri" w:cs="Tahoma"/>
          <w:szCs w:val="18"/>
          <w:lang w:val="de-DE"/>
        </w:rPr>
        <w:t xml:space="preserve">. </w:t>
      </w:r>
    </w:p>
    <w:p w:rsidR="00E73313" w:rsidRPr="003002D3" w:rsidRDefault="00E73313" w:rsidP="00E73313">
      <w:pPr>
        <w:rPr>
          <w:lang w:val="de-DE"/>
        </w:rPr>
      </w:pPr>
    </w:p>
    <w:p w:rsidR="00E73313" w:rsidRPr="003002D3" w:rsidRDefault="00E73313" w:rsidP="00E73313">
      <w:pPr>
        <w:spacing w:after="60"/>
        <w:ind w:left="720"/>
        <w:rPr>
          <w:lang w:val="de-DE"/>
        </w:rPr>
      </w:pPr>
      <w:r w:rsidRPr="003002D3">
        <w:rPr>
          <w:b/>
          <w:lang w:val="de-DE"/>
        </w:rPr>
        <w:t>Für Kunden in der Volksrepublik</w:t>
      </w:r>
      <w:r w:rsidRPr="003002D3">
        <w:rPr>
          <w:lang w:val="de-DE"/>
        </w:rPr>
        <w:t xml:space="preserve"> </w:t>
      </w:r>
      <w:r w:rsidRPr="003002D3">
        <w:rPr>
          <w:b/>
          <w:lang w:val="de-DE"/>
        </w:rPr>
        <w:t>China, die dort Lizenzen und Software Assurance für SQL Server 2008 R2 erwerben</w:t>
      </w:r>
    </w:p>
    <w:p w:rsidR="00E73313" w:rsidRPr="003002D3" w:rsidRDefault="00E73313" w:rsidP="00E73313">
      <w:pPr>
        <w:ind w:left="720"/>
        <w:rPr>
          <w:lang w:val="de-DE"/>
        </w:rPr>
      </w:pPr>
      <w:r w:rsidRPr="003002D3">
        <w:rPr>
          <w:lang w:val="de-DE"/>
        </w:rPr>
        <w:t>Die Verweise auf den 1</w:t>
      </w:r>
      <w:r w:rsidR="006257A7">
        <w:rPr>
          <w:lang w:val="de-DE"/>
        </w:rPr>
        <w:t xml:space="preserve">. </w:t>
      </w:r>
      <w:r w:rsidRPr="003002D3">
        <w:rPr>
          <w:lang w:val="de-DE"/>
        </w:rPr>
        <w:t>April 2012 in dieser Produktliste sind nicht anwendbar</w:t>
      </w:r>
      <w:r w:rsidR="006257A7">
        <w:rPr>
          <w:lang w:val="de-DE"/>
        </w:rPr>
        <w:t xml:space="preserve">. </w:t>
      </w:r>
      <w:r w:rsidRPr="003002D3">
        <w:rPr>
          <w:lang w:val="de-DE"/>
        </w:rPr>
        <w:t>Das anwendbare Datum für diese Kunden ist der 1</w:t>
      </w:r>
      <w:r w:rsidR="006257A7">
        <w:rPr>
          <w:lang w:val="de-DE"/>
        </w:rPr>
        <w:t xml:space="preserve">. </w:t>
      </w:r>
      <w:r w:rsidRPr="003002D3">
        <w:rPr>
          <w:lang w:val="de-DE"/>
        </w:rPr>
        <w:t>Juli 2012</w:t>
      </w:r>
      <w:r w:rsidR="006257A7">
        <w:rPr>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p>
    <w:p w:rsidR="00E73313" w:rsidRPr="003002D3" w:rsidRDefault="00E73313" w:rsidP="00E73313">
      <w:pPr>
        <w:pStyle w:val="Heading3"/>
        <w:ind w:left="720" w:hanging="720"/>
        <w:rPr>
          <w:lang w:val="de-DE"/>
        </w:rPr>
      </w:pPr>
      <w:bookmarkStart w:id="1470" w:name="_79_77_SQL"/>
      <w:bookmarkStart w:id="1471" w:name="_81_SQL_Server®"/>
      <w:bookmarkStart w:id="1472" w:name="_84_SQL_Server®"/>
      <w:bookmarkStart w:id="1473" w:name="_Toc336338344"/>
      <w:bookmarkStart w:id="1474" w:name="_Toc363999081"/>
      <w:bookmarkStart w:id="1475" w:name="Srv_72SQLSvr08R2WorkgroupProc"/>
      <w:bookmarkEnd w:id="1470"/>
      <w:bookmarkEnd w:id="1471"/>
      <w:bookmarkEnd w:id="1472"/>
      <w:r w:rsidRPr="003002D3">
        <w:rPr>
          <w:rFonts w:ascii="Tahoma" w:hAnsi="Tahoma" w:cs="Tahoma"/>
          <w:color w:val="F66400"/>
          <w:sz w:val="22"/>
          <w:vertAlign w:val="superscript"/>
          <w:lang w:val="de-DE"/>
        </w:rPr>
        <w:t>84</w:t>
      </w:r>
      <w:r w:rsidRPr="003002D3">
        <w:rPr>
          <w:rFonts w:ascii="Tahoma" w:hAnsi="Tahoma" w:cs="Tahoma"/>
          <w:color w:val="F66400"/>
          <w:sz w:val="22"/>
          <w:lang w:val="de-DE"/>
        </w:rPr>
        <w:t xml:space="preserve"> SQL Server</w:t>
      </w:r>
      <w:r w:rsidR="0069040B" w:rsidRPr="0069040B">
        <w:rPr>
          <w:rFonts w:ascii="Tahoma" w:hAnsi="Tahoma" w:cs="Tahoma"/>
          <w:color w:val="F66400"/>
          <w:sz w:val="22"/>
          <w:vertAlign w:val="superscript"/>
          <w:lang w:val="de-DE"/>
        </w:rPr>
        <w:t>®</w:t>
      </w:r>
      <w:r w:rsidRPr="003002D3">
        <w:rPr>
          <w:rFonts w:ascii="Tahoma" w:hAnsi="Tahoma" w:cs="Tahoma"/>
          <w:color w:val="F66400"/>
          <w:sz w:val="22"/>
          <w:lang w:val="de-DE"/>
        </w:rPr>
        <w:t xml:space="preserve"> 2008 R2 Workgroup Prozessor</w:t>
      </w:r>
      <w:bookmarkEnd w:id="1473"/>
      <w:bookmarkEnd w:id="1474"/>
    </w:p>
    <w:bookmarkEnd w:id="1475"/>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Lizenzgewährungen im Zusammenhang mit der Änderung des Lizenzmodells</w:t>
      </w:r>
    </w:p>
    <w:p w:rsidR="00E73313" w:rsidRPr="003002D3" w:rsidRDefault="00E73313" w:rsidP="00E328C3">
      <w:pPr>
        <w:ind w:left="720"/>
        <w:rPr>
          <w:lang w:val="de-DE"/>
        </w:rPr>
      </w:pPr>
      <w:r w:rsidRPr="003002D3">
        <w:rPr>
          <w:rFonts w:eastAsia="Calibri" w:cs="Tahoma"/>
          <w:color w:val="000000"/>
          <w:szCs w:val="18"/>
          <w:lang w:val="de-DE"/>
        </w:rPr>
        <w:t>SQL Server 2008 R2 ist die letzte Version von SQL Server, die unter dem Pro-Prozessor-Lizenzmodell lizenziert wird, und die letzte Version von SQL Server Workgroup Edition</w:t>
      </w:r>
      <w:r w:rsidR="006257A7">
        <w:rPr>
          <w:rFonts w:eastAsia="Calibri" w:cs="Tahoma"/>
          <w:color w:val="000000"/>
          <w:szCs w:val="18"/>
          <w:lang w:val="de-DE"/>
        </w:rPr>
        <w:t xml:space="preserve">. </w:t>
      </w:r>
      <w:r w:rsidRPr="003002D3">
        <w:rPr>
          <w:rFonts w:eastAsia="Calibri" w:cs="Tahoma"/>
          <w:color w:val="000000"/>
          <w:szCs w:val="18"/>
          <w:lang w:val="de-DE"/>
        </w:rPr>
        <w:t>Als Ausnahme erhalten Volumenlizenzkunden, die am 1</w:t>
      </w:r>
      <w:r w:rsidR="006257A7">
        <w:rPr>
          <w:rFonts w:eastAsia="Calibri" w:cs="Tahoma"/>
          <w:color w:val="000000"/>
          <w:szCs w:val="18"/>
          <w:lang w:val="de-DE"/>
        </w:rPr>
        <w:t xml:space="preserve">. </w:t>
      </w:r>
      <w:r w:rsidRPr="003002D3">
        <w:rPr>
          <w:rFonts w:eastAsia="Calibri" w:cs="Tahoma"/>
          <w:color w:val="000000"/>
          <w:szCs w:val="18"/>
          <w:lang w:val="de-DE"/>
        </w:rPr>
        <w:t>April 2012 über aktive Software Assurance für SQL Server 2008 R2 Workgroup-Prozessorlizenzen („qualifizierende Lizenzen“) verfügen, die folgenden Optionen</w:t>
      </w:r>
      <w:r w:rsidR="006257A7">
        <w:rPr>
          <w:rFonts w:eastAsia="Calibri" w:cs="Tahoma"/>
          <w:color w:val="000000"/>
          <w:szCs w:val="18"/>
          <w:lang w:val="de-DE"/>
        </w:rPr>
        <w:t xml:space="preserve">. </w:t>
      </w:r>
      <w:r w:rsidRPr="003002D3">
        <w:rPr>
          <w:rFonts w:eastAsia="Calibri" w:cs="Tahoma"/>
          <w:color w:val="000000"/>
          <w:szCs w:val="18"/>
          <w:lang w:val="de-DE"/>
        </w:rPr>
        <w:t>SQL Server 2008 R2 Workgroup-Prozessor</w:t>
      </w:r>
      <w:r w:rsidRPr="003002D3">
        <w:rPr>
          <w:rFonts w:cs="Tahoma"/>
          <w:bCs/>
          <w:color w:val="000000"/>
          <w:szCs w:val="18"/>
          <w:lang w:val="de-DE"/>
        </w:rPr>
        <w:t>lizenzen, die danach unter derselben Beitrittslaufzeit, jedoch vor dem 1</w:t>
      </w:r>
      <w:r w:rsidR="006257A7">
        <w:rPr>
          <w:rFonts w:cs="Tahoma"/>
          <w:bCs/>
          <w:color w:val="000000"/>
          <w:szCs w:val="18"/>
          <w:lang w:val="de-DE"/>
        </w:rPr>
        <w:t xml:space="preserve">. </w:t>
      </w:r>
      <w:r w:rsidRPr="003002D3">
        <w:rPr>
          <w:rFonts w:cs="Tahoma"/>
          <w:bCs/>
          <w:color w:val="000000"/>
          <w:szCs w:val="18"/>
          <w:lang w:val="de-DE"/>
        </w:rPr>
        <w:t>April 2015 im Rahmen eines Konzern-, Konzern-Abonnement-, Open Value Subscription-Prozesses oder</w:t>
      </w:r>
      <w:r w:rsidR="00E328C3">
        <w:rPr>
          <w:rFonts w:cs="Tahoma"/>
          <w:bCs/>
          <w:color w:val="000000"/>
          <w:szCs w:val="18"/>
          <w:lang w:val="de-DE"/>
        </w:rPr>
        <w:t> </w:t>
      </w:r>
      <w:r w:rsidRPr="003002D3">
        <w:rPr>
          <w:rFonts w:cs="Tahoma"/>
          <w:bCs/>
          <w:color w:val="000000"/>
          <w:szCs w:val="18"/>
          <w:lang w:val="de-DE"/>
        </w:rPr>
        <w:t>des geplanten jährlichen True Up-Prozesses des EES-Kunden erworben werden, sind ebenfalls qualifizierende Lizenzen im Sinne dieser Optionen</w:t>
      </w:r>
      <w:r w:rsidR="006257A7">
        <w:rPr>
          <w:rFonts w:cs="Tahoma"/>
          <w:bCs/>
          <w:color w:val="000000"/>
          <w:szCs w:val="18"/>
          <w:lang w:val="de-DE"/>
        </w:rPr>
        <w:t xml:space="preserve">. </w:t>
      </w:r>
      <w:r w:rsidRPr="003002D3">
        <w:rPr>
          <w:rFonts w:cs="Tahoma"/>
          <w:bCs/>
          <w:color w:val="000000"/>
          <w:szCs w:val="18"/>
          <w:lang w:val="de-DE"/>
        </w:rPr>
        <w:t>Lizenzen, die nach dem 1</w:t>
      </w:r>
      <w:r w:rsidR="006257A7">
        <w:rPr>
          <w:rFonts w:cs="Tahoma"/>
          <w:bCs/>
          <w:color w:val="000000"/>
          <w:szCs w:val="18"/>
          <w:lang w:val="de-DE"/>
        </w:rPr>
        <w:t xml:space="preserve">. </w:t>
      </w:r>
      <w:r w:rsidRPr="003002D3">
        <w:rPr>
          <w:rFonts w:cs="Tahoma"/>
          <w:bCs/>
          <w:color w:val="000000"/>
          <w:szCs w:val="18"/>
          <w:lang w:val="de-DE"/>
        </w:rPr>
        <w:t>April 2015 oder unter einer nachfolgenden Beitrittslaufzeit, einem separaten Vertrag oder einem Beitritt erworben werden, dessen Wirksamkeitsdatum nach dem 1</w:t>
      </w:r>
      <w:r w:rsidR="006257A7">
        <w:rPr>
          <w:rFonts w:cs="Tahoma"/>
          <w:bCs/>
          <w:color w:val="000000"/>
          <w:szCs w:val="18"/>
          <w:lang w:val="de-DE"/>
        </w:rPr>
        <w:t xml:space="preserve">. </w:t>
      </w:r>
      <w:r w:rsidRPr="003002D3">
        <w:rPr>
          <w:rFonts w:cs="Tahoma"/>
          <w:bCs/>
          <w:color w:val="000000"/>
          <w:szCs w:val="18"/>
          <w:lang w:val="de-DE"/>
        </w:rPr>
        <w:t>April 2012 liegt, sind keine qualifizierenden Lizenzen</w:t>
      </w:r>
      <w:r w:rsidR="006257A7">
        <w:rPr>
          <w:rFonts w:cs="Tahoma"/>
          <w:bCs/>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Aktuelle Laufzeit</w:t>
      </w:r>
    </w:p>
    <w:p w:rsidR="00E73313" w:rsidRPr="003002D3" w:rsidRDefault="00E73313" w:rsidP="00F25255">
      <w:pPr>
        <w:tabs>
          <w:tab w:val="left" w:pos="720"/>
        </w:tabs>
        <w:ind w:left="720"/>
        <w:rPr>
          <w:lang w:val="de-DE"/>
        </w:rPr>
      </w:pPr>
      <w:r w:rsidRPr="003002D3">
        <w:rPr>
          <w:rFonts w:eastAsia="Calibri" w:cs="Tahoma"/>
          <w:szCs w:val="18"/>
          <w:lang w:val="de-DE"/>
        </w:rPr>
        <w:t>Während der aktuellen Laufzeit ihrer Software Assurance zum 1</w:t>
      </w:r>
      <w:r w:rsidR="006257A7">
        <w:rPr>
          <w:rFonts w:eastAsia="Calibri" w:cs="Tahoma"/>
          <w:szCs w:val="18"/>
          <w:lang w:val="de-DE"/>
        </w:rPr>
        <w:t xml:space="preserve">. </w:t>
      </w:r>
      <w:r w:rsidRPr="003002D3">
        <w:rPr>
          <w:rFonts w:eastAsia="Calibri" w:cs="Tahoma"/>
          <w:szCs w:val="18"/>
          <w:lang w:val="de-DE"/>
        </w:rPr>
        <w:t>April 2012 sind Kunden (einschließlich</w:t>
      </w:r>
      <w:r w:rsidR="00E328C3">
        <w:rPr>
          <w:rFonts w:eastAsia="Calibri" w:cs="Tahoma"/>
          <w:szCs w:val="18"/>
          <w:lang w:val="de-DE"/>
        </w:rPr>
        <w:t> </w:t>
      </w:r>
      <w:r w:rsidRPr="003002D3">
        <w:rPr>
          <w:rFonts w:eastAsia="Calibri" w:cs="Tahoma"/>
          <w:szCs w:val="18"/>
          <w:lang w:val="de-DE"/>
        </w:rPr>
        <w:t>Kunden mit Abonnementverträgen) unter qualifizierenden Lizenzen berechtigt, vorbehaltlich</w:t>
      </w:r>
      <w:r w:rsidR="00E328C3">
        <w:rPr>
          <w:rFonts w:eastAsia="Calibri" w:cs="Tahoma"/>
          <w:szCs w:val="18"/>
          <w:lang w:val="de-DE"/>
        </w:rPr>
        <w:t> </w:t>
      </w:r>
      <w:r w:rsidRPr="003002D3">
        <w:rPr>
          <w:rFonts w:eastAsia="Calibri" w:cs="Tahoma"/>
          <w:szCs w:val="18"/>
          <w:lang w:val="de-DE"/>
        </w:rPr>
        <w:t>der Produktbenutzungsrechte für SQL Server 2008 R2 Standard-Prozessorlizenzen (wie</w:t>
      </w:r>
      <w:r w:rsidR="00F25255">
        <w:rPr>
          <w:rFonts w:eastAsia="Calibri" w:cs="Tahoma"/>
          <w:szCs w:val="18"/>
          <w:lang w:val="de-DE"/>
        </w:rPr>
        <w:t> </w:t>
      </w:r>
      <w:r w:rsidRPr="003002D3">
        <w:rPr>
          <w:rFonts w:eastAsia="Calibri" w:cs="Tahoma"/>
          <w:szCs w:val="18"/>
          <w:lang w:val="de-DE"/>
        </w:rPr>
        <w:t>in</w:t>
      </w:r>
      <w:r w:rsidR="00F25255">
        <w:rPr>
          <w:rFonts w:eastAsia="Calibri" w:cs="Tahoma"/>
          <w:szCs w:val="18"/>
          <w:lang w:val="de-DE"/>
        </w:rPr>
        <w:t> </w:t>
      </w:r>
      <w:r w:rsidRPr="003002D3">
        <w:rPr>
          <w:rFonts w:eastAsia="Calibri" w:cs="Tahoma"/>
          <w:szCs w:val="18"/>
          <w:lang w:val="de-DE"/>
        </w:rPr>
        <w:t>den</w:t>
      </w:r>
      <w:r w:rsidR="00E328C3">
        <w:rPr>
          <w:rFonts w:eastAsia="Calibri" w:cs="Tahoma"/>
          <w:szCs w:val="18"/>
          <w:lang w:val="de-DE"/>
        </w:rPr>
        <w:t> </w:t>
      </w:r>
      <w:r w:rsidRPr="003002D3">
        <w:rPr>
          <w:rFonts w:eastAsia="Calibri" w:cs="Tahoma"/>
          <w:szCs w:val="18"/>
          <w:lang w:val="de-DE"/>
        </w:rPr>
        <w:t>Produktbenutzungsrechten von Januar 2012 dargestellt) auf SQL Server 2012 Standard Core-Software anstelle von SQL Server 2008 R2 Workgroup upzugraden und diese zu verwenden</w:t>
      </w:r>
      <w:r w:rsidR="006257A7">
        <w:rPr>
          <w:rFonts w:eastAsia="Calibri" w:cs="Tahoma"/>
          <w:szCs w:val="18"/>
          <w:lang w:val="de-DE"/>
        </w:rPr>
        <w:t xml:space="preserve">. </w:t>
      </w:r>
      <w:r w:rsidRPr="003002D3">
        <w:rPr>
          <w:rFonts w:eastAsia="Calibri" w:cs="Tahoma"/>
          <w:szCs w:val="18"/>
          <w:lang w:val="de-DE"/>
        </w:rPr>
        <w:t>Zusätzlich werden Kunden Rechte unter Lizenzmobilität durch Software Assurance und Lizenzmobilität innerhalb von Serverfarmen gewährt</w:t>
      </w:r>
      <w:r w:rsidR="006257A7">
        <w:rPr>
          <w:rFonts w:eastAsia="Calibri" w:cs="Tahoma"/>
          <w:szCs w:val="18"/>
          <w:lang w:val="de-DE"/>
        </w:rPr>
        <w:t xml:space="preserve">. </w:t>
      </w:r>
      <w:r w:rsidRPr="003002D3">
        <w:rPr>
          <w:rFonts w:eastAsia="Calibri" w:cs="Tahoma"/>
          <w:szCs w:val="18"/>
          <w:lang w:val="de-DE"/>
        </w:rPr>
        <w:t>Die Lizenzbestimmungen für Lizenzmobilität finden Kunden in den Produktbenutzungsrechten für SQL Server 2012 Standard Core</w:t>
      </w:r>
      <w:r w:rsidR="006257A7">
        <w:rPr>
          <w:rFonts w:eastAsia="Calibri" w:cs="Tahoma"/>
          <w:szCs w:val="18"/>
          <w:lang w:val="de-DE"/>
        </w:rPr>
        <w:t xml:space="preserve">. </w:t>
      </w:r>
    </w:p>
    <w:p w:rsidR="00E73313" w:rsidRDefault="00E73313" w:rsidP="00E73313">
      <w:pPr>
        <w:tabs>
          <w:tab w:val="left" w:pos="720"/>
        </w:tabs>
        <w:ind w:left="720"/>
        <w:rPr>
          <w:lang w:val="de-DE"/>
        </w:rPr>
      </w:pPr>
    </w:p>
    <w:p w:rsidR="00E328C3" w:rsidRDefault="00E328C3" w:rsidP="00E73313">
      <w:pPr>
        <w:tabs>
          <w:tab w:val="left" w:pos="720"/>
        </w:tabs>
        <w:ind w:left="720"/>
        <w:rPr>
          <w:lang w:val="de-DE"/>
        </w:rPr>
      </w:pPr>
    </w:p>
    <w:p w:rsidR="00E328C3" w:rsidRDefault="00E328C3" w:rsidP="00E73313">
      <w:pPr>
        <w:tabs>
          <w:tab w:val="left" w:pos="720"/>
        </w:tabs>
        <w:ind w:left="720"/>
        <w:rPr>
          <w:lang w:val="de-DE"/>
        </w:rPr>
      </w:pPr>
    </w:p>
    <w:p w:rsidR="00E328C3" w:rsidRDefault="00E328C3" w:rsidP="00E73313">
      <w:pPr>
        <w:tabs>
          <w:tab w:val="left" w:pos="720"/>
        </w:tabs>
        <w:ind w:left="720"/>
        <w:rPr>
          <w:lang w:val="de-DE"/>
        </w:rPr>
      </w:pPr>
    </w:p>
    <w:p w:rsidR="00E328C3" w:rsidRDefault="00E328C3" w:rsidP="00E73313">
      <w:pPr>
        <w:tabs>
          <w:tab w:val="left" w:pos="720"/>
        </w:tabs>
        <w:ind w:left="720"/>
        <w:rPr>
          <w:lang w:val="de-DE"/>
        </w:rPr>
      </w:pPr>
    </w:p>
    <w:p w:rsidR="00E328C3" w:rsidRDefault="00E328C3" w:rsidP="00E73313">
      <w:pPr>
        <w:tabs>
          <w:tab w:val="left" w:pos="720"/>
        </w:tabs>
        <w:ind w:left="720"/>
        <w:rPr>
          <w:lang w:val="de-DE"/>
        </w:rPr>
      </w:pPr>
    </w:p>
    <w:p w:rsidR="00E328C3" w:rsidRDefault="00E328C3" w:rsidP="00E73313">
      <w:pPr>
        <w:tabs>
          <w:tab w:val="left" w:pos="720"/>
        </w:tabs>
        <w:ind w:left="720"/>
        <w:rPr>
          <w:lang w:val="de-DE"/>
        </w:rPr>
      </w:pPr>
    </w:p>
    <w:p w:rsidR="00E328C3" w:rsidRDefault="00E328C3" w:rsidP="00E73313">
      <w:pPr>
        <w:tabs>
          <w:tab w:val="left" w:pos="720"/>
        </w:tabs>
        <w:ind w:left="720"/>
        <w:rPr>
          <w:lang w:val="de-DE"/>
        </w:rPr>
      </w:pPr>
    </w:p>
    <w:p w:rsidR="00E328C3" w:rsidRDefault="00E328C3" w:rsidP="00E73313">
      <w:pPr>
        <w:tabs>
          <w:tab w:val="left" w:pos="720"/>
        </w:tabs>
        <w:ind w:left="720"/>
        <w:rPr>
          <w:lang w:val="de-DE"/>
        </w:rPr>
      </w:pPr>
    </w:p>
    <w:p w:rsidR="00E328C3" w:rsidRDefault="00E328C3" w:rsidP="00E73313">
      <w:pPr>
        <w:tabs>
          <w:tab w:val="left" w:pos="720"/>
        </w:tabs>
        <w:ind w:left="720"/>
        <w:rPr>
          <w:lang w:val="de-DE"/>
        </w:rPr>
      </w:pPr>
    </w:p>
    <w:p w:rsidR="00E328C3" w:rsidRPr="003002D3" w:rsidRDefault="00E328C3" w:rsidP="00E73313">
      <w:pPr>
        <w:tabs>
          <w:tab w:val="left" w:pos="720"/>
        </w:tabs>
        <w:ind w:left="720"/>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Erster Verlängerungszeitraum (vor dem 1</w:t>
      </w:r>
      <w:r w:rsidR="006257A7">
        <w:rPr>
          <w:rFonts w:eastAsia="Calibri" w:cs="Tahoma"/>
          <w:b/>
          <w:color w:val="000000"/>
          <w:szCs w:val="18"/>
          <w:lang w:val="de-DE"/>
        </w:rPr>
        <w:t xml:space="preserve">. </w:t>
      </w:r>
      <w:r w:rsidRPr="003002D3">
        <w:rPr>
          <w:rFonts w:eastAsia="Calibri" w:cs="Tahoma"/>
          <w:b/>
          <w:color w:val="000000"/>
          <w:szCs w:val="18"/>
          <w:lang w:val="de-DE"/>
        </w:rPr>
        <w:t>April 2015)</w:t>
      </w:r>
    </w:p>
    <w:p w:rsidR="00E73313" w:rsidRPr="003002D3" w:rsidRDefault="00E73313" w:rsidP="00F25255">
      <w:pPr>
        <w:tabs>
          <w:tab w:val="left" w:pos="720"/>
        </w:tabs>
        <w:ind w:left="720"/>
        <w:rPr>
          <w:lang w:val="de-DE"/>
        </w:rPr>
      </w:pPr>
      <w:r w:rsidRPr="003002D3">
        <w:rPr>
          <w:rFonts w:eastAsia="Calibri" w:cs="Tahoma"/>
          <w:szCs w:val="18"/>
          <w:lang w:val="de-DE"/>
        </w:rPr>
        <w:t>Bei der ersten Software Assurance-Verlängerung am oder nach dem 1</w:t>
      </w:r>
      <w:r w:rsidR="006257A7">
        <w:rPr>
          <w:rFonts w:eastAsia="Calibri" w:cs="Tahoma"/>
          <w:szCs w:val="18"/>
          <w:lang w:val="de-DE"/>
        </w:rPr>
        <w:t xml:space="preserve">. </w:t>
      </w:r>
      <w:r w:rsidRPr="003002D3">
        <w:rPr>
          <w:rFonts w:eastAsia="Calibri" w:cs="Tahoma"/>
          <w:szCs w:val="18"/>
          <w:lang w:val="de-DE"/>
        </w:rPr>
        <w:t>April 2012 (jedoch vor</w:t>
      </w:r>
      <w:r w:rsidR="00F25255">
        <w:rPr>
          <w:rFonts w:eastAsia="Calibri" w:cs="Tahoma"/>
          <w:szCs w:val="18"/>
          <w:lang w:val="de-DE"/>
        </w:rPr>
        <w:t> </w:t>
      </w:r>
      <w:r w:rsidRPr="003002D3">
        <w:rPr>
          <w:rFonts w:eastAsia="Calibri" w:cs="Tahoma"/>
          <w:szCs w:val="18"/>
          <w:lang w:val="de-DE"/>
        </w:rPr>
        <w:t>dem</w:t>
      </w:r>
      <w:r w:rsidR="00F25255">
        <w:rPr>
          <w:rFonts w:eastAsia="Calibri" w:cs="Tahoma"/>
          <w:szCs w:val="18"/>
          <w:lang w:val="de-DE"/>
        </w:rPr>
        <w:t> </w:t>
      </w:r>
      <w:r w:rsidRPr="003002D3">
        <w:rPr>
          <w:rFonts w:eastAsia="Calibri" w:cs="Tahoma"/>
          <w:szCs w:val="18"/>
          <w:lang w:val="de-DE"/>
        </w:rPr>
        <w:t>1</w:t>
      </w:r>
      <w:r w:rsidR="006257A7">
        <w:rPr>
          <w:rFonts w:eastAsia="Calibri" w:cs="Tahoma"/>
          <w:szCs w:val="18"/>
          <w:lang w:val="de-DE"/>
        </w:rPr>
        <w:t xml:space="preserve">. </w:t>
      </w:r>
      <w:r w:rsidRPr="003002D3">
        <w:rPr>
          <w:rFonts w:eastAsia="Calibri" w:cs="Tahoma"/>
          <w:szCs w:val="18"/>
          <w:lang w:val="de-DE"/>
        </w:rPr>
        <w:t>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rsidR="00E73313" w:rsidRPr="003002D3" w:rsidRDefault="00E73313" w:rsidP="00E73313">
      <w:pPr>
        <w:numPr>
          <w:ilvl w:val="0"/>
          <w:numId w:val="117"/>
        </w:numPr>
        <w:tabs>
          <w:tab w:val="left" w:pos="1440"/>
        </w:tabs>
        <w:ind w:left="1440"/>
        <w:rPr>
          <w:lang w:val="de-DE"/>
        </w:rPr>
      </w:pPr>
      <w:r w:rsidRPr="003002D3">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E73313" w:rsidRPr="0062435A" w:rsidRDefault="00E73313" w:rsidP="00E73313">
      <w:pPr>
        <w:numPr>
          <w:ilvl w:val="0"/>
          <w:numId w:val="91"/>
        </w:numPr>
        <w:tabs>
          <w:tab w:val="left" w:pos="1800"/>
        </w:tabs>
        <w:ind w:left="1800"/>
      </w:pPr>
      <w:r>
        <w:rPr>
          <w:rFonts w:eastAsia="Calibri" w:cs="Tahoma"/>
          <w:szCs w:val="18"/>
        </w:rPr>
        <w:t>vier ODER</w:t>
      </w:r>
    </w:p>
    <w:p w:rsidR="00E73313" w:rsidRPr="003002D3" w:rsidRDefault="00E73313" w:rsidP="00E73313">
      <w:pPr>
        <w:numPr>
          <w:ilvl w:val="0"/>
          <w:numId w:val="91"/>
        </w:numPr>
        <w:tabs>
          <w:tab w:val="left" w:pos="1800"/>
        </w:tabs>
        <w:ind w:left="1800"/>
        <w:rPr>
          <w:lang w:val="de-DE"/>
        </w:rPr>
      </w:pPr>
      <w:r w:rsidRPr="003002D3">
        <w:rPr>
          <w:rFonts w:eastAsia="Calibri" w:cs="Tahoma"/>
          <w:szCs w:val="18"/>
          <w:lang w:val="de-DE"/>
        </w:rPr>
        <w:t>der tatsächlichen Anzahl von Cores pro physischem Prozessor multipliziert mit dem entsprechenden Core-Faktor</w:t>
      </w:r>
      <w:r w:rsidR="006257A7">
        <w:rPr>
          <w:rFonts w:eastAsia="Calibri" w:cs="Tahoma"/>
          <w:szCs w:val="18"/>
          <w:lang w:val="de-DE"/>
        </w:rPr>
        <w:t xml:space="preserve">. </w:t>
      </w:r>
      <w:r w:rsidRPr="003002D3">
        <w:rPr>
          <w:rFonts w:eastAsia="Calibri" w:cs="Tahoma"/>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szCs w:val="18"/>
          <w:lang w:val="de-DE"/>
        </w:rPr>
        <w:t xml:space="preserve">. </w:t>
      </w:r>
      <w:r w:rsidRPr="003002D3">
        <w:rPr>
          <w:rFonts w:eastAsia="Calibri" w:cs="Tahoma"/>
          <w:szCs w:val="18"/>
          <w:lang w:val="de-DE"/>
        </w:rPr>
        <w:t xml:space="preserve">) </w:t>
      </w:r>
    </w:p>
    <w:p w:rsidR="00E73313" w:rsidRPr="003002D3" w:rsidRDefault="00E73313" w:rsidP="00E73313">
      <w:pPr>
        <w:numPr>
          <w:ilvl w:val="0"/>
          <w:numId w:val="117"/>
        </w:numPr>
        <w:tabs>
          <w:tab w:val="left" w:pos="1440"/>
        </w:tabs>
        <w:ind w:left="1440"/>
        <w:rPr>
          <w:lang w:val="de-DE"/>
        </w:rPr>
      </w:pPr>
      <w:r w:rsidRPr="003002D3">
        <w:rPr>
          <w:rFonts w:eastAsia="Calibri" w:cs="Tahoma"/>
          <w:szCs w:val="18"/>
          <w:lang w:val="de-DE"/>
        </w:rPr>
        <w:t>eine Anzahl, die der Anzahl von dem Server zugewiesenen qualifizierenden Lizenzen entspricht, die die tatsächliche Anzahl physischer Prozessoren auf dem Server übersteigen, multipliziert mit vier</w:t>
      </w:r>
      <w:r w:rsidR="006257A7">
        <w:rPr>
          <w:rFonts w:eastAsia="Calibri" w:cs="Tahoma"/>
          <w:szCs w:val="18"/>
          <w:lang w:val="de-DE"/>
        </w:rPr>
        <w:t xml:space="preserve">. </w:t>
      </w:r>
    </w:p>
    <w:p w:rsidR="00E73313" w:rsidRPr="003002D3" w:rsidRDefault="00E73313" w:rsidP="00E73313">
      <w:pPr>
        <w:tabs>
          <w:tab w:val="left" w:pos="1440"/>
        </w:tabs>
        <w:rPr>
          <w:lang w:val="de-DE"/>
        </w:rPr>
      </w:pPr>
    </w:p>
    <w:p w:rsidR="00E73313" w:rsidRPr="003002D3" w:rsidRDefault="00E73313" w:rsidP="00E73313">
      <w:pPr>
        <w:spacing w:after="60"/>
        <w:ind w:left="720"/>
        <w:rPr>
          <w:lang w:val="de-DE"/>
        </w:rPr>
      </w:pPr>
      <w:r w:rsidRPr="003002D3">
        <w:rPr>
          <w:rFonts w:eastAsia="Calibri" w:cs="Tahoma"/>
          <w:b/>
          <w:szCs w:val="18"/>
          <w:lang w:val="de-DE"/>
        </w:rPr>
        <w:t>Erster Verlängerungszeitraum (am oder nach dem 1</w:t>
      </w:r>
      <w:r w:rsidR="006257A7">
        <w:rPr>
          <w:rFonts w:eastAsia="Calibri" w:cs="Tahoma"/>
          <w:b/>
          <w:szCs w:val="18"/>
          <w:lang w:val="de-DE"/>
        </w:rPr>
        <w:t xml:space="preserve">. </w:t>
      </w:r>
      <w:r w:rsidRPr="003002D3">
        <w:rPr>
          <w:rFonts w:eastAsia="Calibri" w:cs="Tahoma"/>
          <w:b/>
          <w:szCs w:val="18"/>
          <w:lang w:val="de-DE"/>
        </w:rPr>
        <w:t>April 2015)</w:t>
      </w:r>
    </w:p>
    <w:p w:rsidR="00E73313" w:rsidRPr="003002D3" w:rsidRDefault="00E73313" w:rsidP="00E73313">
      <w:pPr>
        <w:ind w:left="720"/>
        <w:rPr>
          <w:lang w:val="de-DE"/>
        </w:rPr>
      </w:pPr>
      <w:r w:rsidRPr="003002D3">
        <w:rPr>
          <w:rFonts w:eastAsia="Calibri" w:cs="Tahoma"/>
          <w:color w:val="000000"/>
          <w:szCs w:val="18"/>
          <w:lang w:val="de-DE"/>
        </w:rPr>
        <w:t>Kunden, die Software Assurance am oder nach dem 1</w:t>
      </w:r>
      <w:r w:rsidR="006257A7">
        <w:rPr>
          <w:rFonts w:eastAsia="Calibri" w:cs="Tahoma"/>
          <w:color w:val="000000"/>
          <w:szCs w:val="18"/>
          <w:lang w:val="de-DE"/>
        </w:rPr>
        <w:t xml:space="preserve">. </w:t>
      </w:r>
      <w:r w:rsidRPr="003002D3">
        <w:rPr>
          <w:rFonts w:eastAsia="Calibri" w:cs="Tahoma"/>
          <w:color w:val="000000"/>
          <w:szCs w:val="18"/>
          <w:lang w:val="de-DE"/>
        </w:rPr>
        <w:t>April 2015</w:t>
      </w:r>
      <w:r w:rsidRPr="003002D3">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E73313" w:rsidRPr="003002D3" w:rsidRDefault="00E73313" w:rsidP="00E73313">
      <w:pPr>
        <w:ind w:left="720"/>
        <w:rPr>
          <w:lang w:val="de-DE"/>
        </w:rPr>
      </w:pPr>
    </w:p>
    <w:p w:rsidR="00E73313" w:rsidRPr="0062435A" w:rsidRDefault="00E73313" w:rsidP="00E73313">
      <w:pPr>
        <w:numPr>
          <w:ilvl w:val="3"/>
          <w:numId w:val="92"/>
        </w:numPr>
        <w:tabs>
          <w:tab w:val="left" w:pos="1170"/>
        </w:tabs>
        <w:spacing w:after="60"/>
        <w:ind w:left="1440" w:hanging="360"/>
      </w:pPr>
      <w:r w:rsidRPr="003002D3">
        <w:rPr>
          <w:rFonts w:eastAsia="Calibri" w:cs="Tahoma"/>
          <w:szCs w:val="18"/>
          <w:lang w:val="de-DE"/>
        </w:rPr>
        <w:t>Wie im ersten Absatz dieses Produkthinweises dargelegt, sind Lizenzen, die vor dem 1</w:t>
      </w:r>
      <w:r w:rsidR="006257A7">
        <w:rPr>
          <w:rFonts w:eastAsia="Calibri" w:cs="Tahoma"/>
          <w:szCs w:val="18"/>
          <w:lang w:val="de-DE"/>
        </w:rPr>
        <w:t xml:space="preserve">. </w:t>
      </w:r>
      <w:r w:rsidRPr="003002D3">
        <w:rPr>
          <w:rFonts w:eastAsia="Calibri" w:cs="Tahoma"/>
          <w:szCs w:val="18"/>
          <w:lang w:val="de-DE"/>
        </w:rPr>
        <w:t>April 2015 erworben wurden, qualifizierende Lizenzen, und Kunden sind berechtigt, Software Assurance in Übereinstimmung mit den Bestimmungen im Abschnitt oben mit der Überschrift „Erster Verlängerungszeitraum (vor dem 1</w:t>
      </w:r>
      <w:r w:rsidR="006257A7">
        <w:rPr>
          <w:rFonts w:eastAsia="Calibri" w:cs="Tahoma"/>
          <w:szCs w:val="18"/>
          <w:lang w:val="de-DE"/>
        </w:rPr>
        <w:t xml:space="preserve">. </w:t>
      </w:r>
      <w:r>
        <w:rPr>
          <w:rFonts w:eastAsia="Calibri" w:cs="Tahoma"/>
          <w:szCs w:val="18"/>
        </w:rPr>
        <w:t xml:space="preserve">April 2015)“ zu verlängern, und </w:t>
      </w:r>
    </w:p>
    <w:p w:rsidR="00E73313" w:rsidRPr="003002D3" w:rsidRDefault="00E328C3" w:rsidP="00E73313">
      <w:pPr>
        <w:numPr>
          <w:ilvl w:val="3"/>
          <w:numId w:val="92"/>
        </w:numPr>
        <w:tabs>
          <w:tab w:val="left" w:pos="1170"/>
        </w:tabs>
        <w:spacing w:after="60"/>
        <w:ind w:left="1440" w:hanging="360"/>
        <w:rPr>
          <w:lang w:val="de-DE"/>
        </w:rPr>
      </w:pPr>
      <w:r>
        <w:rPr>
          <w:rFonts w:eastAsia="Calibri" w:cs="Tahoma"/>
          <w:szCs w:val="18"/>
          <w:lang w:val="de-DE"/>
        </w:rPr>
        <w:t>F</w:t>
      </w:r>
      <w:r w:rsidR="00E73313" w:rsidRPr="003002D3">
        <w:rPr>
          <w:rFonts w:eastAsia="Calibri" w:cs="Tahoma"/>
          <w:szCs w:val="18"/>
          <w:lang w:val="de-DE"/>
        </w:rPr>
        <w:t>ür Lizenzen, die nach dem 1</w:t>
      </w:r>
      <w:r w:rsidR="006257A7">
        <w:rPr>
          <w:rFonts w:eastAsia="Calibri" w:cs="Tahoma"/>
          <w:szCs w:val="18"/>
          <w:lang w:val="de-DE"/>
        </w:rPr>
        <w:t xml:space="preserve">. </w:t>
      </w:r>
      <w:r w:rsidR="00E73313" w:rsidRPr="003002D3">
        <w:rPr>
          <w:rFonts w:eastAsia="Calibri" w:cs="Tahoma"/>
          <w:szCs w:val="18"/>
          <w:lang w:val="de-DE"/>
        </w:rPr>
        <w:t>April 2015 erworben wurden, sind Kunden berechtigt, Software Assurance für vier SQL Server Standard-Core-Lizenzen zu verlängern, ohne die zugrunde liegenden Core-Lizenzen für jede SQL Server 2008 R2 Workgroup-Prozessorlizenz zu erwerben</w:t>
      </w:r>
      <w:r w:rsidR="006257A7">
        <w:rPr>
          <w:rFonts w:eastAsia="Calibri" w:cs="Tahoma"/>
          <w:szCs w:val="18"/>
          <w:lang w:val="de-DE"/>
        </w:rPr>
        <w:t xml:space="preserve">. </w:t>
      </w:r>
      <w:r w:rsidR="00E73313" w:rsidRPr="003002D3">
        <w:rPr>
          <w:rFonts w:eastAsia="Calibri" w:cs="Tahoma"/>
          <w:szCs w:val="18"/>
          <w:lang w:val="de-DE"/>
        </w:rPr>
        <w:t>Für die kontinuierliche Verwendung von SQL Server 2012 auf Prozessoren, die mehr als vier Core-Lizenzen pro Prozessor erfordern, muss der Kunde die zusätzlichen Core-Lizenzen erwerben</w:t>
      </w:r>
      <w:r w:rsidR="006257A7">
        <w:rPr>
          <w:rFonts w:eastAsia="Calibri" w:cs="Tahoma"/>
          <w:szCs w:val="18"/>
          <w:lang w:val="de-DE"/>
        </w:rPr>
        <w:t xml:space="preserve">. </w:t>
      </w:r>
    </w:p>
    <w:p w:rsidR="00E73313" w:rsidRPr="003002D3" w:rsidRDefault="00E73313" w:rsidP="00E73313">
      <w:pPr>
        <w:numPr>
          <w:ilvl w:val="0"/>
          <w:numId w:val="50"/>
        </w:numPr>
        <w:tabs>
          <w:tab w:val="left" w:pos="720"/>
          <w:tab w:val="left" w:pos="1170"/>
        </w:tabs>
        <w:spacing w:after="60"/>
        <w:ind w:left="1440"/>
        <w:rPr>
          <w:lang w:val="de-DE"/>
        </w:rPr>
      </w:pPr>
      <w:r w:rsidRPr="003002D3">
        <w:rPr>
          <w:rFonts w:eastAsia="Calibri" w:cs="Tahoma"/>
          <w:szCs w:val="18"/>
          <w:lang w:val="de-DE"/>
        </w:rPr>
        <w:t>Die Prozessorlizenzen des Kunden sind bei Erwerb von Software Assurance für Core-Lizenzen unter diesem Angebot nicht mehr gültig</w:t>
      </w:r>
      <w:r w:rsidR="006257A7">
        <w:rPr>
          <w:rFonts w:eastAsia="Calibri" w:cs="Tahoma"/>
          <w:szCs w:val="18"/>
          <w:lang w:val="de-DE"/>
        </w:rPr>
        <w:t xml:space="preserve">. </w:t>
      </w:r>
      <w:r w:rsidRPr="003002D3">
        <w:rPr>
          <w:rFonts w:eastAsia="Calibri" w:cs="Tahoma"/>
          <w:szCs w:val="18"/>
          <w:lang w:val="de-DE"/>
        </w:rPr>
        <w:t>Die Option zum Erwerb von Core-Lizenzen für Software Assurance für SQL Server ist nicht auf die Software Assurance-Verlängerung unter Abonnementprogrammen anwendbar</w:t>
      </w:r>
      <w:r w:rsidR="006257A7">
        <w:rPr>
          <w:rFonts w:eastAsia="Calibri" w:cs="Tahoma"/>
          <w:szCs w:val="18"/>
          <w:lang w:val="de-DE"/>
        </w:rPr>
        <w:t xml:space="preserve">. </w:t>
      </w:r>
    </w:p>
    <w:p w:rsidR="00E73313" w:rsidRPr="003002D3" w:rsidRDefault="00E73313" w:rsidP="00E73313">
      <w:pPr>
        <w:tabs>
          <w:tab w:val="left" w:pos="720"/>
        </w:tabs>
        <w:ind w:left="720"/>
        <w:rPr>
          <w:lang w:val="de-DE"/>
        </w:rPr>
      </w:pPr>
    </w:p>
    <w:p w:rsidR="00E73313" w:rsidRPr="003002D3" w:rsidRDefault="00E73313" w:rsidP="00E73313">
      <w:pPr>
        <w:tabs>
          <w:tab w:val="left" w:pos="720"/>
          <w:tab w:val="left" w:pos="1800"/>
        </w:tabs>
        <w:spacing w:after="60"/>
        <w:ind w:left="720"/>
        <w:rPr>
          <w:lang w:val="de-DE"/>
        </w:rPr>
      </w:pPr>
      <w:r w:rsidRPr="003002D3">
        <w:rPr>
          <w:rFonts w:eastAsia="Calibri" w:cs="Tahoma"/>
          <w:b/>
          <w:szCs w:val="18"/>
          <w:lang w:val="de-DE"/>
        </w:rPr>
        <w:t>Für Kunden mit Software Assurance, die vor dem 1</w:t>
      </w:r>
      <w:r w:rsidR="006257A7">
        <w:rPr>
          <w:rFonts w:eastAsia="Calibri" w:cs="Tahoma"/>
          <w:b/>
          <w:szCs w:val="18"/>
          <w:lang w:val="de-DE"/>
        </w:rPr>
        <w:t xml:space="preserve">. </w:t>
      </w:r>
      <w:r w:rsidRPr="003002D3">
        <w:rPr>
          <w:rFonts w:eastAsia="Calibri" w:cs="Tahoma"/>
          <w:b/>
          <w:szCs w:val="18"/>
          <w:lang w:val="de-DE"/>
        </w:rPr>
        <w:t>April 2015 abläuft, die sich gegen eine Verlängerung entscheiden</w:t>
      </w:r>
    </w:p>
    <w:p w:rsidR="00E73313" w:rsidRPr="003002D3" w:rsidRDefault="00E73313" w:rsidP="00E73313">
      <w:pPr>
        <w:tabs>
          <w:tab w:val="left" w:pos="720"/>
          <w:tab w:val="left" w:pos="1800"/>
        </w:tabs>
        <w:ind w:left="720"/>
        <w:rPr>
          <w:lang w:val="de-DE"/>
        </w:rPr>
      </w:pPr>
      <w:r w:rsidRPr="003002D3">
        <w:rPr>
          <w:rFonts w:eastAsia="Calibri" w:cs="Tahoma"/>
          <w:szCs w:val="18"/>
          <w:lang w:val="de-DE"/>
        </w:rPr>
        <w:t xml:space="preserve">Konzern-Abonnement- </w:t>
      </w:r>
      <w:r w:rsidRPr="003002D3">
        <w:rPr>
          <w:rFonts w:cs="Tahoma"/>
          <w:bCs/>
          <w:color w:val="000000"/>
          <w:szCs w:val="18"/>
          <w:lang w:val="de-DE"/>
        </w:rPr>
        <w:t>und Open Value Subscription-</w:t>
      </w:r>
      <w:r w:rsidRPr="003002D3">
        <w:rPr>
          <w:rFonts w:eastAsia="Calibri" w:cs="Tahoma"/>
          <w:szCs w:val="18"/>
          <w:lang w:val="de-DE"/>
        </w:rPr>
        <w:t>Kunden mit Software Assurance, die vor dem 1</w:t>
      </w:r>
      <w:r w:rsidR="006257A7">
        <w:rPr>
          <w:rFonts w:eastAsia="Calibri" w:cs="Tahoma"/>
          <w:szCs w:val="18"/>
          <w:lang w:val="de-DE"/>
        </w:rPr>
        <w:t xml:space="preserve">. </w:t>
      </w:r>
      <w:r w:rsidRPr="003002D3">
        <w:rPr>
          <w:rFonts w:eastAsia="Calibri" w:cs="Tahoma"/>
          <w:szCs w:val="18"/>
          <w:lang w:val="de-DE"/>
        </w:rPr>
        <w:t>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E73313" w:rsidRPr="003002D3" w:rsidRDefault="00E73313" w:rsidP="00E73313">
      <w:pPr>
        <w:tabs>
          <w:tab w:val="left" w:pos="720"/>
          <w:tab w:val="left" w:pos="1800"/>
        </w:tabs>
        <w:ind w:left="720"/>
        <w:rPr>
          <w:lang w:val="de-DE"/>
        </w:rPr>
      </w:pPr>
    </w:p>
    <w:p w:rsidR="00E73313" w:rsidRPr="009253A8" w:rsidRDefault="00E73313" w:rsidP="00E73313">
      <w:pPr>
        <w:numPr>
          <w:ilvl w:val="0"/>
          <w:numId w:val="58"/>
        </w:numPr>
        <w:tabs>
          <w:tab w:val="left" w:pos="1440"/>
        </w:tabs>
        <w:spacing w:after="60"/>
        <w:ind w:left="1440"/>
        <w:rPr>
          <w:lang w:val="de-DE"/>
        </w:rPr>
      </w:pPr>
      <w:r w:rsidRPr="003002D3">
        <w:rPr>
          <w:rFonts w:eastAsia="Calibri" w:cs="Tahoma"/>
          <w:b/>
          <w:szCs w:val="18"/>
          <w:lang w:val="de-DE"/>
        </w:rPr>
        <w:t>SQL Server 2008 R2 Workgroup:</w:t>
      </w:r>
      <w:r w:rsidRPr="003002D3">
        <w:rPr>
          <w:rFonts w:eastAsia="Calibri" w:cs="Tahoma"/>
          <w:szCs w:val="18"/>
          <w:lang w:val="de-DE"/>
        </w:rPr>
        <w:t xml:space="preserve"> Die kontinuierliche Verwendung dieser Version der Software unterliegt den Produktbenutzungsrechten für SQL Server 2008 R2 Workgroup-Prozessorlizenzen</w:t>
      </w:r>
      <w:r w:rsidR="006257A7">
        <w:rPr>
          <w:rFonts w:eastAsia="Calibri" w:cs="Tahoma"/>
          <w:szCs w:val="18"/>
          <w:lang w:val="de-DE"/>
        </w:rPr>
        <w:t xml:space="preserve">. </w:t>
      </w:r>
      <w:r w:rsidRPr="003002D3">
        <w:rPr>
          <w:rFonts w:eastAsia="Calibri" w:cs="Tahoma"/>
          <w:szCs w:val="18"/>
          <w:lang w:val="de-DE"/>
        </w:rPr>
        <w:t>Kunden verfügen nicht mehr über Rechte unter Lizenzmobilität innerhalb von Serverfarmen oder Lizenzmobilität durch Software Assurance</w:t>
      </w:r>
      <w:r w:rsidR="006257A7">
        <w:rPr>
          <w:rFonts w:eastAsia="Calibri" w:cs="Tahoma"/>
          <w:szCs w:val="18"/>
          <w:lang w:val="de-DE"/>
        </w:rPr>
        <w:t xml:space="preserve">. </w:t>
      </w:r>
    </w:p>
    <w:p w:rsidR="009253A8" w:rsidRDefault="009253A8" w:rsidP="009253A8">
      <w:pPr>
        <w:tabs>
          <w:tab w:val="left" w:pos="1440"/>
        </w:tabs>
        <w:spacing w:after="60"/>
        <w:rPr>
          <w:lang w:val="de-DE"/>
        </w:rPr>
      </w:pPr>
    </w:p>
    <w:p w:rsidR="009253A8" w:rsidRDefault="009253A8" w:rsidP="009253A8">
      <w:pPr>
        <w:tabs>
          <w:tab w:val="left" w:pos="1440"/>
        </w:tabs>
        <w:spacing w:after="60"/>
        <w:rPr>
          <w:lang w:val="de-DE"/>
        </w:rPr>
      </w:pPr>
    </w:p>
    <w:p w:rsidR="009253A8" w:rsidRPr="003002D3" w:rsidRDefault="009253A8" w:rsidP="009253A8">
      <w:pPr>
        <w:tabs>
          <w:tab w:val="left" w:pos="1440"/>
        </w:tabs>
        <w:spacing w:after="60"/>
        <w:rPr>
          <w:lang w:val="de-DE"/>
        </w:rPr>
      </w:pPr>
    </w:p>
    <w:p w:rsidR="00E73313" w:rsidRPr="003002D3" w:rsidRDefault="00E73313" w:rsidP="00E73313">
      <w:pPr>
        <w:numPr>
          <w:ilvl w:val="0"/>
          <w:numId w:val="58"/>
        </w:numPr>
        <w:tabs>
          <w:tab w:val="left" w:pos="1440"/>
        </w:tabs>
        <w:spacing w:after="60"/>
        <w:ind w:left="1440"/>
        <w:rPr>
          <w:lang w:val="de-DE"/>
        </w:rPr>
      </w:pPr>
      <w:r w:rsidRPr="003002D3">
        <w:rPr>
          <w:rFonts w:eastAsia="Calibri" w:cs="Tahoma"/>
          <w:b/>
          <w:szCs w:val="18"/>
          <w:lang w:val="de-DE"/>
        </w:rPr>
        <w:t xml:space="preserve">SQL Server 2012 Standard Core: </w:t>
      </w:r>
      <w:r w:rsidRPr="003002D3">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E73313" w:rsidRPr="003002D3" w:rsidRDefault="00E73313" w:rsidP="00E73313">
      <w:pPr>
        <w:numPr>
          <w:ilvl w:val="1"/>
          <w:numId w:val="58"/>
        </w:numPr>
        <w:tabs>
          <w:tab w:val="left" w:pos="1800"/>
        </w:tabs>
        <w:spacing w:after="60"/>
        <w:ind w:left="1800"/>
        <w:rPr>
          <w:lang w:val="de-DE"/>
        </w:rPr>
      </w:pPr>
      <w:r w:rsidRPr="003002D3">
        <w:rPr>
          <w:rFonts w:eastAsia="Calibri" w:cs="Tahoma"/>
          <w:szCs w:val="18"/>
          <w:lang w:val="de-DE"/>
        </w:rPr>
        <w:t xml:space="preserve">Kunden verfügen nicht mehr über Rechte unter Lizenzmobilität innerhalb von Serverfarmen oder Lizenzmobilität durch Software Assurance, und </w:t>
      </w:r>
    </w:p>
    <w:p w:rsidR="00E73313" w:rsidRPr="0062435A" w:rsidRDefault="00E73313" w:rsidP="00E73313">
      <w:pPr>
        <w:numPr>
          <w:ilvl w:val="1"/>
          <w:numId w:val="58"/>
        </w:numPr>
        <w:tabs>
          <w:tab w:val="left" w:pos="1800"/>
        </w:tabs>
        <w:spacing w:after="60"/>
        <w:ind w:left="1800"/>
      </w:pPr>
      <w:r w:rsidRPr="003002D3">
        <w:rPr>
          <w:rFonts w:eastAsia="Calibri" w:cs="Tahoma"/>
          <w:szCs w:val="18"/>
          <w:lang w:val="de-DE"/>
        </w:rPr>
        <w:t>Neuzuweisungen von Lizenzen unterliegen den Beschränkungen unten unter (i) und (ii) in Bezug auf ihre „Core-Lizenzäquivalenz“</w:t>
      </w:r>
      <w:r w:rsidR="006257A7">
        <w:rPr>
          <w:rFonts w:eastAsia="Calibri" w:cs="Tahoma"/>
          <w:szCs w:val="18"/>
          <w:lang w:val="de-DE"/>
        </w:rPr>
        <w:t xml:space="preserve">. </w:t>
      </w:r>
      <w:r>
        <w:rPr>
          <w:rFonts w:eastAsia="Calibri" w:cs="Tahoma"/>
          <w:szCs w:val="18"/>
        </w:rPr>
        <w:t>Die Core-Lizenzäquivalenz wird wie folgt bestimmt</w:t>
      </w:r>
      <w:r w:rsidR="006257A7">
        <w:rPr>
          <w:rFonts w:eastAsia="Calibri" w:cs="Tahoma"/>
          <w:szCs w:val="18"/>
        </w:rPr>
        <w:t xml:space="preserve">. </w:t>
      </w:r>
    </w:p>
    <w:p w:rsidR="00E73313" w:rsidRPr="003002D3" w:rsidRDefault="00E73313" w:rsidP="00E73313">
      <w:pPr>
        <w:numPr>
          <w:ilvl w:val="2"/>
          <w:numId w:val="58"/>
        </w:numPr>
        <w:tabs>
          <w:tab w:val="left" w:pos="2160"/>
        </w:tabs>
        <w:spacing w:after="60"/>
        <w:rPr>
          <w:lang w:val="de-DE"/>
        </w:rPr>
      </w:pPr>
      <w:r w:rsidRPr="003002D3">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E73313" w:rsidRPr="0062435A" w:rsidRDefault="00E73313" w:rsidP="00E73313">
      <w:pPr>
        <w:numPr>
          <w:ilvl w:val="4"/>
          <w:numId w:val="50"/>
        </w:numPr>
        <w:tabs>
          <w:tab w:val="left" w:pos="2520"/>
        </w:tabs>
        <w:spacing w:after="60"/>
        <w:ind w:left="2520"/>
      </w:pPr>
      <w:r>
        <w:rPr>
          <w:rFonts w:eastAsia="Calibri" w:cs="Tahoma"/>
          <w:szCs w:val="18"/>
        </w:rPr>
        <w:t xml:space="preserve">vier Cores pro Prozessorlizenz ODER </w:t>
      </w:r>
    </w:p>
    <w:p w:rsidR="00E73313" w:rsidRPr="003002D3" w:rsidRDefault="00E73313" w:rsidP="00E73313">
      <w:pPr>
        <w:numPr>
          <w:ilvl w:val="4"/>
          <w:numId w:val="50"/>
        </w:numPr>
        <w:tabs>
          <w:tab w:val="left" w:pos="2520"/>
        </w:tabs>
        <w:spacing w:after="60"/>
        <w:ind w:left="2520"/>
        <w:rPr>
          <w:lang w:val="de-DE"/>
        </w:rPr>
      </w:pPr>
      <w:r w:rsidRPr="003002D3">
        <w:rPr>
          <w:rFonts w:eastAsia="Calibri" w:cs="Tahoma"/>
          <w:szCs w:val="18"/>
          <w:lang w:val="de-DE"/>
        </w:rPr>
        <w:t>einer Anzahl von Cores pro Prozessorlizenz basierend auf der tatsächlichen Anzahl von Cores pro physischem Prozessor multipliziert mit dem entsprechenden Core-Faktor</w:t>
      </w:r>
      <w:r w:rsidR="006257A7">
        <w:rPr>
          <w:rFonts w:eastAsia="Calibri" w:cs="Tahoma"/>
          <w:szCs w:val="18"/>
          <w:lang w:val="de-DE"/>
        </w:rPr>
        <w:t xml:space="preserve">. </w:t>
      </w:r>
      <w:r w:rsidRPr="003002D3">
        <w:rPr>
          <w:rFonts w:eastAsia="Calibri" w:cs="Tahoma"/>
          <w:szCs w:val="18"/>
          <w:lang w:val="de-DE"/>
        </w:rPr>
        <w:t>(Wenn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szCs w:val="18"/>
          <w:lang w:val="de-DE"/>
        </w:rPr>
        <w:t xml:space="preserve">. </w:t>
      </w:r>
      <w:r w:rsidRPr="003002D3">
        <w:rPr>
          <w:rFonts w:eastAsia="Calibri" w:cs="Tahoma"/>
          <w:szCs w:val="18"/>
          <w:lang w:val="de-DE"/>
        </w:rPr>
        <w:t xml:space="preserve">) </w:t>
      </w:r>
    </w:p>
    <w:p w:rsidR="00E73313" w:rsidRPr="003002D3" w:rsidRDefault="00E73313" w:rsidP="00E73313">
      <w:pPr>
        <w:numPr>
          <w:ilvl w:val="1"/>
          <w:numId w:val="58"/>
        </w:numPr>
        <w:tabs>
          <w:tab w:val="left" w:pos="1800"/>
        </w:tabs>
        <w:spacing w:after="60"/>
        <w:ind w:left="1800"/>
        <w:rPr>
          <w:lang w:val="de-DE"/>
        </w:rPr>
      </w:pPr>
      <w:r w:rsidRPr="003002D3">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r w:rsidR="006257A7">
        <w:rPr>
          <w:rFonts w:eastAsia="Calibri" w:cs="Tahoma"/>
          <w:szCs w:val="18"/>
          <w:lang w:val="de-DE"/>
        </w:rPr>
        <w:t xml:space="preserve">. </w:t>
      </w:r>
    </w:p>
    <w:p w:rsidR="00E73313" w:rsidRPr="003002D3" w:rsidRDefault="00E73313" w:rsidP="009253A8">
      <w:pPr>
        <w:numPr>
          <w:ilvl w:val="1"/>
          <w:numId w:val="58"/>
        </w:numPr>
        <w:tabs>
          <w:tab w:val="left" w:pos="1800"/>
        </w:tabs>
        <w:spacing w:after="60"/>
        <w:ind w:left="1800"/>
        <w:rPr>
          <w:lang w:val="de-DE"/>
        </w:rPr>
      </w:pPr>
      <w:r w:rsidRPr="003002D3">
        <w:rPr>
          <w:rFonts w:eastAsia="Calibri" w:cs="Tahoma"/>
          <w:szCs w:val="18"/>
          <w:lang w:val="de-DE"/>
        </w:rPr>
        <w:t>Kunden sind berechtigt, Lizenzen einem anderen Server neu zuzuweisen</w:t>
      </w:r>
      <w:r w:rsidR="006257A7">
        <w:rPr>
          <w:rFonts w:eastAsia="Calibri" w:cs="Tahoma"/>
          <w:szCs w:val="18"/>
          <w:lang w:val="de-DE"/>
        </w:rPr>
        <w:t xml:space="preserve">. </w:t>
      </w:r>
      <w:r w:rsidRPr="003002D3">
        <w:rPr>
          <w:rFonts w:eastAsia="Calibri" w:cs="Tahoma"/>
          <w:szCs w:val="18"/>
          <w:lang w:val="de-DE"/>
        </w:rPr>
        <w:t>Wenn der Kunde jedoch eine Lizenz einem anderen Server neu zuweist, muss der Kunde die Nutzungsrechte für</w:t>
      </w:r>
      <w:r w:rsidR="009253A8">
        <w:rPr>
          <w:rFonts w:eastAsia="Calibri" w:cs="Tahoma"/>
          <w:szCs w:val="18"/>
          <w:lang w:val="de-DE"/>
        </w:rPr>
        <w:t> </w:t>
      </w:r>
      <w:r w:rsidRPr="003002D3">
        <w:rPr>
          <w:rFonts w:eastAsia="Calibri" w:cs="Tahoma"/>
          <w:szCs w:val="18"/>
          <w:lang w:val="de-DE"/>
        </w:rPr>
        <w:t>SQL Server 2012 befolgen</w:t>
      </w:r>
      <w:r w:rsidR="006257A7">
        <w:rPr>
          <w:rFonts w:eastAsia="Calibri" w:cs="Tahoma"/>
          <w:szCs w:val="18"/>
          <w:lang w:val="de-DE"/>
        </w:rPr>
        <w:t xml:space="preserve">. </w:t>
      </w:r>
      <w:r w:rsidRPr="003002D3">
        <w:rPr>
          <w:rFonts w:eastAsia="Calibri" w:cs="Tahoma"/>
          <w:szCs w:val="18"/>
          <w:lang w:val="de-DE"/>
        </w:rPr>
        <w:t>Beim Zuweisen von Core-Lizenzen zu Servern unter den Nutzungsrechten für SQL 2012 ist der Kunde berechtigt, die Core-Äquivalenz seiner vorhandenen Lizenzen mit zusätzlichen Core-Lizenzen für SQL Server 2012 zu kombinieren</w:t>
      </w:r>
      <w:r w:rsidR="006257A7">
        <w:rPr>
          <w:rFonts w:eastAsia="Calibri" w:cs="Tahoma"/>
          <w:szCs w:val="18"/>
          <w:lang w:val="de-DE"/>
        </w:rPr>
        <w:t xml:space="preserve">. </w:t>
      </w:r>
    </w:p>
    <w:p w:rsidR="00E73313" w:rsidRPr="003002D3" w:rsidRDefault="00E73313" w:rsidP="00E73313">
      <w:pPr>
        <w:numPr>
          <w:ilvl w:val="1"/>
          <w:numId w:val="58"/>
        </w:numPr>
        <w:tabs>
          <w:tab w:val="left" w:pos="1800"/>
        </w:tabs>
        <w:spacing w:after="60"/>
        <w:ind w:left="1800"/>
        <w:rPr>
          <w:lang w:val="de-DE"/>
        </w:rPr>
      </w:pPr>
      <w:r w:rsidRPr="003002D3">
        <w:rPr>
          <w:rFonts w:eastAsia="Calibri" w:cs="Tahoma"/>
          <w:szCs w:val="18"/>
          <w:lang w:val="de-DE"/>
        </w:rPr>
        <w:t>Die angenommene Core-Lizenzäquivalenz der Kunden impliziert nicht, dass sie berechtigt sind, eine einzelne Prozessorlizenz Cores auf zwei oder mehr Prozessoren zuzuweisen</w:t>
      </w:r>
      <w:r w:rsidR="006257A7">
        <w:rPr>
          <w:rFonts w:eastAsia="Calibri" w:cs="Tahoma"/>
          <w:szCs w:val="18"/>
          <w:lang w:val="de-DE"/>
        </w:rPr>
        <w:t xml:space="preserve">. </w:t>
      </w:r>
    </w:p>
    <w:p w:rsidR="00E73313" w:rsidRPr="003002D3" w:rsidRDefault="00E73313" w:rsidP="00E73313">
      <w:pPr>
        <w:tabs>
          <w:tab w:val="left" w:pos="1800"/>
        </w:tabs>
        <w:spacing w:after="60"/>
        <w:rPr>
          <w:lang w:val="de-DE"/>
        </w:rPr>
      </w:pPr>
    </w:p>
    <w:p w:rsidR="00E73313" w:rsidRPr="003002D3" w:rsidRDefault="00E73313" w:rsidP="00E73313">
      <w:pPr>
        <w:tabs>
          <w:tab w:val="left" w:pos="720"/>
        </w:tabs>
        <w:spacing w:after="60"/>
        <w:ind w:left="720"/>
        <w:rPr>
          <w:lang w:val="de-DE"/>
        </w:rPr>
      </w:pPr>
      <w:r w:rsidRPr="003002D3">
        <w:rPr>
          <w:rFonts w:eastAsia="Calibri" w:cs="Tahoma"/>
          <w:b/>
          <w:color w:val="000000"/>
          <w:szCs w:val="18"/>
          <w:lang w:val="de-DE"/>
        </w:rPr>
        <w:t>Für Kunden mit Software Assurance, die am oder nach dem 1</w:t>
      </w:r>
      <w:r w:rsidR="006257A7">
        <w:rPr>
          <w:rFonts w:eastAsia="Calibri" w:cs="Tahoma"/>
          <w:b/>
          <w:color w:val="000000"/>
          <w:szCs w:val="18"/>
          <w:lang w:val="de-DE"/>
        </w:rPr>
        <w:t xml:space="preserve">. </w:t>
      </w:r>
      <w:r w:rsidRPr="003002D3">
        <w:rPr>
          <w:rFonts w:eastAsia="Calibri" w:cs="Tahoma"/>
          <w:b/>
          <w:color w:val="000000"/>
          <w:szCs w:val="18"/>
          <w:lang w:val="de-DE"/>
        </w:rPr>
        <w:t>April 2015 abläuft, die sich gegen eine Verlängerung entscheiden</w:t>
      </w:r>
    </w:p>
    <w:p w:rsidR="00E73313" w:rsidRPr="003002D3" w:rsidRDefault="00E73313" w:rsidP="00E73313">
      <w:pPr>
        <w:tabs>
          <w:tab w:val="left" w:pos="720"/>
        </w:tabs>
        <w:ind w:left="720"/>
        <w:rPr>
          <w:lang w:val="de-DE"/>
        </w:rPr>
      </w:pPr>
      <w:r w:rsidRPr="003002D3">
        <w:rPr>
          <w:rFonts w:eastAsia="Calibri" w:cs="Tahoma"/>
          <w:color w:val="000000"/>
          <w:szCs w:val="18"/>
          <w:lang w:val="de-DE"/>
        </w:rPr>
        <w:t xml:space="preserve">Konzern-Abonnement- </w:t>
      </w:r>
      <w:r w:rsidRPr="003002D3">
        <w:rPr>
          <w:rFonts w:cs="Tahoma"/>
          <w:bCs/>
          <w:color w:val="000000"/>
          <w:szCs w:val="18"/>
          <w:lang w:val="de-DE"/>
        </w:rPr>
        <w:t>und Open Value Subscription-</w:t>
      </w:r>
      <w:r w:rsidRPr="003002D3">
        <w:rPr>
          <w:rFonts w:eastAsia="Calibri" w:cs="Tahoma"/>
          <w:color w:val="000000"/>
          <w:szCs w:val="18"/>
          <w:lang w:val="de-DE"/>
        </w:rPr>
        <w:t>Kunden mit Software Assurance, die am oder nach dem 1</w:t>
      </w:r>
      <w:r w:rsidR="006257A7">
        <w:rPr>
          <w:rFonts w:eastAsia="Calibri" w:cs="Tahoma"/>
          <w:color w:val="000000"/>
          <w:szCs w:val="18"/>
          <w:lang w:val="de-DE"/>
        </w:rPr>
        <w:t xml:space="preserve">. </w:t>
      </w:r>
      <w:r w:rsidRPr="003002D3">
        <w:rPr>
          <w:rFonts w:eastAsia="Calibri" w:cs="Tahoma"/>
          <w:color w:val="000000"/>
          <w:szCs w:val="18"/>
          <w:lang w:val="de-DE"/>
        </w:rPr>
        <w:t xml:space="preserve">April 2015 abläuft, die sich für ein Buy-Out von Prozessorlizenzen entscheiden, sowie sonstige Kunden, die zeitlich unbeschränkte Lizenzen unter ihrem Vertrag erwerben, haben folgende Optionen: </w:t>
      </w:r>
    </w:p>
    <w:p w:rsidR="00E73313" w:rsidRPr="003002D3" w:rsidRDefault="00E73313" w:rsidP="00E73313">
      <w:pPr>
        <w:tabs>
          <w:tab w:val="left" w:pos="720"/>
        </w:tabs>
        <w:ind w:left="720"/>
        <w:rPr>
          <w:lang w:val="de-DE"/>
        </w:rPr>
      </w:pPr>
    </w:p>
    <w:p w:rsidR="00E73313" w:rsidRPr="003002D3" w:rsidRDefault="00E73313" w:rsidP="009253A8">
      <w:pPr>
        <w:numPr>
          <w:ilvl w:val="2"/>
          <w:numId w:val="50"/>
        </w:numPr>
        <w:spacing w:after="60"/>
        <w:ind w:left="1440"/>
        <w:rPr>
          <w:lang w:val="de-DE"/>
        </w:rPr>
      </w:pPr>
      <w:r w:rsidRPr="003002D3">
        <w:rPr>
          <w:rFonts w:eastAsia="Calibri" w:cs="Tahoma"/>
          <w:szCs w:val="18"/>
          <w:lang w:val="de-DE"/>
        </w:rPr>
        <w:t>Wie im ersten Absatz dieses Produkthinweises dargelegt, sind vor dem 1</w:t>
      </w:r>
      <w:r w:rsidR="006257A7">
        <w:rPr>
          <w:rFonts w:eastAsia="Calibri" w:cs="Tahoma"/>
          <w:szCs w:val="18"/>
          <w:lang w:val="de-DE"/>
        </w:rPr>
        <w:t xml:space="preserve">. </w:t>
      </w:r>
      <w:r w:rsidRPr="003002D3">
        <w:rPr>
          <w:rFonts w:eastAsia="Calibri" w:cs="Tahoma"/>
          <w:szCs w:val="18"/>
          <w:lang w:val="de-DE"/>
        </w:rPr>
        <w:t>April 2015 erworbene Lizenzen qualifizierende Lizenzen, und Kunden sind berechtigt, SQL Server 2012 in Übereinstimmung mit den Bestimmungen im Abschnitt oben mit der Überschrift „Für Kunden mit</w:t>
      </w:r>
      <w:r w:rsidR="009253A8">
        <w:rPr>
          <w:rFonts w:eastAsia="Calibri" w:cs="Tahoma"/>
          <w:szCs w:val="18"/>
          <w:lang w:val="de-DE"/>
        </w:rPr>
        <w:t> </w:t>
      </w:r>
      <w:r w:rsidRPr="003002D3">
        <w:rPr>
          <w:rFonts w:eastAsia="Calibri" w:cs="Tahoma"/>
          <w:szCs w:val="18"/>
          <w:lang w:val="de-DE"/>
        </w:rPr>
        <w:t>Software Assurance, die vor dem 1</w:t>
      </w:r>
      <w:r w:rsidR="006257A7">
        <w:rPr>
          <w:rFonts w:eastAsia="Calibri" w:cs="Tahoma"/>
          <w:szCs w:val="18"/>
          <w:lang w:val="de-DE"/>
        </w:rPr>
        <w:t xml:space="preserve">. </w:t>
      </w:r>
      <w:r w:rsidRPr="003002D3">
        <w:rPr>
          <w:rFonts w:eastAsia="Calibri" w:cs="Tahoma"/>
          <w:szCs w:val="18"/>
          <w:lang w:val="de-DE"/>
        </w:rPr>
        <w:t xml:space="preserve">April 2015 abläuft, die sich gegen eine Verlängerung entscheiden“ weiterhin zu verwenden, und </w:t>
      </w:r>
    </w:p>
    <w:p w:rsidR="00E73313" w:rsidRPr="003002D3" w:rsidRDefault="009253A8" w:rsidP="00E73313">
      <w:pPr>
        <w:numPr>
          <w:ilvl w:val="2"/>
          <w:numId w:val="50"/>
        </w:numPr>
        <w:spacing w:after="60"/>
        <w:ind w:left="1440"/>
        <w:rPr>
          <w:lang w:val="de-DE"/>
        </w:rPr>
      </w:pPr>
      <w:r>
        <w:rPr>
          <w:rFonts w:eastAsia="Calibri" w:cs="Tahoma"/>
          <w:color w:val="000000"/>
          <w:szCs w:val="18"/>
          <w:lang w:val="de-DE"/>
        </w:rPr>
        <w:t>F</w:t>
      </w:r>
      <w:r w:rsidR="00E73313" w:rsidRPr="003002D3">
        <w:rPr>
          <w:rFonts w:eastAsia="Calibri" w:cs="Tahoma"/>
          <w:color w:val="000000"/>
          <w:szCs w:val="18"/>
          <w:lang w:val="de-DE"/>
        </w:rPr>
        <w:t>ür Lizenzen, die nach dem 1</w:t>
      </w:r>
      <w:r w:rsidR="006257A7">
        <w:rPr>
          <w:rFonts w:eastAsia="Calibri" w:cs="Tahoma"/>
          <w:color w:val="000000"/>
          <w:szCs w:val="18"/>
          <w:lang w:val="de-DE"/>
        </w:rPr>
        <w:t xml:space="preserve">. </w:t>
      </w:r>
      <w:r w:rsidR="00E73313" w:rsidRPr="003002D3">
        <w:rPr>
          <w:rFonts w:eastAsia="Calibri" w:cs="Tahoma"/>
          <w:color w:val="000000"/>
          <w:szCs w:val="18"/>
          <w:lang w:val="de-DE"/>
        </w:rPr>
        <w:t>April 2015 erworben wurden, verfügt die Prozessorlizenz von Kunden über eine Core-Äquivalenz von vier Core-Lizenzen für SQL Server 2012 Standard</w:t>
      </w:r>
      <w:r w:rsidR="006257A7">
        <w:rPr>
          <w:rFonts w:eastAsia="Calibri" w:cs="Tahoma"/>
          <w:color w:val="000000"/>
          <w:szCs w:val="18"/>
          <w:lang w:val="de-DE"/>
        </w:rPr>
        <w:t xml:space="preserve">. </w:t>
      </w:r>
      <w:r w:rsidR="00E73313" w:rsidRPr="003002D3">
        <w:rPr>
          <w:rFonts w:eastAsia="Calibri" w:cs="Tahoma"/>
          <w:color w:val="000000"/>
          <w:szCs w:val="18"/>
          <w:lang w:val="de-DE"/>
        </w:rPr>
        <w:t>Für die kontinuierliche Verwendung von SQL Server 2012 auf Prozessoren, die mehr als vier Core-Lizenzen pro Prozessor erfordern, muss der Kunde die zusätzlichen Core-Lizenzen erwerben</w:t>
      </w:r>
      <w:r w:rsidR="006257A7">
        <w:rPr>
          <w:rFonts w:eastAsia="Calibri" w:cs="Tahoma"/>
          <w:color w:val="000000"/>
          <w:szCs w:val="18"/>
          <w:lang w:val="de-DE"/>
        </w:rPr>
        <w:t xml:space="preserve">. </w:t>
      </w:r>
    </w:p>
    <w:p w:rsidR="00E73313" w:rsidRPr="003002D3" w:rsidRDefault="00E73313" w:rsidP="00E73313">
      <w:pPr>
        <w:rPr>
          <w:lang w:val="de-DE"/>
        </w:rPr>
      </w:pPr>
    </w:p>
    <w:p w:rsidR="00E73313" w:rsidRPr="003002D3" w:rsidRDefault="00E73313" w:rsidP="00E73313">
      <w:pPr>
        <w:pStyle w:val="ListParagraph"/>
        <w:tabs>
          <w:tab w:val="left" w:pos="720"/>
        </w:tabs>
        <w:spacing w:after="60"/>
        <w:contextualSpacing w:val="0"/>
        <w:rPr>
          <w:lang w:val="de-DE"/>
        </w:rPr>
      </w:pPr>
      <w:r w:rsidRPr="003002D3">
        <w:rPr>
          <w:rFonts w:ascii="Tahoma" w:hAnsi="Tahoma" w:cs="Tahoma"/>
          <w:b/>
          <w:color w:val="000000"/>
          <w:sz w:val="18"/>
          <w:szCs w:val="18"/>
          <w:lang w:val="de-DE"/>
        </w:rPr>
        <w:t>Für Kunden in der Volksrepublik</w:t>
      </w:r>
      <w:r w:rsidRPr="003002D3">
        <w:rPr>
          <w:rFonts w:ascii="Tahoma" w:hAnsi="Tahoma" w:cs="Tahoma"/>
          <w:color w:val="000000"/>
          <w:sz w:val="18"/>
          <w:szCs w:val="18"/>
          <w:lang w:val="de-DE"/>
        </w:rPr>
        <w:t xml:space="preserve"> </w:t>
      </w:r>
      <w:r w:rsidRPr="003002D3">
        <w:rPr>
          <w:rFonts w:ascii="Tahoma" w:hAnsi="Tahoma" w:cs="Tahoma"/>
          <w:b/>
          <w:color w:val="000000"/>
          <w:sz w:val="18"/>
          <w:szCs w:val="18"/>
          <w:lang w:val="de-DE"/>
        </w:rPr>
        <w:t>China, die dort Prozessorlizenzen und Software Assurance für SQL Server 2008 R2 erwerben</w:t>
      </w:r>
    </w:p>
    <w:p w:rsidR="00E73313" w:rsidRPr="003002D3" w:rsidRDefault="00E73313" w:rsidP="009253A8">
      <w:pPr>
        <w:pStyle w:val="ListParagraph"/>
        <w:tabs>
          <w:tab w:val="left" w:pos="720"/>
        </w:tabs>
        <w:contextualSpacing w:val="0"/>
        <w:rPr>
          <w:lang w:val="de-DE"/>
        </w:rPr>
      </w:pPr>
      <w:r w:rsidRPr="003002D3">
        <w:rPr>
          <w:rFonts w:ascii="Tahoma" w:hAnsi="Tahoma" w:cs="Tahoma"/>
          <w:color w:val="000000"/>
          <w:sz w:val="18"/>
          <w:szCs w:val="18"/>
          <w:lang w:val="de-DE"/>
        </w:rPr>
        <w:t>Die Verweise auf den 1</w:t>
      </w:r>
      <w:r w:rsidR="006257A7">
        <w:rPr>
          <w:rFonts w:ascii="Tahoma" w:hAnsi="Tahoma" w:cs="Tahoma"/>
          <w:color w:val="000000"/>
          <w:sz w:val="18"/>
          <w:szCs w:val="18"/>
          <w:lang w:val="de-DE"/>
        </w:rPr>
        <w:t xml:space="preserve">. </w:t>
      </w:r>
      <w:r w:rsidRPr="003002D3">
        <w:rPr>
          <w:rFonts w:ascii="Tahoma" w:hAnsi="Tahoma" w:cs="Tahoma"/>
          <w:color w:val="000000"/>
          <w:sz w:val="18"/>
          <w:szCs w:val="18"/>
          <w:lang w:val="de-DE"/>
        </w:rPr>
        <w:t>April 2012 und den 1</w:t>
      </w:r>
      <w:r w:rsidR="006257A7">
        <w:rPr>
          <w:rFonts w:ascii="Tahoma" w:hAnsi="Tahoma" w:cs="Tahoma"/>
          <w:color w:val="000000"/>
          <w:sz w:val="18"/>
          <w:szCs w:val="18"/>
          <w:lang w:val="de-DE"/>
        </w:rPr>
        <w:t xml:space="preserve">. </w:t>
      </w:r>
      <w:r w:rsidRPr="003002D3">
        <w:rPr>
          <w:rFonts w:ascii="Tahoma" w:hAnsi="Tahoma" w:cs="Tahoma"/>
          <w:color w:val="000000"/>
          <w:sz w:val="18"/>
          <w:szCs w:val="18"/>
          <w:lang w:val="de-DE"/>
        </w:rPr>
        <w:t>April 2015 in dieser Produktliste sind nicht anwendbar</w:t>
      </w:r>
      <w:r w:rsidR="006257A7">
        <w:rPr>
          <w:rFonts w:ascii="Tahoma" w:hAnsi="Tahoma" w:cs="Tahoma"/>
          <w:color w:val="000000"/>
          <w:sz w:val="18"/>
          <w:szCs w:val="18"/>
          <w:lang w:val="de-DE"/>
        </w:rPr>
        <w:t xml:space="preserve">. </w:t>
      </w:r>
      <w:r w:rsidRPr="003002D3">
        <w:rPr>
          <w:rFonts w:ascii="Tahoma" w:hAnsi="Tahoma" w:cs="Tahoma"/>
          <w:color w:val="000000"/>
          <w:sz w:val="18"/>
          <w:szCs w:val="18"/>
          <w:lang w:val="de-DE"/>
        </w:rPr>
        <w:t>Die</w:t>
      </w:r>
      <w:r w:rsidR="009253A8">
        <w:rPr>
          <w:rFonts w:ascii="Tahoma" w:hAnsi="Tahoma" w:cs="Tahoma"/>
          <w:color w:val="000000"/>
          <w:sz w:val="18"/>
          <w:szCs w:val="18"/>
          <w:lang w:val="de-DE"/>
        </w:rPr>
        <w:t> </w:t>
      </w:r>
      <w:r w:rsidRPr="003002D3">
        <w:rPr>
          <w:rFonts w:ascii="Tahoma" w:hAnsi="Tahoma" w:cs="Tahoma"/>
          <w:color w:val="000000"/>
          <w:sz w:val="18"/>
          <w:szCs w:val="18"/>
          <w:lang w:val="de-DE"/>
        </w:rPr>
        <w:t>anwendbaren Daten für diese Kunden sind der 1</w:t>
      </w:r>
      <w:r w:rsidR="006257A7">
        <w:rPr>
          <w:rFonts w:ascii="Tahoma" w:hAnsi="Tahoma" w:cs="Tahoma"/>
          <w:color w:val="000000"/>
          <w:sz w:val="18"/>
          <w:szCs w:val="18"/>
          <w:lang w:val="de-DE"/>
        </w:rPr>
        <w:t xml:space="preserve">. </w:t>
      </w:r>
      <w:r w:rsidRPr="003002D3">
        <w:rPr>
          <w:rFonts w:ascii="Tahoma" w:hAnsi="Tahoma" w:cs="Tahoma"/>
          <w:color w:val="000000"/>
          <w:sz w:val="18"/>
          <w:szCs w:val="18"/>
          <w:lang w:val="de-DE"/>
        </w:rPr>
        <w:t>Juli 2012 bzw</w:t>
      </w:r>
      <w:r w:rsidR="006257A7">
        <w:rPr>
          <w:rFonts w:ascii="Tahoma" w:hAnsi="Tahoma" w:cs="Tahoma"/>
          <w:color w:val="000000"/>
          <w:sz w:val="18"/>
          <w:szCs w:val="18"/>
          <w:lang w:val="de-DE"/>
        </w:rPr>
        <w:t xml:space="preserve">. </w:t>
      </w:r>
      <w:r w:rsidRPr="003002D3">
        <w:rPr>
          <w:rFonts w:ascii="Tahoma" w:hAnsi="Tahoma" w:cs="Tahoma"/>
          <w:color w:val="000000"/>
          <w:sz w:val="18"/>
          <w:szCs w:val="18"/>
          <w:lang w:val="de-DE"/>
        </w:rPr>
        <w:t>der 1</w:t>
      </w:r>
      <w:r w:rsidR="006257A7">
        <w:rPr>
          <w:rFonts w:ascii="Tahoma" w:hAnsi="Tahoma" w:cs="Tahoma"/>
          <w:color w:val="000000"/>
          <w:sz w:val="18"/>
          <w:szCs w:val="18"/>
          <w:lang w:val="de-DE"/>
        </w:rPr>
        <w:t xml:space="preserve">. </w:t>
      </w:r>
      <w:r w:rsidRPr="003002D3">
        <w:rPr>
          <w:rFonts w:ascii="Tahoma" w:hAnsi="Tahoma" w:cs="Tahoma"/>
          <w:color w:val="000000"/>
          <w:sz w:val="18"/>
          <w:szCs w:val="18"/>
          <w:lang w:val="de-DE"/>
        </w:rPr>
        <w:t>Juli 2015</w:t>
      </w:r>
      <w:r w:rsidR="006257A7">
        <w:rPr>
          <w:rFonts w:ascii="Tahoma" w:hAnsi="Tahoma" w:cs="Tahoma"/>
          <w:color w:val="000000"/>
          <w:sz w:val="18"/>
          <w:szCs w:val="18"/>
          <w:lang w:val="de-DE"/>
        </w:rPr>
        <w:t xml:space="preserve">. </w:t>
      </w:r>
    </w:p>
    <w:p w:rsidR="00E73313" w:rsidRPr="003002D3" w:rsidRDefault="00E73313" w:rsidP="00E73313">
      <w:pPr>
        <w:tabs>
          <w:tab w:val="left" w:pos="1080"/>
          <w:tab w:val="left" w:pos="1800"/>
        </w:tabs>
        <w:rPr>
          <w:lang w:val="de-DE"/>
        </w:rPr>
      </w:pPr>
      <w:bookmarkStart w:id="1476" w:name="Srv_87SQLServer2012Developer"/>
    </w:p>
    <w:p w:rsidR="00E73313" w:rsidRDefault="00E73313" w:rsidP="00E73313">
      <w:pPr>
        <w:tabs>
          <w:tab w:val="left" w:pos="1080"/>
          <w:tab w:val="left" w:pos="1800"/>
        </w:tabs>
        <w:rPr>
          <w:lang w:val="de-DE"/>
        </w:rPr>
      </w:pPr>
    </w:p>
    <w:p w:rsidR="00E73313" w:rsidRPr="003002D3" w:rsidRDefault="00E73313" w:rsidP="00E73313">
      <w:pPr>
        <w:pStyle w:val="Heading3"/>
        <w:rPr>
          <w:lang w:val="de-DE"/>
        </w:rPr>
      </w:pPr>
      <w:bookmarkStart w:id="1477" w:name="_80_78_SQL"/>
      <w:bookmarkStart w:id="1478" w:name="_85_SQL_Server®"/>
      <w:bookmarkStart w:id="1479" w:name="_Toc336338345"/>
      <w:bookmarkStart w:id="1480" w:name="_Toc363999082"/>
      <w:bookmarkEnd w:id="1477"/>
      <w:bookmarkEnd w:id="1478"/>
      <w:r w:rsidRPr="003002D3">
        <w:rPr>
          <w:rFonts w:ascii="Tahoma" w:hAnsi="Tahoma"/>
          <w:color w:val="F66400"/>
          <w:sz w:val="22"/>
          <w:vertAlign w:val="superscript"/>
          <w:lang w:val="de-DE"/>
        </w:rPr>
        <w:t>85</w:t>
      </w:r>
      <w:r w:rsidRPr="003002D3">
        <w:rPr>
          <w:rFonts w:ascii="Tahoma" w:hAnsi="Tahoma"/>
          <w:color w:val="F66400"/>
          <w:sz w:val="22"/>
          <w:lang w:val="de-DE"/>
        </w:rPr>
        <w:t xml:space="preserve"> SQL Server</w:t>
      </w:r>
      <w:r w:rsidR="0069040B" w:rsidRPr="0069040B">
        <w:rPr>
          <w:rFonts w:ascii="Tahoma" w:hAnsi="Tahoma"/>
          <w:color w:val="F66400"/>
          <w:sz w:val="22"/>
          <w:vertAlign w:val="superscript"/>
          <w:lang w:val="de-DE"/>
        </w:rPr>
        <w:t>®</w:t>
      </w:r>
      <w:r w:rsidRPr="003002D3">
        <w:rPr>
          <w:rFonts w:ascii="Tahoma" w:hAnsi="Tahoma"/>
          <w:color w:val="F66400"/>
          <w:sz w:val="22"/>
          <w:lang w:val="de-DE"/>
        </w:rPr>
        <w:t xml:space="preserve"> 2012 Developer</w:t>
      </w:r>
      <w:bookmarkEnd w:id="1479"/>
      <w:bookmarkEnd w:id="1480"/>
    </w:p>
    <w:bookmarkEnd w:id="1476"/>
    <w:p w:rsidR="00E73313" w:rsidRPr="003002D3" w:rsidRDefault="00E73313" w:rsidP="00E73313">
      <w:pPr>
        <w:rPr>
          <w:lang w:val="de-DE"/>
        </w:rPr>
      </w:pPr>
    </w:p>
    <w:p w:rsidR="00E73313" w:rsidRPr="003002D3" w:rsidRDefault="00E73313" w:rsidP="00E73313">
      <w:pPr>
        <w:spacing w:after="60"/>
        <w:ind w:left="720"/>
        <w:rPr>
          <w:lang w:val="de-DE"/>
        </w:rPr>
      </w:pPr>
      <w:r w:rsidRPr="003002D3">
        <w:rPr>
          <w:b/>
          <w:color w:val="000000"/>
          <w:szCs w:val="18"/>
          <w:lang w:val="de-DE"/>
        </w:rPr>
        <w:t>Wichtiger Hinweis</w:t>
      </w:r>
    </w:p>
    <w:p w:rsidR="00E73313" w:rsidRPr="003002D3" w:rsidRDefault="00E73313" w:rsidP="009253A8">
      <w:pPr>
        <w:ind w:left="720"/>
        <w:rPr>
          <w:lang w:val="de-DE"/>
        </w:rPr>
      </w:pPr>
      <w:r w:rsidRPr="003002D3">
        <w:rPr>
          <w:color w:val="000000"/>
          <w:szCs w:val="18"/>
          <w:lang w:val="de-DE"/>
        </w:rPr>
        <w:t>Automatische Aktualisierungen für SQL Server 2008, SQL Server 2005 und SQL Server 2000</w:t>
      </w:r>
      <w:r w:rsidR="006257A7">
        <w:rPr>
          <w:color w:val="000000"/>
          <w:szCs w:val="18"/>
          <w:lang w:val="de-DE"/>
        </w:rPr>
        <w:t xml:space="preserve">. </w:t>
      </w:r>
      <w:r w:rsidRPr="003002D3">
        <w:rPr>
          <w:color w:val="000000"/>
          <w:szCs w:val="18"/>
          <w:lang w:val="de-DE"/>
        </w:rPr>
        <w:t>Wenn diese Software auf Servern oder Geräten installiert ist, auf denen beliebige Editionen von SQL Server 2008, SQL</w:t>
      </w:r>
      <w:r w:rsidR="009253A8">
        <w:rPr>
          <w:color w:val="000000"/>
          <w:szCs w:val="18"/>
          <w:lang w:val="de-DE"/>
        </w:rPr>
        <w:t> </w:t>
      </w:r>
      <w:r w:rsidRPr="003002D3">
        <w:rPr>
          <w:color w:val="000000"/>
          <w:szCs w:val="18"/>
          <w:lang w:val="de-DE"/>
        </w:rPr>
        <w:t>Server 2005 oder SQL Server 2000 (oder Komponenten von diesen) ausgeführt werden, aktualisiert und</w:t>
      </w:r>
      <w:r w:rsidR="009253A8">
        <w:rPr>
          <w:color w:val="000000"/>
          <w:szCs w:val="18"/>
          <w:lang w:val="de-DE"/>
        </w:rPr>
        <w:t> </w:t>
      </w:r>
      <w:r w:rsidRPr="003002D3">
        <w:rPr>
          <w:color w:val="000000"/>
          <w:szCs w:val="18"/>
          <w:lang w:val="de-DE"/>
        </w:rPr>
        <w:t>ersetzt diese Software automatisch bestimme Dateien oder Features innerhalb dieser Editionen durch Dateien von dieser Software</w:t>
      </w:r>
      <w:r w:rsidR="006257A7">
        <w:rPr>
          <w:color w:val="000000"/>
          <w:szCs w:val="18"/>
          <w:lang w:val="de-DE"/>
        </w:rPr>
        <w:t xml:space="preserve">. </w:t>
      </w:r>
      <w:r w:rsidRPr="003002D3">
        <w:rPr>
          <w:color w:val="000000"/>
          <w:szCs w:val="18"/>
          <w:lang w:val="de-DE"/>
        </w:rPr>
        <w:t>Dieses Feature kann nicht abgeschaltet werden</w:t>
      </w:r>
      <w:r w:rsidR="006257A7">
        <w:rPr>
          <w:color w:val="000000"/>
          <w:szCs w:val="18"/>
          <w:lang w:val="de-DE"/>
        </w:rPr>
        <w:t xml:space="preserve">. </w:t>
      </w:r>
      <w:r w:rsidRPr="003002D3">
        <w:rPr>
          <w:color w:val="000000"/>
          <w:szCs w:val="18"/>
          <w:lang w:val="de-DE"/>
        </w:rPr>
        <w:t>Die aktualisierten Dateien können nicht entfernt und die ursprünglichen Dateien möglicherweise nicht wiederhergestellt werden</w:t>
      </w:r>
      <w:r w:rsidR="006257A7">
        <w:rPr>
          <w:color w:val="000000"/>
          <w:szCs w:val="18"/>
          <w:lang w:val="de-DE"/>
        </w:rPr>
        <w:t xml:space="preserve">. </w:t>
      </w:r>
      <w:r w:rsidRPr="003002D3">
        <w:rPr>
          <w:color w:val="000000"/>
          <w:szCs w:val="18"/>
          <w:lang w:val="de-DE"/>
        </w:rPr>
        <w:t>Durch</w:t>
      </w:r>
      <w:r w:rsidR="009253A8">
        <w:rPr>
          <w:color w:val="000000"/>
          <w:szCs w:val="18"/>
          <w:lang w:val="de-DE"/>
        </w:rPr>
        <w:t> </w:t>
      </w:r>
      <w:r w:rsidRPr="003002D3">
        <w:rPr>
          <w:color w:val="000000"/>
          <w:szCs w:val="18"/>
          <w:lang w:val="de-DE"/>
        </w:rPr>
        <w:t>die Installation dieser Software auf einem Server oder Gerät, auf dem beliebige Editionen von SQL</w:t>
      </w:r>
      <w:r w:rsidR="009253A8">
        <w:rPr>
          <w:color w:val="000000"/>
          <w:szCs w:val="18"/>
          <w:lang w:val="de-DE"/>
        </w:rPr>
        <w:t> </w:t>
      </w:r>
      <w:r w:rsidRPr="003002D3">
        <w:rPr>
          <w:color w:val="000000"/>
          <w:szCs w:val="18"/>
          <w:lang w:val="de-DE"/>
        </w:rPr>
        <w:t>Server 2008, SQL Server 2005 oder SQL Server 2000 ausgeführt werden, erklären Sie sich mit diesen Aktualisierungen in allen Editionen und Kopien von SQL Server (einschließlich Komponenten von diesen), die</w:t>
      </w:r>
      <w:r w:rsidR="009253A8">
        <w:rPr>
          <w:color w:val="000000"/>
          <w:szCs w:val="18"/>
          <w:lang w:val="de-DE"/>
        </w:rPr>
        <w:t> </w:t>
      </w:r>
      <w:r w:rsidRPr="003002D3">
        <w:rPr>
          <w:color w:val="000000"/>
          <w:szCs w:val="18"/>
          <w:lang w:val="de-DE"/>
        </w:rPr>
        <w:t>auf dem betreffenden Server oder Gerät ausgeführt werden, einverstanden</w:t>
      </w:r>
      <w:r w:rsidR="006257A7">
        <w:rPr>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p>
    <w:p w:rsidR="00E73313" w:rsidRPr="003002D3" w:rsidRDefault="00E73313" w:rsidP="00E73313">
      <w:pPr>
        <w:pStyle w:val="Heading3"/>
        <w:rPr>
          <w:lang w:val="de-DE"/>
        </w:rPr>
      </w:pPr>
      <w:bookmarkStart w:id="1481" w:name="_81_79_SQL"/>
      <w:bookmarkStart w:id="1482" w:name="_86_SQL_Server®"/>
      <w:bookmarkStart w:id="1483" w:name="_Toc336338346"/>
      <w:bookmarkStart w:id="1484" w:name="_Toc363999083"/>
      <w:bookmarkStart w:id="1485" w:name="Srv_88SQLServer2012Enterprise"/>
      <w:bookmarkEnd w:id="1481"/>
      <w:bookmarkEnd w:id="1482"/>
      <w:r w:rsidRPr="003002D3">
        <w:rPr>
          <w:rFonts w:ascii="Tahoma" w:hAnsi="Tahoma"/>
          <w:color w:val="F66400"/>
          <w:sz w:val="22"/>
          <w:vertAlign w:val="superscript"/>
          <w:lang w:val="de-DE"/>
        </w:rPr>
        <w:t>86</w:t>
      </w:r>
      <w:r w:rsidRPr="003002D3">
        <w:rPr>
          <w:rFonts w:ascii="Tahoma" w:hAnsi="Tahoma"/>
          <w:color w:val="F66400"/>
          <w:sz w:val="22"/>
          <w:lang w:val="de-DE"/>
        </w:rPr>
        <w:t xml:space="preserve"> SQL Server</w:t>
      </w:r>
      <w:r w:rsidR="0069040B" w:rsidRPr="0069040B">
        <w:rPr>
          <w:rFonts w:ascii="Tahoma" w:hAnsi="Tahoma"/>
          <w:color w:val="F66400"/>
          <w:sz w:val="22"/>
          <w:vertAlign w:val="superscript"/>
          <w:lang w:val="de-DE"/>
        </w:rPr>
        <w:t>®</w:t>
      </w:r>
      <w:r w:rsidRPr="003002D3">
        <w:rPr>
          <w:rFonts w:ascii="Tahoma" w:hAnsi="Tahoma"/>
          <w:color w:val="F66400"/>
          <w:sz w:val="22"/>
          <w:lang w:val="de-DE"/>
        </w:rPr>
        <w:t xml:space="preserve"> 2012 Enterprise</w:t>
      </w:r>
      <w:bookmarkEnd w:id="1483"/>
      <w:bookmarkEnd w:id="1484"/>
    </w:p>
    <w:bookmarkEnd w:id="1485"/>
    <w:p w:rsidR="00E73313" w:rsidRPr="003002D3" w:rsidRDefault="00E73313" w:rsidP="00E73313">
      <w:pPr>
        <w:rPr>
          <w:lang w:val="de-DE"/>
        </w:rPr>
      </w:pPr>
    </w:p>
    <w:p w:rsidR="00E73313" w:rsidRPr="003002D3" w:rsidRDefault="00E73313" w:rsidP="00E73313">
      <w:pPr>
        <w:ind w:left="720"/>
        <w:rPr>
          <w:lang w:val="de-DE"/>
        </w:rPr>
      </w:pPr>
      <w:r w:rsidRPr="003002D3">
        <w:rPr>
          <w:rFonts w:eastAsia="Calibri" w:cs="Tahoma"/>
          <w:color w:val="000000"/>
          <w:szCs w:val="18"/>
          <w:lang w:val="de-DE"/>
        </w:rPr>
        <w:t>SQL Server 2012 Enterprise ist die nächste Version von SQL Server Enterprise, und CAL für SQL Server 2012 ist die nächste Version von CAL für SQL Server</w:t>
      </w:r>
      <w:r w:rsidR="006257A7">
        <w:rPr>
          <w:rFonts w:eastAsia="Calibri"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SQL Server Enterprise Server-/CAL-Kunden – Besondere Software Assurance-Verlängerungsoption</w:t>
      </w:r>
    </w:p>
    <w:p w:rsidR="00E73313" w:rsidRPr="003002D3" w:rsidRDefault="00E73313" w:rsidP="009253A8">
      <w:pPr>
        <w:ind w:left="720"/>
        <w:rPr>
          <w:lang w:val="de-DE"/>
        </w:rPr>
      </w:pPr>
      <w:r w:rsidRPr="003002D3">
        <w:rPr>
          <w:rFonts w:eastAsia="Calibri" w:cs="Tahoma"/>
          <w:color w:val="000000"/>
          <w:szCs w:val="18"/>
          <w:lang w:val="de-DE"/>
        </w:rPr>
        <w:t>Kunden, die am 1</w:t>
      </w:r>
      <w:r w:rsidR="006257A7">
        <w:rPr>
          <w:rFonts w:eastAsia="Calibri" w:cs="Tahoma"/>
          <w:color w:val="000000"/>
          <w:szCs w:val="18"/>
          <w:lang w:val="de-DE"/>
        </w:rPr>
        <w:t xml:space="preserve">. </w:t>
      </w:r>
      <w:r w:rsidRPr="003002D3">
        <w:rPr>
          <w:rFonts w:eastAsia="Calibri" w:cs="Tahoma"/>
          <w:color w:val="000000"/>
          <w:szCs w:val="18"/>
          <w:lang w:val="de-DE"/>
        </w:rPr>
        <w:t>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w:t>
      </w:r>
      <w:r w:rsidR="006257A7">
        <w:rPr>
          <w:rFonts w:eastAsia="Calibri" w:cs="Tahoma"/>
          <w:color w:val="000000"/>
          <w:szCs w:val="18"/>
          <w:lang w:val="de-DE"/>
        </w:rPr>
        <w:t xml:space="preserve">. </w:t>
      </w:r>
      <w:r w:rsidRPr="003002D3">
        <w:rPr>
          <w:rFonts w:eastAsia="Calibri" w:cs="Tahoma"/>
          <w:color w:val="000000"/>
          <w:szCs w:val="18"/>
          <w:lang w:val="de-DE"/>
        </w:rPr>
        <w:t>Bei Erwerb von Software Assurance für SQL</w:t>
      </w:r>
      <w:r w:rsidR="009253A8">
        <w:rPr>
          <w:rFonts w:eastAsia="Calibri" w:cs="Tahoma"/>
          <w:color w:val="000000"/>
          <w:szCs w:val="18"/>
          <w:lang w:val="de-DE"/>
        </w:rPr>
        <w:t> </w:t>
      </w:r>
      <w:r w:rsidRPr="003002D3">
        <w:rPr>
          <w:rFonts w:eastAsia="Calibri" w:cs="Tahoma"/>
          <w:color w:val="000000"/>
          <w:szCs w:val="18"/>
          <w:lang w:val="de-DE"/>
        </w:rPr>
        <w:t>Server 2012 Business Intelligence unter diesem Angebot sind Kunden nicht mehr berechtigt, SQL</w:t>
      </w:r>
      <w:r w:rsidR="009253A8">
        <w:rPr>
          <w:rFonts w:eastAsia="Calibri" w:cs="Tahoma"/>
          <w:color w:val="000000"/>
          <w:szCs w:val="18"/>
          <w:lang w:val="de-DE"/>
        </w:rPr>
        <w:t> </w:t>
      </w:r>
      <w:r w:rsidRPr="003002D3">
        <w:rPr>
          <w:rFonts w:eastAsia="Calibri" w:cs="Tahoma"/>
          <w:color w:val="000000"/>
          <w:szCs w:val="18"/>
          <w:lang w:val="de-DE"/>
        </w:rPr>
        <w:t>Server Enterprise unter ihren qualifizierenden Lizenzen zu verwenden</w:t>
      </w:r>
      <w:r w:rsidR="006257A7">
        <w:rPr>
          <w:rFonts w:eastAsia="Calibri" w:cs="Tahoma"/>
          <w:color w:val="000000"/>
          <w:szCs w:val="18"/>
          <w:lang w:val="de-DE"/>
        </w:rPr>
        <w:t xml:space="preserve">. </w:t>
      </w:r>
      <w:r w:rsidRPr="003002D3">
        <w:rPr>
          <w:rFonts w:eastAsia="Calibri" w:cs="Tahoma"/>
          <w:color w:val="000000"/>
          <w:szCs w:val="18"/>
          <w:lang w:val="de-DE"/>
        </w:rPr>
        <w:t>Kunden, die Software Assurance für SQL Server Business Intelligence unter diesem Angebot erwerben, haben außerdem nicht die Möglichkeit, wieder auf Software Assurance für SQL Server Enterprise für ihre qualifizierenden SQL Server Enterprise-Lizenzen umzustellen</w:t>
      </w:r>
      <w:r w:rsidR="006257A7">
        <w:rPr>
          <w:rFonts w:eastAsia="Calibri" w:cs="Tahoma"/>
          <w:color w:val="000000"/>
          <w:szCs w:val="18"/>
          <w:lang w:val="de-DE"/>
        </w:rPr>
        <w:t xml:space="preserve">. </w:t>
      </w:r>
    </w:p>
    <w:p w:rsidR="00E73313" w:rsidRPr="003002D3" w:rsidRDefault="00E73313" w:rsidP="00E73313">
      <w:pPr>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Fulfillment-Optionen für SQL Server 2012</w:t>
      </w:r>
    </w:p>
    <w:p w:rsidR="00E73313" w:rsidRPr="003002D3" w:rsidRDefault="00E73313" w:rsidP="00E73313">
      <w:pPr>
        <w:ind w:left="720"/>
        <w:rPr>
          <w:lang w:val="de-DE"/>
        </w:rPr>
      </w:pPr>
      <w:r w:rsidRPr="003002D3">
        <w:rPr>
          <w:rFonts w:eastAsia="Calibri" w:cs="Tahoma"/>
          <w:color w:val="000000"/>
          <w:szCs w:val="18"/>
          <w:lang w:val="de-DE"/>
        </w:rPr>
        <w:t>Kunden dürfen nur die Software verwenden, die dem Lizenzmodell entspricht, unter dem ihre SQL Server-Lizenzen erworben wurden</w:t>
      </w:r>
      <w:r w:rsidR="006257A7">
        <w:rPr>
          <w:rFonts w:eastAsia="Calibri"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Buy-Out-Option für SQL Server unter EAP</w:t>
      </w:r>
    </w:p>
    <w:p w:rsidR="00E73313" w:rsidRPr="003002D3" w:rsidRDefault="00E73313" w:rsidP="00E73313">
      <w:pPr>
        <w:ind w:left="720"/>
        <w:rPr>
          <w:lang w:val="de-DE"/>
        </w:rPr>
      </w:pPr>
      <w:r w:rsidRPr="003002D3">
        <w:rPr>
          <w:rFonts w:eastAsia="Calibri" w:cs="Tahoma"/>
          <w:color w:val="000000"/>
          <w:szCs w:val="18"/>
          <w:lang w:val="de-DE"/>
        </w:rPr>
        <w:t>Kunden haben die Option, Software Assurance für SQL Server Enterprise Server-/CAL-Lizenzen nach dem 30</w:t>
      </w:r>
      <w:r w:rsidR="006257A7">
        <w:rPr>
          <w:rFonts w:eastAsia="Calibri" w:cs="Tahoma"/>
          <w:color w:val="000000"/>
          <w:szCs w:val="18"/>
          <w:lang w:val="de-DE"/>
        </w:rPr>
        <w:t xml:space="preserve">. </w:t>
      </w:r>
      <w:r w:rsidRPr="003002D3">
        <w:rPr>
          <w:rFonts w:eastAsia="Calibri" w:cs="Tahoma"/>
          <w:color w:val="000000"/>
          <w:szCs w:val="18"/>
          <w:lang w:val="de-DE"/>
        </w:rPr>
        <w:t>Juni 2012</w:t>
      </w:r>
      <w:r w:rsidR="003002D3">
        <w:rPr>
          <w:rFonts w:eastAsia="Calibri" w:cs="Tahoma"/>
          <w:color w:val="000000"/>
          <w:szCs w:val="18"/>
          <w:lang w:val="de-DE"/>
        </w:rPr>
        <w:t xml:space="preserve"> </w:t>
      </w:r>
      <w:r w:rsidRPr="003002D3">
        <w:rPr>
          <w:rFonts w:eastAsia="Calibri" w:cs="Tahoma"/>
          <w:color w:val="000000"/>
          <w:szCs w:val="18"/>
          <w:lang w:val="de-DE"/>
        </w:rPr>
        <w:t>zu verlängern, ihre einzige Buy-Out-Option am Ende ihrer Beitrittslaufzeit gilt jedoch nur für Core-Lizenzen</w:t>
      </w:r>
      <w:r w:rsidR="006257A7">
        <w:rPr>
          <w:rFonts w:eastAsia="Calibri"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Kontinuierliche Verwendung von SQL Server 2008 R2 Enterprise</w:t>
      </w:r>
    </w:p>
    <w:p w:rsidR="00E73313" w:rsidRPr="003002D3" w:rsidRDefault="00E73313" w:rsidP="009253A8">
      <w:pPr>
        <w:ind w:left="720"/>
        <w:rPr>
          <w:lang w:val="de-DE"/>
        </w:rPr>
      </w:pPr>
      <w:r w:rsidRPr="003002D3">
        <w:rPr>
          <w:rFonts w:eastAsia="Calibri" w:cs="Tahoma"/>
          <w:color w:val="000000"/>
          <w:szCs w:val="18"/>
          <w:lang w:val="de-DE"/>
        </w:rPr>
        <w:t>Software Assurance</w:t>
      </w:r>
      <w:r w:rsidRPr="003002D3">
        <w:rPr>
          <w:rFonts w:eastAsia="Calibri" w:cs="Tahoma"/>
          <w:b/>
          <w:bCs/>
          <w:color w:val="000000"/>
          <w:szCs w:val="18"/>
          <w:lang w:val="de-DE"/>
        </w:rPr>
        <w:t xml:space="preserve"> </w:t>
      </w:r>
      <w:r w:rsidRPr="003002D3">
        <w:rPr>
          <w:rFonts w:eastAsia="Calibri" w:cs="Tahoma"/>
          <w:color w:val="000000"/>
          <w:szCs w:val="18"/>
          <w:lang w:val="de-DE"/>
        </w:rPr>
        <w:t>-Kunden, die SQL Server 2008 R2 Enterprise weiterhin unter Lizenzen verwenden, die</w:t>
      </w:r>
      <w:r w:rsidR="009253A8">
        <w:rPr>
          <w:rFonts w:eastAsia="Calibri" w:cs="Tahoma"/>
          <w:color w:val="000000"/>
          <w:szCs w:val="18"/>
          <w:lang w:val="de-DE"/>
        </w:rPr>
        <w:t> </w:t>
      </w:r>
      <w:r w:rsidRPr="003002D3">
        <w:rPr>
          <w:rFonts w:eastAsia="Calibri" w:cs="Tahoma"/>
          <w:color w:val="000000"/>
          <w:szCs w:val="18"/>
          <w:lang w:val="de-DE"/>
        </w:rPr>
        <w:t>unter ihrem am 1</w:t>
      </w:r>
      <w:r w:rsidR="006257A7">
        <w:rPr>
          <w:rFonts w:eastAsia="Calibri" w:cs="Tahoma"/>
          <w:color w:val="000000"/>
          <w:szCs w:val="18"/>
          <w:lang w:val="de-DE"/>
        </w:rPr>
        <w:t xml:space="preserve">. </w:t>
      </w:r>
      <w:r w:rsidRPr="003002D3">
        <w:rPr>
          <w:rFonts w:eastAsia="Calibri" w:cs="Tahoma"/>
          <w:color w:val="000000"/>
          <w:szCs w:val="18"/>
          <w:lang w:val="de-DE"/>
        </w:rPr>
        <w:t>April 2012 wirksamen Vertrag oder Beitritt erworben wurden, sind berechtigt, die</w:t>
      </w:r>
      <w:r w:rsidR="009253A8">
        <w:rPr>
          <w:rFonts w:eastAsia="Calibri" w:cs="Tahoma"/>
          <w:color w:val="000000"/>
          <w:szCs w:val="18"/>
          <w:lang w:val="de-DE"/>
        </w:rPr>
        <w:t> </w:t>
      </w:r>
      <w:r w:rsidRPr="003002D3">
        <w:rPr>
          <w:rFonts w:eastAsia="Calibri" w:cs="Tahoma"/>
          <w:color w:val="000000"/>
          <w:szCs w:val="18"/>
          <w:lang w:val="de-DE"/>
        </w:rPr>
        <w:t>Software während der aktuellen Laufzeit und Verlängerungszeiträumen unter Nutzungsrechten für SQL</w:t>
      </w:r>
      <w:r w:rsidR="009253A8">
        <w:rPr>
          <w:rFonts w:eastAsia="Calibri" w:cs="Tahoma"/>
          <w:color w:val="000000"/>
          <w:szCs w:val="18"/>
          <w:lang w:val="de-DE"/>
        </w:rPr>
        <w:t> </w:t>
      </w:r>
      <w:r w:rsidRPr="003002D3">
        <w:rPr>
          <w:rFonts w:eastAsia="Calibri" w:cs="Tahoma"/>
          <w:color w:val="000000"/>
          <w:szCs w:val="18"/>
          <w:lang w:val="de-DE"/>
        </w:rPr>
        <w:t>Server 2008 R2 Enterprise zu verwenden</w:t>
      </w:r>
      <w:r w:rsidR="006257A7">
        <w:rPr>
          <w:rFonts w:eastAsia="Calibri" w:cs="Tahoma"/>
          <w:color w:val="000000"/>
          <w:szCs w:val="18"/>
          <w:lang w:val="de-DE"/>
        </w:rPr>
        <w:t xml:space="preserve">. </w:t>
      </w:r>
      <w:r w:rsidRPr="003002D3">
        <w:rPr>
          <w:rFonts w:eastAsia="Calibri" w:cs="Tahoma"/>
          <w:color w:val="000000"/>
          <w:szCs w:val="18"/>
          <w:lang w:val="de-DE"/>
        </w:rPr>
        <w:t>Kunden, die SQL Server 2008 R2 Enterprise unter Downgraderechten unter nach Verlängerung von Software Assurance erworbenen Lizenzen verwenden, müssen die Software unter den Nutzungsrechten für die lizenzierte Version verwenden</w:t>
      </w:r>
      <w:r w:rsidR="006257A7">
        <w:rPr>
          <w:rFonts w:eastAsia="Calibri"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F25255">
      <w:pPr>
        <w:spacing w:after="60"/>
        <w:ind w:left="720"/>
        <w:rPr>
          <w:lang w:val="de-DE"/>
        </w:rPr>
      </w:pPr>
      <w:r w:rsidRPr="003002D3">
        <w:rPr>
          <w:rFonts w:eastAsia="Calibri" w:cs="Tahoma"/>
          <w:b/>
          <w:color w:val="000000"/>
          <w:szCs w:val="18"/>
          <w:lang w:val="de-DE"/>
        </w:rPr>
        <w:t>Für Kunden in der Volksrepublik China, die dort Lizenzen und Software Assurance für SQL</w:t>
      </w:r>
      <w:r w:rsidR="00F25255">
        <w:rPr>
          <w:rFonts w:eastAsia="Calibri" w:cs="Tahoma"/>
          <w:b/>
          <w:color w:val="000000"/>
          <w:szCs w:val="18"/>
          <w:lang w:val="de-DE"/>
        </w:rPr>
        <w:t> </w:t>
      </w:r>
      <w:r w:rsidRPr="003002D3">
        <w:rPr>
          <w:rFonts w:eastAsia="Calibri" w:cs="Tahoma"/>
          <w:b/>
          <w:color w:val="000000"/>
          <w:szCs w:val="18"/>
          <w:lang w:val="de-DE"/>
        </w:rPr>
        <w:t>Server 2008 R2 erwerben</w:t>
      </w:r>
    </w:p>
    <w:p w:rsidR="00E73313" w:rsidRPr="003002D3" w:rsidRDefault="00E73313" w:rsidP="009253A8">
      <w:pPr>
        <w:ind w:left="720"/>
        <w:rPr>
          <w:lang w:val="de-DE"/>
        </w:rPr>
      </w:pPr>
      <w:r w:rsidRPr="003002D3">
        <w:rPr>
          <w:lang w:val="de-DE"/>
        </w:rPr>
        <w:t>Die Verweise auf den 1</w:t>
      </w:r>
      <w:r w:rsidR="006257A7">
        <w:rPr>
          <w:lang w:val="de-DE"/>
        </w:rPr>
        <w:t xml:space="preserve">. </w:t>
      </w:r>
      <w:r w:rsidRPr="003002D3">
        <w:rPr>
          <w:lang w:val="de-DE"/>
        </w:rPr>
        <w:t>April 2012 in dieser Produktliste sind nicht anwendbar</w:t>
      </w:r>
      <w:r w:rsidR="006257A7">
        <w:rPr>
          <w:lang w:val="de-DE"/>
        </w:rPr>
        <w:t xml:space="preserve">. </w:t>
      </w:r>
      <w:r w:rsidRPr="003002D3">
        <w:rPr>
          <w:lang w:val="de-DE"/>
        </w:rPr>
        <w:t>Das anwendbare Datum für</w:t>
      </w:r>
      <w:r w:rsidR="009253A8">
        <w:rPr>
          <w:lang w:val="de-DE"/>
        </w:rPr>
        <w:t> </w:t>
      </w:r>
      <w:r w:rsidRPr="003002D3">
        <w:rPr>
          <w:lang w:val="de-DE"/>
        </w:rPr>
        <w:t>diese Kunden ist der 1</w:t>
      </w:r>
      <w:r w:rsidR="006257A7">
        <w:rPr>
          <w:lang w:val="de-DE"/>
        </w:rPr>
        <w:t xml:space="preserve">. </w:t>
      </w:r>
      <w:r w:rsidRPr="003002D3">
        <w:rPr>
          <w:lang w:val="de-DE"/>
        </w:rPr>
        <w:t>Juli 2012</w:t>
      </w:r>
      <w:r w:rsidR="006257A7">
        <w:rPr>
          <w:lang w:val="de-DE"/>
        </w:rPr>
        <w:t xml:space="preserve">. </w:t>
      </w:r>
    </w:p>
    <w:p w:rsidR="00E73313" w:rsidRPr="003002D3" w:rsidRDefault="00E73313" w:rsidP="00E73313">
      <w:pPr>
        <w:rPr>
          <w:lang w:val="de-DE"/>
        </w:rPr>
      </w:pPr>
    </w:p>
    <w:p w:rsidR="00E73313" w:rsidRDefault="00E73313" w:rsidP="00E73313">
      <w:pPr>
        <w:rPr>
          <w:lang w:val="de-DE"/>
        </w:rPr>
      </w:pPr>
    </w:p>
    <w:p w:rsidR="009253A8" w:rsidRDefault="009253A8" w:rsidP="00E73313">
      <w:pPr>
        <w:rPr>
          <w:lang w:val="de-DE"/>
        </w:rPr>
      </w:pPr>
    </w:p>
    <w:p w:rsidR="009253A8" w:rsidRDefault="009253A8" w:rsidP="00E73313">
      <w:pPr>
        <w:rPr>
          <w:lang w:val="de-DE"/>
        </w:rPr>
      </w:pPr>
    </w:p>
    <w:p w:rsidR="00E73313" w:rsidRPr="003002D3" w:rsidRDefault="00E73313" w:rsidP="00E73313">
      <w:pPr>
        <w:pStyle w:val="Heading3"/>
        <w:rPr>
          <w:lang w:val="de-DE"/>
        </w:rPr>
      </w:pPr>
      <w:bookmarkStart w:id="1486" w:name="_80_SQL_Server®"/>
      <w:bookmarkStart w:id="1487" w:name="_87_SQL_Server®"/>
      <w:bookmarkStart w:id="1488" w:name="_Toc336338347"/>
      <w:bookmarkStart w:id="1489" w:name="_Toc363999084"/>
      <w:bookmarkStart w:id="1490" w:name="Srv_89SQLServer2012EnterpriseCore"/>
      <w:bookmarkEnd w:id="1486"/>
      <w:bookmarkEnd w:id="1487"/>
      <w:r w:rsidRPr="003002D3">
        <w:rPr>
          <w:rFonts w:ascii="Tahoma" w:hAnsi="Tahoma"/>
          <w:caps/>
          <w:color w:val="F66400"/>
          <w:sz w:val="22"/>
          <w:vertAlign w:val="superscript"/>
          <w:lang w:val="de-DE"/>
        </w:rPr>
        <w:t>87</w:t>
      </w:r>
      <w:r w:rsidRPr="009253A8">
        <w:rPr>
          <w:rFonts w:ascii="Tahoma" w:hAnsi="Tahoma"/>
          <w:caps/>
          <w:color w:val="F66400"/>
          <w:sz w:val="22"/>
          <w:lang w:val="de-DE"/>
        </w:rPr>
        <w:t xml:space="preserve"> </w:t>
      </w:r>
      <w:r w:rsidRPr="003002D3">
        <w:rPr>
          <w:rFonts w:ascii="Tahoma" w:hAnsi="Tahoma"/>
          <w:color w:val="F66400"/>
          <w:sz w:val="22"/>
          <w:lang w:val="de-DE"/>
        </w:rPr>
        <w:t>SQL Server</w:t>
      </w:r>
      <w:r w:rsidR="0069040B" w:rsidRPr="0069040B">
        <w:rPr>
          <w:rFonts w:ascii="Tahoma" w:hAnsi="Tahoma"/>
          <w:color w:val="F66400"/>
          <w:sz w:val="22"/>
          <w:vertAlign w:val="superscript"/>
          <w:lang w:val="de-DE"/>
        </w:rPr>
        <w:t>®</w:t>
      </w:r>
      <w:r w:rsidRPr="003002D3">
        <w:rPr>
          <w:rFonts w:ascii="Tahoma" w:hAnsi="Tahoma"/>
          <w:color w:val="F66400"/>
          <w:sz w:val="22"/>
          <w:lang w:val="de-DE"/>
        </w:rPr>
        <w:t xml:space="preserve"> 2012 Enterprise Core</w:t>
      </w:r>
      <w:bookmarkEnd w:id="1488"/>
      <w:bookmarkEnd w:id="1489"/>
    </w:p>
    <w:bookmarkEnd w:id="1490"/>
    <w:p w:rsidR="00E73313" w:rsidRPr="003002D3" w:rsidRDefault="00E73313" w:rsidP="00E73313">
      <w:pPr>
        <w:pStyle w:val="EndnoteText"/>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Verlängerung von Nutzungsrechten für Unbegrenzte Virtualisierung für SQL Server 2008 R2 Enterprise (pro Prozessor)</w:t>
      </w:r>
    </w:p>
    <w:p w:rsidR="00E73313" w:rsidRPr="003002D3" w:rsidRDefault="00E73313" w:rsidP="001B3A05">
      <w:pPr>
        <w:ind w:left="720"/>
        <w:rPr>
          <w:lang w:val="de-DE"/>
        </w:rPr>
      </w:pPr>
      <w:r w:rsidRPr="003002D3">
        <w:rPr>
          <w:rFonts w:eastAsia="Calibri" w:cs="Tahoma"/>
          <w:color w:val="000000"/>
          <w:szCs w:val="18"/>
          <w:lang w:val="de-DE"/>
        </w:rPr>
        <w:t>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w:t>
      </w:r>
      <w:r w:rsidR="001B3A05">
        <w:rPr>
          <w:rFonts w:eastAsia="Calibri" w:cs="Tahoma"/>
          <w:color w:val="000000"/>
          <w:szCs w:val="18"/>
          <w:lang w:val="de-DE"/>
        </w:rPr>
        <w:t> </w:t>
      </w:r>
      <w:r w:rsidRPr="003002D3">
        <w:rPr>
          <w:rFonts w:eastAsia="Calibri" w:cs="Tahoma"/>
          <w:color w:val="000000"/>
          <w:szCs w:val="18"/>
          <w:lang w:val="de-DE"/>
        </w:rPr>
        <w:t>Serversoftware in einer unbegrenzten Anzahl von Betriebssystemumgebungen auf diesem Server auszuführen</w:t>
      </w:r>
      <w:r w:rsidR="006257A7">
        <w:rPr>
          <w:rFonts w:eastAsia="Calibri"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Lizenzgewährungen im Zusammenhang mit der Änderung des Lizenzmodells</w:t>
      </w:r>
    </w:p>
    <w:p w:rsidR="00E73313" w:rsidRPr="003002D3" w:rsidRDefault="00E73313" w:rsidP="001B3A05">
      <w:pPr>
        <w:ind w:left="720"/>
        <w:rPr>
          <w:lang w:val="de-DE"/>
        </w:rPr>
      </w:pPr>
      <w:r w:rsidRPr="003002D3">
        <w:rPr>
          <w:rFonts w:eastAsia="Calibri" w:cs="Tahoma"/>
          <w:color w:val="000000"/>
          <w:szCs w:val="18"/>
          <w:lang w:val="de-DE"/>
        </w:rPr>
        <w:t>SQL Server 2008 R2 ist die letzte Version von SQL Server, die unter dem Pro-Prozessor-Lizenzmodell lizenziert wird</w:t>
      </w:r>
      <w:r w:rsidR="006257A7">
        <w:rPr>
          <w:rFonts w:eastAsia="Calibri" w:cs="Tahoma"/>
          <w:color w:val="000000"/>
          <w:szCs w:val="18"/>
          <w:lang w:val="de-DE"/>
        </w:rPr>
        <w:t xml:space="preserve">. </w:t>
      </w:r>
      <w:r w:rsidRPr="003002D3">
        <w:rPr>
          <w:rFonts w:eastAsia="Calibri" w:cs="Tahoma"/>
          <w:color w:val="000000"/>
          <w:szCs w:val="18"/>
          <w:lang w:val="de-DE"/>
        </w:rPr>
        <w:t>Als Ausnahme erhalten Volumenlizenzkunden, die am 1</w:t>
      </w:r>
      <w:r w:rsidR="006257A7">
        <w:rPr>
          <w:rFonts w:eastAsia="Calibri" w:cs="Tahoma"/>
          <w:color w:val="000000"/>
          <w:szCs w:val="18"/>
          <w:lang w:val="de-DE"/>
        </w:rPr>
        <w:t xml:space="preserve">. </w:t>
      </w:r>
      <w:r w:rsidRPr="003002D3">
        <w:rPr>
          <w:rFonts w:eastAsia="Calibri" w:cs="Tahoma"/>
          <w:color w:val="000000"/>
          <w:szCs w:val="18"/>
          <w:lang w:val="de-DE"/>
        </w:rPr>
        <w:t>April 2012 über aktive Software Assurance für SQL Server 2008 R2 Enterprise-Prozessorlizenzen („qualifizierende Lizenzen“) verfügen, die</w:t>
      </w:r>
      <w:r w:rsidR="001B3A05">
        <w:rPr>
          <w:rFonts w:eastAsia="Calibri" w:cs="Tahoma"/>
          <w:color w:val="000000"/>
          <w:szCs w:val="18"/>
          <w:lang w:val="de-DE"/>
        </w:rPr>
        <w:t> </w:t>
      </w:r>
      <w:r w:rsidRPr="003002D3">
        <w:rPr>
          <w:rFonts w:eastAsia="Calibri" w:cs="Tahoma"/>
          <w:color w:val="000000"/>
          <w:szCs w:val="18"/>
          <w:lang w:val="de-DE"/>
        </w:rPr>
        <w:t>folgenden Optionen</w:t>
      </w:r>
      <w:r w:rsidR="006257A7">
        <w:rPr>
          <w:rFonts w:eastAsia="Calibri" w:cs="Tahoma"/>
          <w:color w:val="000000"/>
          <w:szCs w:val="18"/>
          <w:lang w:val="de-DE"/>
        </w:rPr>
        <w:t xml:space="preserve">. </w:t>
      </w:r>
      <w:r w:rsidRPr="003002D3">
        <w:rPr>
          <w:rFonts w:eastAsia="Calibri" w:cs="Tahoma"/>
          <w:color w:val="000000"/>
          <w:szCs w:val="18"/>
          <w:lang w:val="de-DE"/>
        </w:rPr>
        <w:t>SQL Server 2008 R2 Enterprise-Prozessor</w:t>
      </w:r>
      <w:r w:rsidRPr="003002D3">
        <w:rPr>
          <w:rFonts w:cs="Tahoma"/>
          <w:bCs/>
          <w:color w:val="000000"/>
          <w:szCs w:val="18"/>
          <w:lang w:val="de-DE"/>
        </w:rPr>
        <w:t>lizenzen, die danach unter derselben Beitrittslaufzeit, jedoch vor dem 1</w:t>
      </w:r>
      <w:r w:rsidR="006257A7">
        <w:rPr>
          <w:rFonts w:cs="Tahoma"/>
          <w:bCs/>
          <w:color w:val="000000"/>
          <w:szCs w:val="18"/>
          <w:lang w:val="de-DE"/>
        </w:rPr>
        <w:t xml:space="preserve">. </w:t>
      </w:r>
      <w:r w:rsidRPr="003002D3">
        <w:rPr>
          <w:rFonts w:cs="Tahoma"/>
          <w:bCs/>
          <w:color w:val="000000"/>
          <w:szCs w:val="18"/>
          <w:lang w:val="de-DE"/>
        </w:rPr>
        <w:t>April 2015 im Rahmen eines Konzern-, Konzern-Abonnement-, Open Value Subscription-Prozesses oder des geplanten jährlichen True Up-Prozesses des EES-Kunden erworben werden, sind ebenfalls qualifizierende Lizenzen im Sinne dieser Optionen</w:t>
      </w:r>
      <w:r w:rsidR="006257A7">
        <w:rPr>
          <w:rFonts w:cs="Tahoma"/>
          <w:bCs/>
          <w:color w:val="000000"/>
          <w:szCs w:val="18"/>
          <w:lang w:val="de-DE"/>
        </w:rPr>
        <w:t xml:space="preserve">. </w:t>
      </w:r>
      <w:r w:rsidRPr="003002D3">
        <w:rPr>
          <w:rFonts w:cs="Tahoma"/>
          <w:bCs/>
          <w:color w:val="000000"/>
          <w:szCs w:val="18"/>
          <w:lang w:val="de-DE"/>
        </w:rPr>
        <w:t>Lizenzen, die nach dem 1</w:t>
      </w:r>
      <w:r w:rsidR="006257A7">
        <w:rPr>
          <w:rFonts w:cs="Tahoma"/>
          <w:bCs/>
          <w:color w:val="000000"/>
          <w:szCs w:val="18"/>
          <w:lang w:val="de-DE"/>
        </w:rPr>
        <w:t xml:space="preserve">. </w:t>
      </w:r>
      <w:r w:rsidRPr="003002D3">
        <w:rPr>
          <w:rFonts w:cs="Tahoma"/>
          <w:bCs/>
          <w:color w:val="000000"/>
          <w:szCs w:val="18"/>
          <w:lang w:val="de-DE"/>
        </w:rPr>
        <w:t>April 2015 oder unter einer nachfolgenden Beitrittslaufzeit, einem separaten Vertrag oder einem Beitritt erworben werden, dessen Wirksamkeitsdatum nach dem 1</w:t>
      </w:r>
      <w:r w:rsidR="006257A7">
        <w:rPr>
          <w:rFonts w:cs="Tahoma"/>
          <w:bCs/>
          <w:color w:val="000000"/>
          <w:szCs w:val="18"/>
          <w:lang w:val="de-DE"/>
        </w:rPr>
        <w:t xml:space="preserve">. </w:t>
      </w:r>
      <w:r w:rsidRPr="003002D3">
        <w:rPr>
          <w:rFonts w:cs="Tahoma"/>
          <w:bCs/>
          <w:color w:val="000000"/>
          <w:szCs w:val="18"/>
          <w:lang w:val="de-DE"/>
        </w:rPr>
        <w:t>April 2012 liegt, sind keine qualifizierenden Lizenzen</w:t>
      </w:r>
      <w:r w:rsidR="006257A7">
        <w:rPr>
          <w:rFonts w:cs="Tahoma"/>
          <w:bCs/>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Aktuelle Laufzeit</w:t>
      </w:r>
    </w:p>
    <w:p w:rsidR="00E73313" w:rsidRPr="003002D3" w:rsidRDefault="00E73313" w:rsidP="00E73313">
      <w:pPr>
        <w:ind w:left="720"/>
        <w:rPr>
          <w:lang w:val="de-DE"/>
        </w:rPr>
      </w:pPr>
      <w:r w:rsidRPr="003002D3">
        <w:rPr>
          <w:rFonts w:eastAsia="Calibri" w:cs="Tahoma"/>
          <w:color w:val="000000"/>
          <w:szCs w:val="18"/>
          <w:lang w:val="de-DE"/>
        </w:rPr>
        <w:t>Während der aktuellen Laufzeit ihrer Software Assurance zum 1</w:t>
      </w:r>
      <w:r w:rsidR="006257A7">
        <w:rPr>
          <w:rFonts w:eastAsia="Calibri" w:cs="Tahoma"/>
          <w:color w:val="000000"/>
          <w:szCs w:val="18"/>
          <w:lang w:val="de-DE"/>
        </w:rPr>
        <w:t xml:space="preserve">. </w:t>
      </w:r>
      <w:r w:rsidRPr="003002D3">
        <w:rPr>
          <w:rFonts w:eastAsia="Calibri" w:cs="Tahoma"/>
          <w:color w:val="000000"/>
          <w:szCs w:val="18"/>
          <w:lang w:val="de-DE"/>
        </w:rPr>
        <w:t>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Enterprise upzugraden und diese zu verwenden</w:t>
      </w:r>
      <w:r w:rsidR="006257A7">
        <w:rPr>
          <w:rFonts w:eastAsia="Calibri"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Erster Verlängerungszeitraum (vor dem 1</w:t>
      </w:r>
      <w:r w:rsidR="006257A7">
        <w:rPr>
          <w:rFonts w:eastAsia="Calibri" w:cs="Tahoma"/>
          <w:b/>
          <w:color w:val="000000"/>
          <w:szCs w:val="18"/>
          <w:lang w:val="de-DE"/>
        </w:rPr>
        <w:t xml:space="preserve">. </w:t>
      </w:r>
      <w:r w:rsidRPr="003002D3">
        <w:rPr>
          <w:rFonts w:eastAsia="Calibri" w:cs="Tahoma"/>
          <w:b/>
          <w:color w:val="000000"/>
          <w:szCs w:val="18"/>
          <w:lang w:val="de-DE"/>
        </w:rPr>
        <w:t>April 2015)</w:t>
      </w:r>
    </w:p>
    <w:p w:rsidR="00E73313" w:rsidRPr="003002D3" w:rsidRDefault="00E73313" w:rsidP="00E73313">
      <w:pPr>
        <w:tabs>
          <w:tab w:val="left" w:pos="1440"/>
        </w:tabs>
        <w:ind w:left="720"/>
        <w:rPr>
          <w:lang w:val="de-DE"/>
        </w:rPr>
      </w:pPr>
      <w:r w:rsidRPr="003002D3">
        <w:rPr>
          <w:rFonts w:eastAsia="Calibri" w:cs="Tahoma"/>
          <w:color w:val="000000"/>
          <w:szCs w:val="18"/>
          <w:lang w:val="de-DE"/>
        </w:rPr>
        <w:t>Bei der ersten Software Assurance-Verlängerung am oder nach dem 1</w:t>
      </w:r>
      <w:r w:rsidR="006257A7">
        <w:rPr>
          <w:rFonts w:eastAsia="Calibri" w:cs="Tahoma"/>
          <w:color w:val="000000"/>
          <w:szCs w:val="18"/>
          <w:lang w:val="de-DE"/>
        </w:rPr>
        <w:t xml:space="preserve">. </w:t>
      </w:r>
      <w:r w:rsidRPr="003002D3">
        <w:rPr>
          <w:rFonts w:eastAsia="Calibri" w:cs="Tahoma"/>
          <w:color w:val="000000"/>
          <w:szCs w:val="18"/>
          <w:lang w:val="de-DE"/>
        </w:rPr>
        <w:t>April 2012 (jedoch vor dem 1</w:t>
      </w:r>
      <w:r w:rsidR="006257A7">
        <w:rPr>
          <w:rFonts w:eastAsia="Calibri" w:cs="Tahoma"/>
          <w:color w:val="000000"/>
          <w:szCs w:val="18"/>
          <w:lang w:val="de-DE"/>
        </w:rPr>
        <w:t xml:space="preserve">. </w:t>
      </w:r>
      <w:r w:rsidRPr="003002D3">
        <w:rPr>
          <w:rFonts w:eastAsia="Calibri" w:cs="Tahoma"/>
          <w:color w:val="000000"/>
          <w:szCs w:val="18"/>
          <w:lang w:val="de-DE"/>
        </w:rPr>
        <w:t>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E73313" w:rsidRPr="003002D3" w:rsidRDefault="00E73313" w:rsidP="00E73313">
      <w:pPr>
        <w:rPr>
          <w:lang w:val="de-DE"/>
        </w:rPr>
      </w:pPr>
    </w:p>
    <w:p w:rsidR="00E73313" w:rsidRPr="003002D3" w:rsidRDefault="00E73313" w:rsidP="00E73313">
      <w:pPr>
        <w:numPr>
          <w:ilvl w:val="0"/>
          <w:numId w:val="118"/>
        </w:numPr>
        <w:tabs>
          <w:tab w:val="left" w:pos="1800"/>
        </w:tabs>
        <w:spacing w:after="60"/>
        <w:ind w:left="1440"/>
        <w:rPr>
          <w:lang w:val="de-DE"/>
        </w:rPr>
      </w:pPr>
      <w:r w:rsidRPr="003002D3">
        <w:rPr>
          <w:rFonts w:eastAsia="Calibri" w:cs="Tahoma"/>
          <w:color w:val="000000"/>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E73313" w:rsidRPr="0062435A" w:rsidRDefault="00E73313" w:rsidP="00E73313">
      <w:pPr>
        <w:numPr>
          <w:ilvl w:val="3"/>
          <w:numId w:val="93"/>
        </w:numPr>
        <w:tabs>
          <w:tab w:val="left" w:pos="2160"/>
        </w:tabs>
        <w:spacing w:after="60"/>
        <w:ind w:left="2160"/>
      </w:pPr>
      <w:r>
        <w:rPr>
          <w:rFonts w:eastAsia="Calibri" w:cs="Tahoma"/>
          <w:color w:val="000000"/>
          <w:szCs w:val="18"/>
        </w:rPr>
        <w:t>vier ODER</w:t>
      </w:r>
    </w:p>
    <w:p w:rsidR="00E73313" w:rsidRPr="003002D3" w:rsidRDefault="00E73313" w:rsidP="00E73313">
      <w:pPr>
        <w:numPr>
          <w:ilvl w:val="3"/>
          <w:numId w:val="93"/>
        </w:numPr>
        <w:tabs>
          <w:tab w:val="left" w:pos="2160"/>
        </w:tabs>
        <w:spacing w:after="60"/>
        <w:ind w:left="2160"/>
        <w:rPr>
          <w:lang w:val="de-DE"/>
        </w:rPr>
      </w:pPr>
      <w:r w:rsidRPr="003002D3">
        <w:rPr>
          <w:rFonts w:eastAsia="Calibri" w:cs="Tahoma"/>
          <w:color w:val="000000"/>
          <w:szCs w:val="18"/>
          <w:lang w:val="de-DE"/>
        </w:rPr>
        <w:t>der tatsächlichen Anzahl von Cores pro physischem Prozessor multipliziert mit dem entsprechenden Core-Faktor</w:t>
      </w:r>
      <w:r w:rsidR="006257A7">
        <w:rPr>
          <w:rFonts w:eastAsia="Calibri" w:cs="Tahoma"/>
          <w:color w:val="000000"/>
          <w:szCs w:val="18"/>
          <w:lang w:val="de-DE"/>
        </w:rPr>
        <w:t xml:space="preserve">. </w:t>
      </w:r>
      <w:r w:rsidRPr="003002D3">
        <w:rPr>
          <w:rFonts w:eastAsia="Calibri" w:cs="Tahoma"/>
          <w:color w:val="000000"/>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color w:val="000000"/>
          <w:szCs w:val="18"/>
          <w:lang w:val="de-DE"/>
        </w:rPr>
        <w:t xml:space="preserve">. </w:t>
      </w:r>
      <w:r w:rsidRPr="003002D3">
        <w:rPr>
          <w:rFonts w:eastAsia="Calibri" w:cs="Tahoma"/>
          <w:color w:val="000000"/>
          <w:szCs w:val="18"/>
          <w:lang w:val="de-DE"/>
        </w:rPr>
        <w:t xml:space="preserve">) </w:t>
      </w:r>
    </w:p>
    <w:p w:rsidR="00E73313" w:rsidRPr="003002D3" w:rsidRDefault="00E73313" w:rsidP="00E73313">
      <w:pPr>
        <w:numPr>
          <w:ilvl w:val="0"/>
          <w:numId w:val="118"/>
        </w:numPr>
        <w:tabs>
          <w:tab w:val="left" w:pos="1800"/>
        </w:tabs>
        <w:spacing w:after="60"/>
        <w:ind w:left="1440"/>
        <w:rPr>
          <w:lang w:val="de-DE"/>
        </w:rPr>
      </w:pPr>
      <w:r w:rsidRPr="003002D3">
        <w:rPr>
          <w:rFonts w:eastAsia="Calibri" w:cs="Tahoma"/>
          <w:color w:val="000000"/>
          <w:szCs w:val="18"/>
          <w:lang w:val="de-DE"/>
        </w:rPr>
        <w:t>eine Anzahl, die der Anzahl von dem Server zugewiesenen qualifizierenden Lizenzen entspricht, die die tatsächliche Anzahl physischer Prozessoren auf dem Server übersteigen, multipliziert mit vier</w:t>
      </w:r>
      <w:r w:rsidR="006257A7">
        <w:rPr>
          <w:rFonts w:eastAsia="Calibri" w:cs="Tahoma"/>
          <w:color w:val="000000"/>
          <w:szCs w:val="18"/>
          <w:lang w:val="de-DE"/>
        </w:rPr>
        <w:t xml:space="preserve">. </w:t>
      </w:r>
    </w:p>
    <w:p w:rsidR="00E73313" w:rsidRDefault="00E73313" w:rsidP="00E73313">
      <w:pPr>
        <w:tabs>
          <w:tab w:val="left" w:pos="1800"/>
        </w:tabs>
        <w:ind w:left="1080"/>
        <w:rPr>
          <w:lang w:val="de-DE"/>
        </w:rPr>
      </w:pPr>
    </w:p>
    <w:p w:rsidR="001B3A05" w:rsidRDefault="001B3A05" w:rsidP="00E73313">
      <w:pPr>
        <w:tabs>
          <w:tab w:val="left" w:pos="1800"/>
        </w:tabs>
        <w:ind w:left="1080"/>
        <w:rPr>
          <w:lang w:val="de-DE"/>
        </w:rPr>
      </w:pPr>
    </w:p>
    <w:p w:rsidR="001B3A05" w:rsidRDefault="001B3A05" w:rsidP="00E73313">
      <w:pPr>
        <w:tabs>
          <w:tab w:val="left" w:pos="1800"/>
        </w:tabs>
        <w:ind w:left="1080"/>
        <w:rPr>
          <w:lang w:val="de-DE"/>
        </w:rPr>
      </w:pPr>
    </w:p>
    <w:p w:rsidR="001B3A05" w:rsidRDefault="001B3A05" w:rsidP="00E73313">
      <w:pPr>
        <w:tabs>
          <w:tab w:val="left" w:pos="1800"/>
        </w:tabs>
        <w:ind w:left="1080"/>
        <w:rPr>
          <w:lang w:val="de-DE"/>
        </w:rPr>
      </w:pPr>
    </w:p>
    <w:p w:rsidR="001B3A05" w:rsidRDefault="001B3A05" w:rsidP="00E73313">
      <w:pPr>
        <w:tabs>
          <w:tab w:val="left" w:pos="1800"/>
        </w:tabs>
        <w:ind w:left="1080"/>
        <w:rPr>
          <w:lang w:val="de-DE"/>
        </w:rPr>
      </w:pPr>
    </w:p>
    <w:p w:rsidR="00F25255" w:rsidRDefault="00F25255" w:rsidP="00E73313">
      <w:pPr>
        <w:tabs>
          <w:tab w:val="left" w:pos="1800"/>
        </w:tabs>
        <w:ind w:left="1080"/>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Erster Verlängerungszeitraum am oder nach dem 1</w:t>
      </w:r>
      <w:r w:rsidR="006257A7">
        <w:rPr>
          <w:rFonts w:eastAsia="Calibri" w:cs="Tahoma"/>
          <w:b/>
          <w:color w:val="000000"/>
          <w:szCs w:val="18"/>
          <w:lang w:val="de-DE"/>
        </w:rPr>
        <w:t xml:space="preserve">. </w:t>
      </w:r>
      <w:r w:rsidRPr="003002D3">
        <w:rPr>
          <w:rFonts w:eastAsia="Calibri" w:cs="Tahoma"/>
          <w:b/>
          <w:color w:val="000000"/>
          <w:szCs w:val="18"/>
          <w:lang w:val="de-DE"/>
        </w:rPr>
        <w:t>April 2015</w:t>
      </w:r>
    </w:p>
    <w:p w:rsidR="00E73313" w:rsidRPr="003002D3" w:rsidRDefault="00E73313" w:rsidP="00E73313">
      <w:pPr>
        <w:ind w:left="720"/>
        <w:rPr>
          <w:lang w:val="de-DE"/>
        </w:rPr>
      </w:pPr>
      <w:r w:rsidRPr="003002D3">
        <w:rPr>
          <w:rFonts w:eastAsia="Calibri" w:cs="Tahoma"/>
          <w:color w:val="000000"/>
          <w:szCs w:val="18"/>
          <w:lang w:val="de-DE"/>
        </w:rPr>
        <w:t>Kunden, die Software Assurance am oder nach dem 1</w:t>
      </w:r>
      <w:r w:rsidR="006257A7">
        <w:rPr>
          <w:rFonts w:eastAsia="Calibri" w:cs="Tahoma"/>
          <w:color w:val="000000"/>
          <w:szCs w:val="18"/>
          <w:lang w:val="de-DE"/>
        </w:rPr>
        <w:t xml:space="preserve">. </w:t>
      </w:r>
      <w:r w:rsidRPr="003002D3">
        <w:rPr>
          <w:rFonts w:eastAsia="Calibri" w:cs="Tahoma"/>
          <w:color w:val="000000"/>
          <w:szCs w:val="18"/>
          <w:lang w:val="de-DE"/>
        </w:rPr>
        <w:t>April 2015</w:t>
      </w:r>
      <w:r w:rsidRPr="003002D3">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E73313" w:rsidRPr="003002D3" w:rsidRDefault="00E73313" w:rsidP="00E73313">
      <w:pPr>
        <w:ind w:left="720"/>
        <w:rPr>
          <w:lang w:val="de-DE"/>
        </w:rPr>
      </w:pPr>
    </w:p>
    <w:p w:rsidR="00E73313" w:rsidRPr="0062435A" w:rsidRDefault="00E73313" w:rsidP="00E73313">
      <w:pPr>
        <w:numPr>
          <w:ilvl w:val="3"/>
          <w:numId w:val="94"/>
        </w:numPr>
        <w:spacing w:after="60"/>
        <w:ind w:left="1440" w:hanging="360"/>
      </w:pPr>
      <w:r w:rsidRPr="003002D3">
        <w:rPr>
          <w:rFonts w:eastAsia="Calibri" w:cs="Tahoma"/>
          <w:szCs w:val="18"/>
          <w:lang w:val="de-DE"/>
        </w:rPr>
        <w:t>Wie im ersten Absatz dieses Produkthinweises dargelegt, sind Lizenzen, die vor dem 1</w:t>
      </w:r>
      <w:r w:rsidR="006257A7">
        <w:rPr>
          <w:rFonts w:eastAsia="Calibri" w:cs="Tahoma"/>
          <w:szCs w:val="18"/>
          <w:lang w:val="de-DE"/>
        </w:rPr>
        <w:t xml:space="preserve">. </w:t>
      </w:r>
      <w:r w:rsidRPr="003002D3">
        <w:rPr>
          <w:rFonts w:eastAsia="Calibri" w:cs="Tahoma"/>
          <w:szCs w:val="18"/>
          <w:lang w:val="de-DE"/>
        </w:rPr>
        <w:t>April 2015 erworben wurden, qualifizierende Lizenzen, und Kunden sind berechtigt, Software Assurance in Übereinstimmung mit den Bestimmungen im Abschnitt oben mit der Überschrift „Erster Verlängerungszeitraum (vor dem 1</w:t>
      </w:r>
      <w:r w:rsidR="006257A7">
        <w:rPr>
          <w:rFonts w:eastAsia="Calibri" w:cs="Tahoma"/>
          <w:szCs w:val="18"/>
          <w:lang w:val="de-DE"/>
        </w:rPr>
        <w:t xml:space="preserve">. </w:t>
      </w:r>
      <w:r>
        <w:rPr>
          <w:rFonts w:eastAsia="Calibri" w:cs="Tahoma"/>
          <w:szCs w:val="18"/>
        </w:rPr>
        <w:t xml:space="preserve">April 2015)“ zu verlängern, und </w:t>
      </w:r>
    </w:p>
    <w:p w:rsidR="00E73313" w:rsidRPr="003002D3" w:rsidRDefault="001B3A05" w:rsidP="00E73313">
      <w:pPr>
        <w:numPr>
          <w:ilvl w:val="3"/>
          <w:numId w:val="94"/>
        </w:numPr>
        <w:spacing w:after="60"/>
        <w:ind w:left="1440" w:hanging="360"/>
        <w:rPr>
          <w:lang w:val="de-DE"/>
        </w:rPr>
      </w:pPr>
      <w:r>
        <w:rPr>
          <w:rFonts w:eastAsia="Calibri" w:cs="Tahoma"/>
          <w:szCs w:val="18"/>
          <w:lang w:val="de-DE"/>
        </w:rPr>
        <w:t>F</w:t>
      </w:r>
      <w:r w:rsidR="00E73313" w:rsidRPr="003002D3">
        <w:rPr>
          <w:rFonts w:eastAsia="Calibri" w:cs="Tahoma"/>
          <w:szCs w:val="18"/>
          <w:lang w:val="de-DE"/>
        </w:rPr>
        <w:t>ür Lizenzen, die nach dem 1</w:t>
      </w:r>
      <w:r w:rsidR="006257A7">
        <w:rPr>
          <w:rFonts w:eastAsia="Calibri" w:cs="Tahoma"/>
          <w:szCs w:val="18"/>
          <w:lang w:val="de-DE"/>
        </w:rPr>
        <w:t xml:space="preserve">. </w:t>
      </w:r>
      <w:r w:rsidR="00E73313" w:rsidRPr="003002D3">
        <w:rPr>
          <w:rFonts w:eastAsia="Calibri" w:cs="Tahoma"/>
          <w:szCs w:val="18"/>
          <w:lang w:val="de-DE"/>
        </w:rPr>
        <w:t>April 2015 erworben wurden, sind Kunden berechtigt, Software Assurance für vier SQL Server Enterprise-Core-Lizenzen zu verlängern, ohne die zugrunde liegenden Core-Lizenzen für jede SQL Server 2008 R2 Enterprise-Prozessorlizenz zu erwerben</w:t>
      </w:r>
      <w:r w:rsidR="006257A7">
        <w:rPr>
          <w:rFonts w:eastAsia="Calibri" w:cs="Tahoma"/>
          <w:szCs w:val="18"/>
          <w:lang w:val="de-DE"/>
        </w:rPr>
        <w:t xml:space="preserve">. </w:t>
      </w:r>
      <w:r w:rsidR="00E73313" w:rsidRPr="003002D3">
        <w:rPr>
          <w:rFonts w:eastAsia="Calibri" w:cs="Tahoma"/>
          <w:szCs w:val="18"/>
          <w:lang w:val="de-DE"/>
        </w:rPr>
        <w:t>Für die kontinuierliche Verwendung von SQL Server 2012 auf Prozessoren, die mehr als vier Core-Lizenzen pro Prozessor erfordern, muss der Kunde die zusätzlichen Core-Lizenzen erwerben</w:t>
      </w:r>
      <w:r w:rsidR="006257A7">
        <w:rPr>
          <w:rFonts w:eastAsia="Calibri" w:cs="Tahoma"/>
          <w:szCs w:val="18"/>
          <w:lang w:val="de-DE"/>
        </w:rPr>
        <w:t xml:space="preserve">. </w:t>
      </w:r>
    </w:p>
    <w:p w:rsidR="00E73313" w:rsidRPr="003002D3" w:rsidRDefault="00E73313" w:rsidP="00E73313">
      <w:pPr>
        <w:numPr>
          <w:ilvl w:val="0"/>
          <w:numId w:val="50"/>
        </w:numPr>
        <w:spacing w:after="60"/>
        <w:ind w:left="1440"/>
        <w:rPr>
          <w:lang w:val="de-DE"/>
        </w:rPr>
      </w:pPr>
      <w:r w:rsidRPr="003002D3">
        <w:rPr>
          <w:rFonts w:eastAsia="Calibri" w:cs="Tahoma"/>
          <w:color w:val="000000"/>
          <w:szCs w:val="18"/>
          <w:lang w:val="de-DE"/>
        </w:rPr>
        <w:t>Die Prozessorlizenzen des Kunden sind bei Erwerb von Software Assurance für Core-Lizenzen unter diesem Angebot nicht mehr gültig</w:t>
      </w:r>
      <w:r w:rsidR="006257A7">
        <w:rPr>
          <w:rFonts w:eastAsia="Calibri" w:cs="Tahoma"/>
          <w:color w:val="000000"/>
          <w:szCs w:val="18"/>
          <w:lang w:val="de-DE"/>
        </w:rPr>
        <w:t xml:space="preserve">. </w:t>
      </w:r>
      <w:r w:rsidRPr="003002D3">
        <w:rPr>
          <w:rFonts w:eastAsia="Calibri" w:cs="Tahoma"/>
          <w:szCs w:val="18"/>
          <w:lang w:val="de-DE"/>
        </w:rPr>
        <w:t>Die Option zum Erwerb von Core-Lizenzen für Software Assurance für SQL Server ist nicht auf die Software Assurance-Verlängerung unter Abonnementprogrammen anwendbar</w:t>
      </w:r>
      <w:r w:rsidR="006257A7">
        <w:rPr>
          <w:rFonts w:eastAsia="Calibri" w:cs="Tahoma"/>
          <w:szCs w:val="18"/>
          <w:lang w:val="de-DE"/>
        </w:rPr>
        <w:t xml:space="preserve">. </w:t>
      </w:r>
    </w:p>
    <w:p w:rsidR="00E73313" w:rsidRPr="003002D3" w:rsidRDefault="00E73313" w:rsidP="00E73313">
      <w:pPr>
        <w:ind w:left="1440"/>
        <w:rPr>
          <w:lang w:val="de-DE"/>
        </w:rPr>
      </w:pPr>
    </w:p>
    <w:p w:rsidR="00E73313" w:rsidRPr="003002D3" w:rsidRDefault="00E73313" w:rsidP="00E73313">
      <w:pPr>
        <w:tabs>
          <w:tab w:val="left" w:pos="1440"/>
        </w:tabs>
        <w:spacing w:after="60"/>
        <w:ind w:left="720"/>
        <w:rPr>
          <w:lang w:val="de-DE"/>
        </w:rPr>
      </w:pPr>
      <w:r w:rsidRPr="003002D3">
        <w:rPr>
          <w:rFonts w:eastAsia="Calibri" w:cs="Tahoma"/>
          <w:b/>
          <w:color w:val="000000"/>
          <w:szCs w:val="18"/>
          <w:lang w:val="de-DE"/>
        </w:rPr>
        <w:t>Für Kunden mit Software Assurance, die vor dem 1</w:t>
      </w:r>
      <w:r w:rsidR="006257A7">
        <w:rPr>
          <w:rFonts w:eastAsia="Calibri" w:cs="Tahoma"/>
          <w:b/>
          <w:color w:val="000000"/>
          <w:szCs w:val="18"/>
          <w:lang w:val="de-DE"/>
        </w:rPr>
        <w:t xml:space="preserve">. </w:t>
      </w:r>
      <w:r w:rsidRPr="003002D3">
        <w:rPr>
          <w:rFonts w:eastAsia="Calibri" w:cs="Tahoma"/>
          <w:b/>
          <w:color w:val="000000"/>
          <w:szCs w:val="18"/>
          <w:lang w:val="de-DE"/>
        </w:rPr>
        <w:t>April 2015 abläuft, die sich gegen eine Verlängerung entscheiden</w:t>
      </w:r>
    </w:p>
    <w:p w:rsidR="00E73313" w:rsidRPr="003002D3" w:rsidRDefault="00E73313" w:rsidP="00E73313">
      <w:pPr>
        <w:tabs>
          <w:tab w:val="left" w:pos="1440"/>
        </w:tabs>
        <w:ind w:left="720"/>
        <w:rPr>
          <w:lang w:val="de-DE"/>
        </w:rPr>
      </w:pPr>
      <w:r w:rsidRPr="003002D3">
        <w:rPr>
          <w:rFonts w:eastAsia="Calibri" w:cs="Tahoma"/>
          <w:color w:val="000000"/>
          <w:szCs w:val="18"/>
          <w:lang w:val="de-DE"/>
        </w:rPr>
        <w:t xml:space="preserve">Konzern-Abonnement- </w:t>
      </w:r>
      <w:r w:rsidRPr="003002D3">
        <w:rPr>
          <w:rFonts w:cs="Tahoma"/>
          <w:bCs/>
          <w:color w:val="000000"/>
          <w:szCs w:val="18"/>
          <w:lang w:val="de-DE"/>
        </w:rPr>
        <w:t>und Open Value Subscription-</w:t>
      </w:r>
      <w:r w:rsidRPr="003002D3">
        <w:rPr>
          <w:rFonts w:eastAsia="Calibri" w:cs="Tahoma"/>
          <w:color w:val="000000"/>
          <w:szCs w:val="18"/>
          <w:lang w:val="de-DE"/>
        </w:rPr>
        <w:t>Kunden mit Software Assurance, die vor dem 1</w:t>
      </w:r>
      <w:r w:rsidR="006257A7">
        <w:rPr>
          <w:rFonts w:eastAsia="Calibri" w:cs="Tahoma"/>
          <w:color w:val="000000"/>
          <w:szCs w:val="18"/>
          <w:lang w:val="de-DE"/>
        </w:rPr>
        <w:t xml:space="preserve">. </w:t>
      </w:r>
      <w:r w:rsidRPr="003002D3">
        <w:rPr>
          <w:rFonts w:eastAsia="Calibri" w:cs="Tahoma"/>
          <w:color w:val="000000"/>
          <w:szCs w:val="18"/>
          <w:lang w:val="de-DE"/>
        </w:rPr>
        <w:t>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E73313" w:rsidRPr="003002D3" w:rsidRDefault="00E73313" w:rsidP="00E73313">
      <w:pPr>
        <w:tabs>
          <w:tab w:val="left" w:pos="1440"/>
        </w:tabs>
        <w:ind w:left="720"/>
        <w:rPr>
          <w:lang w:val="de-DE"/>
        </w:rPr>
      </w:pPr>
    </w:p>
    <w:p w:rsidR="00E73313" w:rsidRPr="003002D3" w:rsidRDefault="00E73313" w:rsidP="00E73313">
      <w:pPr>
        <w:numPr>
          <w:ilvl w:val="0"/>
          <w:numId w:val="53"/>
        </w:numPr>
        <w:spacing w:after="60"/>
        <w:ind w:left="1440"/>
        <w:rPr>
          <w:lang w:val="de-DE"/>
        </w:rPr>
      </w:pPr>
      <w:r w:rsidRPr="003002D3">
        <w:rPr>
          <w:rFonts w:eastAsia="Calibri" w:cs="Tahoma"/>
          <w:b/>
          <w:color w:val="000000"/>
          <w:szCs w:val="18"/>
          <w:lang w:val="de-DE"/>
        </w:rPr>
        <w:t>SQL Server 2008 R2 Enterprise:</w:t>
      </w:r>
      <w:r w:rsidRPr="003002D3">
        <w:rPr>
          <w:rFonts w:eastAsia="Calibri" w:cs="Tahoma"/>
          <w:color w:val="000000"/>
          <w:szCs w:val="18"/>
          <w:lang w:val="de-DE"/>
        </w:rPr>
        <w:t xml:space="preserve"> 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w:t>
      </w:r>
      <w:r w:rsidR="006257A7">
        <w:rPr>
          <w:rFonts w:eastAsia="Calibri" w:cs="Tahoma"/>
          <w:color w:val="000000"/>
          <w:szCs w:val="18"/>
          <w:lang w:val="de-DE"/>
        </w:rPr>
        <w:t xml:space="preserve">. </w:t>
      </w:r>
    </w:p>
    <w:p w:rsidR="00E73313" w:rsidRPr="003002D3" w:rsidRDefault="00E73313" w:rsidP="00E73313">
      <w:pPr>
        <w:numPr>
          <w:ilvl w:val="0"/>
          <w:numId w:val="53"/>
        </w:numPr>
        <w:tabs>
          <w:tab w:val="left" w:pos="1800"/>
        </w:tabs>
        <w:spacing w:after="60"/>
        <w:ind w:left="1440"/>
        <w:rPr>
          <w:lang w:val="de-DE"/>
        </w:rPr>
      </w:pPr>
      <w:r w:rsidRPr="003002D3">
        <w:rPr>
          <w:rFonts w:eastAsia="Calibri" w:cs="Tahoma"/>
          <w:b/>
          <w:color w:val="000000"/>
          <w:szCs w:val="18"/>
          <w:lang w:val="de-DE"/>
        </w:rPr>
        <w:t xml:space="preserve">SQL Server 2012 Enterprise Core: </w:t>
      </w:r>
      <w:r w:rsidRPr="003002D3">
        <w:rPr>
          <w:rFonts w:eastAsia="Calibri" w:cs="Tahoma"/>
          <w:color w:val="000000"/>
          <w:szCs w:val="18"/>
          <w:lang w:val="de-DE"/>
        </w:rPr>
        <w:t xml:space="preserve">Die Verwendung dieser Version der Software unterliegt den Produktbenutzungsrechten für SQL Server 2008 R2 Enterprise-Prozessorlizenzen, jedoch mit folgenden Einschränkungen: </w:t>
      </w:r>
    </w:p>
    <w:p w:rsidR="00E73313" w:rsidRPr="003002D3" w:rsidRDefault="00E73313" w:rsidP="00E73313">
      <w:pPr>
        <w:numPr>
          <w:ilvl w:val="1"/>
          <w:numId w:val="53"/>
        </w:numPr>
        <w:tabs>
          <w:tab w:val="left" w:pos="2160"/>
        </w:tabs>
        <w:spacing w:after="60"/>
        <w:ind w:left="2160"/>
        <w:rPr>
          <w:lang w:val="de-DE"/>
        </w:rPr>
      </w:pPr>
      <w:r w:rsidRPr="003002D3">
        <w:rPr>
          <w:rFonts w:eastAsia="Calibri" w:cs="Tahoma"/>
          <w:color w:val="000000"/>
          <w:szCs w:val="18"/>
          <w:lang w:val="de-DE"/>
        </w:rPr>
        <w:t xml:space="preserve">Kunden verfügen nicht mehr über Nutzungsrechte für Unbegrenzte Virtualisierung, Lizenzmobilität innerhalb von Serverfarmen oder Lizenzmobilität durch Software Assurance, und </w:t>
      </w:r>
    </w:p>
    <w:p w:rsidR="00E73313" w:rsidRPr="0062435A" w:rsidRDefault="00E73313" w:rsidP="00E73313">
      <w:pPr>
        <w:numPr>
          <w:ilvl w:val="1"/>
          <w:numId w:val="53"/>
        </w:numPr>
        <w:tabs>
          <w:tab w:val="left" w:pos="2160"/>
          <w:tab w:val="left" w:pos="2970"/>
        </w:tabs>
        <w:spacing w:after="60"/>
        <w:ind w:left="2160"/>
      </w:pPr>
      <w:r w:rsidRPr="003002D3">
        <w:rPr>
          <w:rFonts w:eastAsia="Calibri" w:cs="Tahoma"/>
          <w:color w:val="000000"/>
          <w:szCs w:val="18"/>
          <w:lang w:val="de-DE"/>
        </w:rPr>
        <w:t>Neuzuweisungen von Lizenzen unterliegen den Beschränkungen unten unter (i) und (ii) in Bezug auf ihre „Core-Lizenzäquivalenz“</w:t>
      </w:r>
      <w:r w:rsidR="006257A7">
        <w:rPr>
          <w:rFonts w:eastAsia="Calibri" w:cs="Tahoma"/>
          <w:color w:val="000000"/>
          <w:szCs w:val="18"/>
          <w:lang w:val="de-DE"/>
        </w:rPr>
        <w:t xml:space="preserve">. </w:t>
      </w:r>
      <w:r>
        <w:rPr>
          <w:rFonts w:eastAsia="Calibri" w:cs="Tahoma"/>
          <w:color w:val="000000"/>
          <w:szCs w:val="18"/>
        </w:rPr>
        <w:t>Die Core-Lizenzäquivalenz wird wie folgt bestimmt</w:t>
      </w:r>
      <w:r w:rsidR="006257A7">
        <w:rPr>
          <w:rFonts w:eastAsia="Calibri" w:cs="Tahoma"/>
          <w:color w:val="000000"/>
          <w:szCs w:val="18"/>
        </w:rPr>
        <w:t xml:space="preserve">. </w:t>
      </w:r>
    </w:p>
    <w:p w:rsidR="00E73313" w:rsidRPr="003002D3" w:rsidRDefault="00E73313" w:rsidP="00E73313">
      <w:pPr>
        <w:numPr>
          <w:ilvl w:val="2"/>
          <w:numId w:val="53"/>
        </w:numPr>
        <w:tabs>
          <w:tab w:val="left" w:pos="2520"/>
        </w:tabs>
        <w:spacing w:after="60"/>
        <w:ind w:left="2520"/>
        <w:rPr>
          <w:lang w:val="de-DE"/>
        </w:rPr>
      </w:pPr>
      <w:r w:rsidRPr="003002D3">
        <w:rPr>
          <w:rFonts w:eastAsia="Calibri" w:cs="Tahoma"/>
          <w:color w:val="000000"/>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E73313" w:rsidRPr="0062435A" w:rsidRDefault="00E73313" w:rsidP="00E73313">
      <w:pPr>
        <w:numPr>
          <w:ilvl w:val="4"/>
          <w:numId w:val="50"/>
        </w:numPr>
        <w:tabs>
          <w:tab w:val="left" w:pos="2880"/>
        </w:tabs>
        <w:spacing w:after="60"/>
        <w:ind w:left="2880"/>
      </w:pPr>
      <w:r>
        <w:rPr>
          <w:rFonts w:eastAsia="Calibri" w:cs="Tahoma"/>
          <w:color w:val="000000"/>
          <w:szCs w:val="18"/>
        </w:rPr>
        <w:t xml:space="preserve">vier Cores pro Prozessorlizenz ODER </w:t>
      </w:r>
    </w:p>
    <w:p w:rsidR="00E73313" w:rsidRPr="003002D3" w:rsidRDefault="00E73313" w:rsidP="00E73313">
      <w:pPr>
        <w:numPr>
          <w:ilvl w:val="4"/>
          <w:numId w:val="50"/>
        </w:numPr>
        <w:tabs>
          <w:tab w:val="left" w:pos="2880"/>
        </w:tabs>
        <w:spacing w:after="60"/>
        <w:ind w:left="2880"/>
        <w:rPr>
          <w:lang w:val="de-DE"/>
        </w:rPr>
      </w:pPr>
      <w:r w:rsidRPr="003002D3">
        <w:rPr>
          <w:rFonts w:eastAsia="Calibri" w:cs="Tahoma"/>
          <w:color w:val="000000"/>
          <w:szCs w:val="18"/>
          <w:lang w:val="de-DE"/>
        </w:rPr>
        <w:t>einer Anzahl von Cores pro Prozessorlizenz basierend auf der tatsächlichen Anzahl von Cores pro physischem Prozessor multipliziert mit dem entsprechenden Core-Faktor</w:t>
      </w:r>
      <w:r w:rsidR="006257A7">
        <w:rPr>
          <w:rFonts w:eastAsia="Calibri" w:cs="Tahoma"/>
          <w:color w:val="000000"/>
          <w:szCs w:val="18"/>
          <w:lang w:val="de-DE"/>
        </w:rPr>
        <w:t xml:space="preserve">. </w:t>
      </w:r>
      <w:r w:rsidRPr="003002D3">
        <w:rPr>
          <w:rFonts w:eastAsia="Calibri" w:cs="Tahoma"/>
          <w:color w:val="000000"/>
          <w:szCs w:val="18"/>
          <w:lang w:val="de-DE"/>
        </w:rPr>
        <w:t>(Wenn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color w:val="000000"/>
          <w:szCs w:val="18"/>
          <w:lang w:val="de-DE"/>
        </w:rPr>
        <w:t xml:space="preserve">. </w:t>
      </w:r>
      <w:r w:rsidRPr="003002D3">
        <w:rPr>
          <w:rFonts w:eastAsia="Calibri" w:cs="Tahoma"/>
          <w:color w:val="000000"/>
          <w:szCs w:val="18"/>
          <w:lang w:val="de-DE"/>
        </w:rPr>
        <w:t xml:space="preserve">) </w:t>
      </w:r>
    </w:p>
    <w:p w:rsidR="00E73313" w:rsidRPr="003002D3" w:rsidRDefault="00E73313" w:rsidP="00FB29A2">
      <w:pPr>
        <w:numPr>
          <w:ilvl w:val="2"/>
          <w:numId w:val="53"/>
        </w:numPr>
        <w:tabs>
          <w:tab w:val="left" w:pos="2520"/>
        </w:tabs>
        <w:spacing w:after="40"/>
        <w:ind w:left="2520"/>
        <w:rPr>
          <w:lang w:val="de-DE"/>
        </w:rPr>
      </w:pPr>
      <w:r w:rsidRPr="003002D3">
        <w:rPr>
          <w:rFonts w:eastAsia="Calibri" w:cs="Tahoma"/>
          <w:color w:val="000000"/>
          <w:szCs w:val="18"/>
          <w:lang w:val="de-DE"/>
        </w:rPr>
        <w:t>Für demselben lizenzierten Server zugewiesene Prozessorlizenzen mit ablaufender Software Assurance, die die tatsächliche Anzahl physischer Prozessoren im Server übersteigen, beträgt die Core-Äquivalenz vier Cores pro Prozessorlizenz</w:t>
      </w:r>
      <w:r w:rsidR="006257A7">
        <w:rPr>
          <w:rFonts w:eastAsia="Calibri" w:cs="Tahoma"/>
          <w:color w:val="000000"/>
          <w:szCs w:val="18"/>
          <w:lang w:val="de-DE"/>
        </w:rPr>
        <w:t xml:space="preserve">. </w:t>
      </w:r>
    </w:p>
    <w:p w:rsidR="00E73313" w:rsidRPr="003002D3" w:rsidRDefault="00E73313" w:rsidP="00FB29A2">
      <w:pPr>
        <w:numPr>
          <w:ilvl w:val="1"/>
          <w:numId w:val="53"/>
        </w:numPr>
        <w:tabs>
          <w:tab w:val="left" w:pos="1800"/>
        </w:tabs>
        <w:spacing w:after="40"/>
        <w:ind w:left="1800"/>
        <w:rPr>
          <w:lang w:val="de-DE"/>
        </w:rPr>
      </w:pPr>
      <w:r w:rsidRPr="003002D3">
        <w:rPr>
          <w:rFonts w:eastAsia="Calibri" w:cs="Tahoma"/>
          <w:color w:val="000000"/>
          <w:szCs w:val="18"/>
          <w:lang w:val="de-DE"/>
        </w:rPr>
        <w:t xml:space="preserve">Kunden </w:t>
      </w:r>
      <w:r w:rsidRPr="003002D3">
        <w:rPr>
          <w:rFonts w:eastAsia="Calibri" w:cs="Tahoma"/>
          <w:szCs w:val="18"/>
          <w:lang w:val="de-DE"/>
        </w:rPr>
        <w:t>sind berechtigt, Lizenzen einem anderen Server neu zuzuweisen</w:t>
      </w:r>
      <w:r w:rsidR="006257A7">
        <w:rPr>
          <w:rFonts w:eastAsia="Calibri" w:cs="Tahoma"/>
          <w:szCs w:val="18"/>
          <w:lang w:val="de-DE"/>
        </w:rPr>
        <w:t xml:space="preserve">. </w:t>
      </w:r>
      <w:r w:rsidRPr="003002D3">
        <w:rPr>
          <w:rFonts w:eastAsia="Calibri" w:cs="Tahoma"/>
          <w:szCs w:val="18"/>
          <w:lang w:val="de-DE"/>
        </w:rPr>
        <w:t>Wenn der Kunde jedoch eine Lizenz einem anderen Server neu zuweist, muss der Kunde die Nutzungsrechte für</w:t>
      </w:r>
      <w:r w:rsidR="001B3A05">
        <w:rPr>
          <w:rFonts w:eastAsia="Calibri" w:cs="Tahoma"/>
          <w:szCs w:val="18"/>
          <w:lang w:val="de-DE"/>
        </w:rPr>
        <w:t> </w:t>
      </w:r>
      <w:r w:rsidRPr="003002D3">
        <w:rPr>
          <w:rFonts w:eastAsia="Calibri" w:cs="Tahoma"/>
          <w:szCs w:val="18"/>
          <w:lang w:val="de-DE"/>
        </w:rPr>
        <w:t>SQL Server 2012 befolgen</w:t>
      </w:r>
      <w:r w:rsidR="006257A7">
        <w:rPr>
          <w:rFonts w:eastAsia="Calibri" w:cs="Tahoma"/>
          <w:szCs w:val="18"/>
          <w:lang w:val="de-DE"/>
        </w:rPr>
        <w:t xml:space="preserve">. </w:t>
      </w:r>
      <w:r w:rsidRPr="003002D3">
        <w:rPr>
          <w:rFonts w:eastAsia="Calibri" w:cs="Tahoma"/>
          <w:szCs w:val="18"/>
          <w:lang w:val="de-DE"/>
        </w:rPr>
        <w:t>Beim Zuweisen von Core-Lizenzen zu Servern unter den Nutzungsrechten für SQL 2012 ist der Kunde berechtigt, die Core-Äquivalenz seiner vorhandenen Lizenzen mit zusätzlichen Core-Lizenzen für SQL Server 2012 zu kombinieren</w:t>
      </w:r>
      <w:r w:rsidR="006257A7">
        <w:rPr>
          <w:rFonts w:eastAsia="Calibri" w:cs="Tahoma"/>
          <w:szCs w:val="18"/>
          <w:lang w:val="de-DE"/>
        </w:rPr>
        <w:t xml:space="preserve">. </w:t>
      </w:r>
    </w:p>
    <w:p w:rsidR="00E73313" w:rsidRPr="003002D3" w:rsidRDefault="00E73313" w:rsidP="00FB29A2">
      <w:pPr>
        <w:numPr>
          <w:ilvl w:val="1"/>
          <w:numId w:val="53"/>
        </w:numPr>
        <w:tabs>
          <w:tab w:val="left" w:pos="1800"/>
          <w:tab w:val="left" w:pos="2970"/>
        </w:tabs>
        <w:spacing w:after="40"/>
        <w:ind w:left="1800"/>
        <w:rPr>
          <w:lang w:val="de-DE"/>
        </w:rPr>
      </w:pPr>
      <w:r w:rsidRPr="003002D3">
        <w:rPr>
          <w:rFonts w:eastAsia="Calibri" w:cs="Tahoma"/>
          <w:color w:val="000000"/>
          <w:szCs w:val="18"/>
          <w:lang w:val="de-DE"/>
        </w:rPr>
        <w:t>Die angenommene Core-Lizenzäquivalenz der Kunden impliziert nicht, dass sie berechtigt sind, eine einzelne Prozessorlizenz Cores auf zwei oder mehr Prozessoren zuzuweisen</w:t>
      </w:r>
      <w:r w:rsidR="006257A7">
        <w:rPr>
          <w:rFonts w:eastAsia="Calibri" w:cs="Tahoma"/>
          <w:color w:val="000000"/>
          <w:szCs w:val="18"/>
          <w:lang w:val="de-DE"/>
        </w:rPr>
        <w:t xml:space="preserve">. </w:t>
      </w:r>
    </w:p>
    <w:p w:rsidR="00E73313" w:rsidRPr="00FB29A2" w:rsidRDefault="00E73313" w:rsidP="001B3A05">
      <w:pPr>
        <w:tabs>
          <w:tab w:val="left" w:pos="1800"/>
          <w:tab w:val="left" w:pos="2970"/>
        </w:tabs>
        <w:spacing w:line="192" w:lineRule="auto"/>
        <w:rPr>
          <w:sz w:val="16"/>
          <w:szCs w:val="16"/>
          <w:lang w:val="de-DE"/>
        </w:rPr>
      </w:pPr>
    </w:p>
    <w:p w:rsidR="00E73313" w:rsidRPr="003002D3" w:rsidRDefault="00E73313" w:rsidP="00FB29A2">
      <w:pPr>
        <w:tabs>
          <w:tab w:val="left" w:pos="720"/>
        </w:tabs>
        <w:spacing w:after="40"/>
        <w:ind w:left="720"/>
        <w:rPr>
          <w:lang w:val="de-DE"/>
        </w:rPr>
      </w:pPr>
      <w:r w:rsidRPr="003002D3">
        <w:rPr>
          <w:rFonts w:eastAsia="Calibri" w:cs="Tahoma"/>
          <w:b/>
          <w:color w:val="000000"/>
          <w:szCs w:val="18"/>
          <w:lang w:val="de-DE"/>
        </w:rPr>
        <w:t>Für Kunden mit Software Assurance, die am oder nach dem 1</w:t>
      </w:r>
      <w:r w:rsidR="006257A7">
        <w:rPr>
          <w:rFonts w:eastAsia="Calibri" w:cs="Tahoma"/>
          <w:b/>
          <w:color w:val="000000"/>
          <w:szCs w:val="18"/>
          <w:lang w:val="de-DE"/>
        </w:rPr>
        <w:t xml:space="preserve">. </w:t>
      </w:r>
      <w:r w:rsidRPr="003002D3">
        <w:rPr>
          <w:rFonts w:eastAsia="Calibri" w:cs="Tahoma"/>
          <w:b/>
          <w:color w:val="000000"/>
          <w:szCs w:val="18"/>
          <w:lang w:val="de-DE"/>
        </w:rPr>
        <w:t>April 2015 abläuft, die sich gegen eine Verlängerung entscheiden</w:t>
      </w:r>
    </w:p>
    <w:p w:rsidR="00E73313" w:rsidRPr="003002D3" w:rsidRDefault="00E73313" w:rsidP="001B3A05">
      <w:pPr>
        <w:tabs>
          <w:tab w:val="left" w:pos="720"/>
        </w:tabs>
        <w:ind w:left="720"/>
        <w:rPr>
          <w:lang w:val="de-DE"/>
        </w:rPr>
      </w:pPr>
      <w:r w:rsidRPr="003002D3">
        <w:rPr>
          <w:rFonts w:eastAsia="Calibri" w:cs="Tahoma"/>
          <w:color w:val="000000"/>
          <w:szCs w:val="18"/>
          <w:lang w:val="de-DE"/>
        </w:rPr>
        <w:t xml:space="preserve">Konzern-Abonnement- </w:t>
      </w:r>
      <w:r w:rsidRPr="003002D3">
        <w:rPr>
          <w:rFonts w:cs="Tahoma"/>
          <w:bCs/>
          <w:color w:val="000000"/>
          <w:szCs w:val="18"/>
          <w:lang w:val="de-DE"/>
        </w:rPr>
        <w:t>und Open Value Subscription-</w:t>
      </w:r>
      <w:r w:rsidRPr="003002D3">
        <w:rPr>
          <w:rFonts w:eastAsia="Calibri" w:cs="Tahoma"/>
          <w:color w:val="000000"/>
          <w:szCs w:val="18"/>
          <w:lang w:val="de-DE"/>
        </w:rPr>
        <w:t>Kunden mit Software Assurance, die am oder nach dem</w:t>
      </w:r>
      <w:r w:rsidR="001B3A05">
        <w:rPr>
          <w:rFonts w:eastAsia="Calibri" w:cs="Tahoma"/>
          <w:color w:val="000000"/>
          <w:szCs w:val="18"/>
          <w:lang w:val="de-DE"/>
        </w:rPr>
        <w:t> </w:t>
      </w:r>
      <w:r w:rsidRPr="003002D3">
        <w:rPr>
          <w:rFonts w:eastAsia="Calibri" w:cs="Tahoma"/>
          <w:color w:val="000000"/>
          <w:szCs w:val="18"/>
          <w:lang w:val="de-DE"/>
        </w:rPr>
        <w:t>1</w:t>
      </w:r>
      <w:r w:rsidR="006257A7">
        <w:rPr>
          <w:rFonts w:eastAsia="Calibri" w:cs="Tahoma"/>
          <w:color w:val="000000"/>
          <w:szCs w:val="18"/>
          <w:lang w:val="de-DE"/>
        </w:rPr>
        <w:t xml:space="preserve">. </w:t>
      </w:r>
      <w:r w:rsidRPr="003002D3">
        <w:rPr>
          <w:rFonts w:eastAsia="Calibri" w:cs="Tahoma"/>
          <w:color w:val="000000"/>
          <w:szCs w:val="18"/>
          <w:lang w:val="de-DE"/>
        </w:rPr>
        <w:t xml:space="preserve">April 2015 abläuft, die sich für ein Buy-Out von Prozessorlizenzen entscheiden, sowie sonstige Kunden, die zeitlich unbeschränkte Lizenzen unter ihrem Vertrag erwerben, haben folgende Optionen: </w:t>
      </w:r>
    </w:p>
    <w:p w:rsidR="00E73313" w:rsidRPr="00FB29A2" w:rsidRDefault="00E73313" w:rsidP="001B3A05">
      <w:pPr>
        <w:tabs>
          <w:tab w:val="left" w:pos="720"/>
        </w:tabs>
        <w:spacing w:line="192" w:lineRule="auto"/>
        <w:ind w:left="720"/>
        <w:rPr>
          <w:sz w:val="16"/>
          <w:szCs w:val="16"/>
          <w:lang w:val="de-DE"/>
        </w:rPr>
      </w:pPr>
    </w:p>
    <w:p w:rsidR="00E73313" w:rsidRPr="003002D3" w:rsidRDefault="00E73313" w:rsidP="00FB29A2">
      <w:pPr>
        <w:numPr>
          <w:ilvl w:val="2"/>
          <w:numId w:val="50"/>
        </w:numPr>
        <w:spacing w:after="40"/>
        <w:ind w:left="1440"/>
        <w:rPr>
          <w:lang w:val="de-DE"/>
        </w:rPr>
      </w:pPr>
      <w:r w:rsidRPr="003002D3">
        <w:rPr>
          <w:rFonts w:eastAsia="Calibri" w:cs="Tahoma"/>
          <w:szCs w:val="18"/>
          <w:lang w:val="de-DE"/>
        </w:rPr>
        <w:t>Wie im ersten Absatz dieses Produkthinweises dargelegt, sind vor dem 1</w:t>
      </w:r>
      <w:r w:rsidR="006257A7">
        <w:rPr>
          <w:rFonts w:eastAsia="Calibri" w:cs="Tahoma"/>
          <w:szCs w:val="18"/>
          <w:lang w:val="de-DE"/>
        </w:rPr>
        <w:t xml:space="preserve">. </w:t>
      </w:r>
      <w:r w:rsidRPr="003002D3">
        <w:rPr>
          <w:rFonts w:eastAsia="Calibri" w:cs="Tahoma"/>
          <w:szCs w:val="18"/>
          <w:lang w:val="de-DE"/>
        </w:rPr>
        <w:t>April 2015 erworbene Lizenzen qualifizierende Lizenzen, und Kunden sind berechtigt, SQL Server 2012 in Übereinstimmung mit den Bestimmungen im Abschnitt oben mit der Überschrift „Für Kunden mit</w:t>
      </w:r>
      <w:r w:rsidR="001B3A05">
        <w:rPr>
          <w:rFonts w:eastAsia="Calibri" w:cs="Tahoma"/>
          <w:szCs w:val="18"/>
          <w:lang w:val="de-DE"/>
        </w:rPr>
        <w:t> </w:t>
      </w:r>
      <w:r w:rsidRPr="003002D3">
        <w:rPr>
          <w:rFonts w:eastAsia="Calibri" w:cs="Tahoma"/>
          <w:szCs w:val="18"/>
          <w:lang w:val="de-DE"/>
        </w:rPr>
        <w:t>Software Assurance, die vor dem 1</w:t>
      </w:r>
      <w:r w:rsidR="006257A7">
        <w:rPr>
          <w:rFonts w:eastAsia="Calibri" w:cs="Tahoma"/>
          <w:szCs w:val="18"/>
          <w:lang w:val="de-DE"/>
        </w:rPr>
        <w:t xml:space="preserve">. </w:t>
      </w:r>
      <w:r w:rsidRPr="003002D3">
        <w:rPr>
          <w:rFonts w:eastAsia="Calibri" w:cs="Tahoma"/>
          <w:szCs w:val="18"/>
          <w:lang w:val="de-DE"/>
        </w:rPr>
        <w:t xml:space="preserve">April 2015 abläuft, die sich gegen eine Verlängerung entscheiden“ weiterhin zu verwenden, und </w:t>
      </w:r>
    </w:p>
    <w:p w:rsidR="00E73313" w:rsidRPr="003002D3" w:rsidRDefault="001B3A05" w:rsidP="00FB29A2">
      <w:pPr>
        <w:numPr>
          <w:ilvl w:val="2"/>
          <w:numId w:val="50"/>
        </w:numPr>
        <w:spacing w:after="40"/>
        <w:ind w:left="1440"/>
        <w:rPr>
          <w:lang w:val="de-DE"/>
        </w:rPr>
      </w:pPr>
      <w:r>
        <w:rPr>
          <w:rFonts w:eastAsia="Calibri" w:cs="Tahoma"/>
          <w:szCs w:val="18"/>
          <w:lang w:val="de-DE"/>
        </w:rPr>
        <w:t>F</w:t>
      </w:r>
      <w:r w:rsidR="00E73313" w:rsidRPr="003002D3">
        <w:rPr>
          <w:rFonts w:eastAsia="Calibri" w:cs="Tahoma"/>
          <w:szCs w:val="18"/>
          <w:lang w:val="de-DE"/>
        </w:rPr>
        <w:t>ür Lizenzen, die nach dem 1</w:t>
      </w:r>
      <w:r w:rsidR="006257A7">
        <w:rPr>
          <w:rFonts w:eastAsia="Calibri" w:cs="Tahoma"/>
          <w:szCs w:val="18"/>
          <w:lang w:val="de-DE"/>
        </w:rPr>
        <w:t xml:space="preserve">. </w:t>
      </w:r>
      <w:r w:rsidR="00E73313" w:rsidRPr="003002D3">
        <w:rPr>
          <w:rFonts w:eastAsia="Calibri" w:cs="Tahoma"/>
          <w:szCs w:val="18"/>
          <w:lang w:val="de-DE"/>
        </w:rPr>
        <w:t>April 2015 erworben wurden, verfügt die Prozessorlizenz von Kunden über eine Core-Äquivalenz von vier Core-Lizenzen für SQL Server 2012 Enterprise</w:t>
      </w:r>
      <w:r w:rsidR="006257A7">
        <w:rPr>
          <w:rFonts w:eastAsia="Calibri" w:cs="Tahoma"/>
          <w:szCs w:val="18"/>
          <w:lang w:val="de-DE"/>
        </w:rPr>
        <w:t xml:space="preserve">. </w:t>
      </w:r>
      <w:r w:rsidR="00E73313" w:rsidRPr="003002D3">
        <w:rPr>
          <w:rFonts w:eastAsia="Calibri" w:cs="Tahoma"/>
          <w:szCs w:val="18"/>
          <w:lang w:val="de-DE"/>
        </w:rPr>
        <w:t>Für die kontinuierliche Verwendung von SQL Server 2012 auf Prozessoren, die mehr als vier Core-Lizenzen pro Prozessor erfordern, muss der Kunde die zusätzlichen Core-Lizenzen erwerben</w:t>
      </w:r>
      <w:r w:rsidR="006257A7">
        <w:rPr>
          <w:rFonts w:eastAsia="Calibri" w:cs="Tahoma"/>
          <w:szCs w:val="18"/>
          <w:lang w:val="de-DE"/>
        </w:rPr>
        <w:t xml:space="preserve">. </w:t>
      </w:r>
    </w:p>
    <w:p w:rsidR="00E73313" w:rsidRPr="00FB29A2" w:rsidRDefault="00E73313" w:rsidP="001B3A05">
      <w:pPr>
        <w:spacing w:line="192" w:lineRule="auto"/>
        <w:ind w:left="1440"/>
        <w:rPr>
          <w:sz w:val="16"/>
          <w:szCs w:val="16"/>
          <w:lang w:val="de-DE"/>
        </w:rPr>
      </w:pPr>
    </w:p>
    <w:p w:rsidR="00E73313" w:rsidRPr="003002D3" w:rsidRDefault="00E73313" w:rsidP="00FB29A2">
      <w:pPr>
        <w:tabs>
          <w:tab w:val="left" w:pos="720"/>
        </w:tabs>
        <w:spacing w:after="40"/>
        <w:ind w:left="720"/>
        <w:rPr>
          <w:lang w:val="de-DE"/>
        </w:rPr>
      </w:pPr>
      <w:r w:rsidRPr="003002D3">
        <w:rPr>
          <w:b/>
          <w:lang w:val="de-DE"/>
        </w:rPr>
        <w:t>Für Kunden in der Volksrepublik</w:t>
      </w:r>
      <w:r w:rsidRPr="003002D3">
        <w:rPr>
          <w:lang w:val="de-DE"/>
        </w:rPr>
        <w:t xml:space="preserve"> </w:t>
      </w:r>
      <w:r w:rsidRPr="003002D3">
        <w:rPr>
          <w:b/>
          <w:lang w:val="de-DE"/>
        </w:rPr>
        <w:t>China, die dort Prozessorlizenzen und Software Assurance für SQL Server 2008 R2 erwerben</w:t>
      </w:r>
    </w:p>
    <w:p w:rsidR="00E73313" w:rsidRPr="003002D3" w:rsidRDefault="00E73313" w:rsidP="001B3A05">
      <w:pPr>
        <w:tabs>
          <w:tab w:val="left" w:pos="720"/>
        </w:tabs>
        <w:ind w:left="720"/>
        <w:rPr>
          <w:lang w:val="de-DE"/>
        </w:rPr>
      </w:pPr>
      <w:r w:rsidRPr="003002D3">
        <w:rPr>
          <w:lang w:val="de-DE"/>
        </w:rPr>
        <w:t>Die Verweise auf den 1</w:t>
      </w:r>
      <w:r w:rsidR="006257A7">
        <w:rPr>
          <w:lang w:val="de-DE"/>
        </w:rPr>
        <w:t xml:space="preserve">. </w:t>
      </w:r>
      <w:r w:rsidRPr="003002D3">
        <w:rPr>
          <w:lang w:val="de-DE"/>
        </w:rPr>
        <w:t>April 2012 und den 1</w:t>
      </w:r>
      <w:r w:rsidR="006257A7">
        <w:rPr>
          <w:lang w:val="de-DE"/>
        </w:rPr>
        <w:t xml:space="preserve">. </w:t>
      </w:r>
      <w:r w:rsidRPr="003002D3">
        <w:rPr>
          <w:lang w:val="de-DE"/>
        </w:rPr>
        <w:t>April 2015 in dieser Produktliste sind nicht anwendbar</w:t>
      </w:r>
      <w:r w:rsidR="006257A7">
        <w:rPr>
          <w:lang w:val="de-DE"/>
        </w:rPr>
        <w:t xml:space="preserve">. </w:t>
      </w:r>
      <w:r w:rsidRPr="003002D3">
        <w:rPr>
          <w:lang w:val="de-DE"/>
        </w:rPr>
        <w:t>Die</w:t>
      </w:r>
      <w:r w:rsidR="001B3A05">
        <w:rPr>
          <w:lang w:val="de-DE"/>
        </w:rPr>
        <w:t> </w:t>
      </w:r>
      <w:r w:rsidRPr="003002D3">
        <w:rPr>
          <w:lang w:val="de-DE"/>
        </w:rPr>
        <w:t>anwendbaren Daten für diese Kunden sind der 1</w:t>
      </w:r>
      <w:r w:rsidR="006257A7">
        <w:rPr>
          <w:lang w:val="de-DE"/>
        </w:rPr>
        <w:t xml:space="preserve">. </w:t>
      </w:r>
      <w:r w:rsidRPr="003002D3">
        <w:rPr>
          <w:lang w:val="de-DE"/>
        </w:rPr>
        <w:t>Juli 2012 bzw</w:t>
      </w:r>
      <w:r w:rsidR="006257A7">
        <w:rPr>
          <w:lang w:val="de-DE"/>
        </w:rPr>
        <w:t xml:space="preserve">. </w:t>
      </w:r>
      <w:r w:rsidRPr="003002D3">
        <w:rPr>
          <w:lang w:val="de-DE"/>
        </w:rPr>
        <w:t>der 1</w:t>
      </w:r>
      <w:r w:rsidR="006257A7">
        <w:rPr>
          <w:lang w:val="de-DE"/>
        </w:rPr>
        <w:t xml:space="preserve">. </w:t>
      </w:r>
      <w:r w:rsidRPr="003002D3">
        <w:rPr>
          <w:lang w:val="de-DE"/>
        </w:rPr>
        <w:t>Juli 2015</w:t>
      </w:r>
      <w:r w:rsidR="006257A7">
        <w:rPr>
          <w:lang w:val="de-DE"/>
        </w:rPr>
        <w:t xml:space="preserve">. </w:t>
      </w:r>
    </w:p>
    <w:p w:rsidR="00E73313" w:rsidRPr="00FB29A2" w:rsidRDefault="00E73313" w:rsidP="001B3A05">
      <w:pPr>
        <w:tabs>
          <w:tab w:val="left" w:pos="720"/>
        </w:tabs>
        <w:spacing w:line="192" w:lineRule="auto"/>
        <w:ind w:left="720"/>
        <w:rPr>
          <w:sz w:val="16"/>
          <w:szCs w:val="16"/>
          <w:lang w:val="de-DE"/>
        </w:rPr>
      </w:pPr>
    </w:p>
    <w:p w:rsidR="00E73313" w:rsidRPr="00FB29A2" w:rsidRDefault="00E73313" w:rsidP="001B3A05">
      <w:pPr>
        <w:tabs>
          <w:tab w:val="left" w:pos="720"/>
        </w:tabs>
        <w:spacing w:line="192" w:lineRule="auto"/>
        <w:ind w:left="720"/>
        <w:rPr>
          <w:sz w:val="16"/>
          <w:szCs w:val="16"/>
          <w:lang w:val="de-DE"/>
        </w:rPr>
      </w:pPr>
    </w:p>
    <w:p w:rsidR="00E73313" w:rsidRPr="003002D3" w:rsidRDefault="00E73313" w:rsidP="00E73313">
      <w:pPr>
        <w:pStyle w:val="Heading3"/>
        <w:rPr>
          <w:lang w:val="de-DE"/>
        </w:rPr>
      </w:pPr>
      <w:bookmarkStart w:id="1491" w:name="_80_SQL_Server"/>
      <w:bookmarkStart w:id="1492" w:name="_81_SQL_Server"/>
      <w:bookmarkStart w:id="1493" w:name="_88_SQL_Server"/>
      <w:bookmarkStart w:id="1494" w:name="_Toc363999085"/>
      <w:bookmarkEnd w:id="1491"/>
      <w:bookmarkEnd w:id="1492"/>
      <w:bookmarkEnd w:id="1493"/>
      <w:r w:rsidRPr="003002D3">
        <w:rPr>
          <w:rFonts w:ascii="Tahoma" w:hAnsi="Tahoma"/>
          <w:caps/>
          <w:color w:val="F66400"/>
          <w:sz w:val="22"/>
          <w:vertAlign w:val="superscript"/>
          <w:lang w:val="de-DE"/>
        </w:rPr>
        <w:t>88</w:t>
      </w:r>
      <w:r w:rsidRPr="003002D3">
        <w:rPr>
          <w:rFonts w:ascii="Tahoma" w:hAnsi="Tahoma"/>
          <w:color w:val="F66400"/>
          <w:sz w:val="22"/>
          <w:lang w:val="de-DE"/>
        </w:rPr>
        <w:t xml:space="preserve"> SQL Server </w:t>
      </w:r>
      <w:r w:rsidR="0069040B" w:rsidRPr="0069040B">
        <w:rPr>
          <w:rFonts w:ascii="Tahoma" w:hAnsi="Tahoma"/>
          <w:color w:val="F66400"/>
          <w:sz w:val="22"/>
          <w:vertAlign w:val="superscript"/>
          <w:lang w:val="de-DE"/>
        </w:rPr>
        <w:t>®</w:t>
      </w:r>
      <w:r w:rsidRPr="003002D3">
        <w:rPr>
          <w:rFonts w:ascii="Tahoma" w:hAnsi="Tahoma"/>
          <w:color w:val="F66400"/>
          <w:sz w:val="22"/>
          <w:lang w:val="de-DE"/>
        </w:rPr>
        <w:t xml:space="preserve"> 2012 Parallel Data Warehouse</w:t>
      </w:r>
      <w:bookmarkEnd w:id="1494"/>
    </w:p>
    <w:p w:rsidR="00E73313" w:rsidRPr="00FB29A2" w:rsidRDefault="00E73313" w:rsidP="001B3A05">
      <w:pPr>
        <w:pStyle w:val="EndnoteText"/>
        <w:spacing w:line="192" w:lineRule="auto"/>
        <w:rPr>
          <w:sz w:val="16"/>
          <w:szCs w:val="16"/>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Lizenzgewährungen im Zusammenhang mit der Änderung des Lizenzmodells</w:t>
      </w:r>
    </w:p>
    <w:p w:rsidR="00E73313" w:rsidRPr="003002D3" w:rsidRDefault="00E73313" w:rsidP="00E73313">
      <w:pPr>
        <w:ind w:left="720"/>
        <w:rPr>
          <w:lang w:val="de-DE"/>
        </w:rPr>
      </w:pPr>
      <w:r w:rsidRPr="003002D3">
        <w:rPr>
          <w:rFonts w:eastAsia="Calibri" w:cs="Tahoma"/>
          <w:color w:val="000000"/>
          <w:szCs w:val="18"/>
          <w:lang w:val="de-DE"/>
        </w:rPr>
        <w:t>SQL Server 2008 R2 ist die letzte Version von SQL Server Parallel Data Warehouse, die unter dem Pro-Prozessor-Lizenzmodell lizenziert wird</w:t>
      </w:r>
      <w:r w:rsidR="006257A7">
        <w:rPr>
          <w:rFonts w:eastAsia="Calibri" w:cs="Tahoma"/>
          <w:color w:val="000000"/>
          <w:szCs w:val="18"/>
          <w:lang w:val="de-DE"/>
        </w:rPr>
        <w:t xml:space="preserve">. </w:t>
      </w:r>
      <w:r w:rsidRPr="003002D3">
        <w:rPr>
          <w:rFonts w:eastAsia="Calibri" w:cs="Tahoma"/>
          <w:color w:val="000000"/>
          <w:szCs w:val="18"/>
          <w:lang w:val="de-DE"/>
        </w:rPr>
        <w:t>Als Ausnahme erhalten Volumenlizenzkunden, die am 1</w:t>
      </w:r>
      <w:r w:rsidR="006257A7">
        <w:rPr>
          <w:rFonts w:eastAsia="Calibri" w:cs="Tahoma"/>
          <w:color w:val="000000"/>
          <w:szCs w:val="18"/>
          <w:lang w:val="de-DE"/>
        </w:rPr>
        <w:t xml:space="preserve">. </w:t>
      </w:r>
      <w:r w:rsidRPr="003002D3">
        <w:rPr>
          <w:rFonts w:eastAsia="Calibri" w:cs="Tahoma"/>
          <w:color w:val="000000"/>
          <w:szCs w:val="18"/>
          <w:lang w:val="de-DE"/>
        </w:rPr>
        <w:t>März 2013 über aktive Software Assurance für SQL Server 2008 R2 Parallel Data Warehouse-Lizenzen („qualifizierende Lizenzen“) verfügen, die folgenden Optionen</w:t>
      </w:r>
      <w:r w:rsidR="006257A7">
        <w:rPr>
          <w:rFonts w:eastAsia="Calibri" w:cs="Tahoma"/>
          <w:color w:val="000000"/>
          <w:szCs w:val="18"/>
          <w:lang w:val="de-DE"/>
        </w:rPr>
        <w:t xml:space="preserve">. </w:t>
      </w:r>
      <w:r w:rsidRPr="003002D3">
        <w:rPr>
          <w:rFonts w:eastAsia="Calibri" w:cs="Tahoma"/>
          <w:color w:val="000000"/>
          <w:szCs w:val="18"/>
          <w:lang w:val="de-DE"/>
        </w:rPr>
        <w:t>SQL Server 2008 R2 Parallel Data Warehouse-</w:t>
      </w:r>
      <w:r w:rsidRPr="003002D3">
        <w:rPr>
          <w:rFonts w:cs="Tahoma"/>
          <w:bCs/>
          <w:color w:val="000000"/>
          <w:szCs w:val="18"/>
          <w:lang w:val="de-DE"/>
        </w:rPr>
        <w:t>Lizenzen, die danach unter derselben Beitrittslaufzeit im Rahmen eines Konzern-, Konzern-Abonnement-Prozesses oder des geplanten jährlichen True Up-Prozesses des Kunden erworben werden, sind ebenfalls qualifizierende Lizenzen im Sinne dieser Optionen</w:t>
      </w:r>
      <w:r w:rsidR="006257A7">
        <w:rPr>
          <w:rFonts w:cs="Tahoma"/>
          <w:bCs/>
          <w:color w:val="000000"/>
          <w:szCs w:val="18"/>
          <w:lang w:val="de-DE"/>
        </w:rPr>
        <w:t xml:space="preserve">. </w:t>
      </w:r>
    </w:p>
    <w:p w:rsidR="00E73313" w:rsidRPr="00FB29A2" w:rsidRDefault="00E73313" w:rsidP="001B3A05">
      <w:pPr>
        <w:spacing w:line="192" w:lineRule="auto"/>
        <w:ind w:left="720"/>
        <w:rPr>
          <w:sz w:val="16"/>
          <w:szCs w:val="16"/>
          <w:lang w:val="de-DE"/>
        </w:rPr>
      </w:pPr>
    </w:p>
    <w:p w:rsidR="00E73313" w:rsidRPr="003002D3" w:rsidRDefault="00E73313" w:rsidP="00E73313">
      <w:pPr>
        <w:numPr>
          <w:ilvl w:val="0"/>
          <w:numId w:val="53"/>
        </w:numPr>
        <w:spacing w:after="60"/>
        <w:ind w:left="1440"/>
        <w:rPr>
          <w:lang w:val="de-DE"/>
        </w:rPr>
      </w:pPr>
      <w:r w:rsidRPr="003002D3">
        <w:rPr>
          <w:rFonts w:eastAsia="Calibri" w:cs="Tahoma"/>
          <w:color w:val="000000"/>
          <w:szCs w:val="18"/>
          <w:lang w:val="de-DE"/>
        </w:rPr>
        <w:t>Für jede qualifizierende Lizenz, die der Kunde besitzt, ist der Kunde berechtigt, auf 8 Core-Lizenzen für SQL Server 2012 Parallel Data Warehouse upzugraden</w:t>
      </w:r>
      <w:r w:rsidR="006257A7">
        <w:rPr>
          <w:rFonts w:eastAsia="Calibri" w:cs="Tahoma"/>
          <w:color w:val="000000"/>
          <w:szCs w:val="18"/>
          <w:lang w:val="de-DE"/>
        </w:rPr>
        <w:t xml:space="preserve">. </w:t>
      </w:r>
      <w:r w:rsidRPr="003002D3">
        <w:rPr>
          <w:rFonts w:eastAsia="Calibri" w:cs="Tahoma"/>
          <w:color w:val="000000"/>
          <w:szCs w:val="18"/>
          <w:lang w:val="de-DE"/>
        </w:rPr>
        <w:t>Nach dem Upgrade auf SQL Server 2012 sind die zugrunde liegenden SQL Server 2008 R2-Lizenzen des Kunden nicht mehr gültig</w:t>
      </w:r>
      <w:r w:rsidR="006257A7">
        <w:rPr>
          <w:rFonts w:eastAsia="Calibri" w:cs="Tahoma"/>
          <w:color w:val="000000"/>
          <w:szCs w:val="18"/>
          <w:lang w:val="de-DE"/>
        </w:rPr>
        <w:t xml:space="preserve">. </w:t>
      </w:r>
    </w:p>
    <w:p w:rsidR="00E73313" w:rsidRPr="00FB29A2" w:rsidRDefault="00E73313" w:rsidP="001B3A05">
      <w:pPr>
        <w:spacing w:line="192" w:lineRule="auto"/>
        <w:rPr>
          <w:sz w:val="16"/>
          <w:szCs w:val="16"/>
          <w:lang w:val="de-DE"/>
        </w:rPr>
      </w:pPr>
    </w:p>
    <w:p w:rsidR="00E73313" w:rsidRPr="003002D3" w:rsidRDefault="00E73313" w:rsidP="00FB29A2">
      <w:pPr>
        <w:spacing w:after="40"/>
        <w:ind w:left="720"/>
        <w:rPr>
          <w:lang w:val="de-DE"/>
        </w:rPr>
      </w:pPr>
      <w:r w:rsidRPr="003002D3">
        <w:rPr>
          <w:rFonts w:eastAsia="Calibri" w:cs="Tahoma"/>
          <w:b/>
          <w:color w:val="000000"/>
          <w:szCs w:val="18"/>
          <w:lang w:val="de-DE"/>
        </w:rPr>
        <w:t>System Center Standard-Lizenzgewährung</w:t>
      </w:r>
    </w:p>
    <w:p w:rsidR="00E73313" w:rsidRPr="003002D3" w:rsidRDefault="00E73313" w:rsidP="00E73313">
      <w:pPr>
        <w:spacing w:after="60"/>
        <w:ind w:left="720"/>
        <w:rPr>
          <w:lang w:val="de-DE"/>
        </w:rPr>
      </w:pPr>
      <w:r w:rsidRPr="003002D3">
        <w:rPr>
          <w:rFonts w:eastAsia="Calibri" w:cs="Tahoma"/>
          <w:color w:val="000000"/>
          <w:szCs w:val="18"/>
          <w:lang w:val="de-DE"/>
        </w:rPr>
        <w:t>Zudem haben Kunden, die gemäß qualifizierenden Lizenzen auf SQL Server 2012 Parallel Data Warehouse upgraden, die Berechtigung für die folgenden System Center-Lizenzgewährungen, die nach ihrem Upgrade für SQL Server 2012 Parallel Data Warehouse gelten:</w:t>
      </w:r>
    </w:p>
    <w:p w:rsidR="00E73313" w:rsidRPr="003002D3" w:rsidRDefault="00E73313" w:rsidP="00FB29A2">
      <w:pPr>
        <w:numPr>
          <w:ilvl w:val="0"/>
          <w:numId w:val="53"/>
        </w:numPr>
        <w:spacing w:after="40"/>
        <w:ind w:left="1440"/>
        <w:rPr>
          <w:lang w:val="de-DE"/>
        </w:rPr>
      </w:pPr>
      <w:r w:rsidRPr="003002D3">
        <w:rPr>
          <w:rFonts w:eastAsia="Calibri" w:cs="Tahoma"/>
          <w:color w:val="000000"/>
          <w:szCs w:val="18"/>
          <w:lang w:val="de-DE"/>
        </w:rPr>
        <w:t>eine System Center 2012 Standard-Lizenz pro Server für jeden Server, auf dem die SQL Server 2012 Parallel Data Warehouse-Software ausgeführt wird</w:t>
      </w:r>
    </w:p>
    <w:p w:rsidR="00E73313" w:rsidRPr="003002D3" w:rsidRDefault="00E73313" w:rsidP="00FB29A2">
      <w:pPr>
        <w:numPr>
          <w:ilvl w:val="0"/>
          <w:numId w:val="53"/>
        </w:numPr>
        <w:spacing w:after="40"/>
        <w:ind w:left="1440"/>
        <w:rPr>
          <w:lang w:val="de-DE"/>
        </w:rPr>
      </w:pPr>
      <w:r w:rsidRPr="003002D3">
        <w:rPr>
          <w:rFonts w:eastAsia="Calibri" w:cs="Tahoma"/>
          <w:color w:val="000000"/>
          <w:szCs w:val="18"/>
          <w:lang w:val="de-DE"/>
        </w:rPr>
        <w:t>zwei System Center 2012 Standard-Lizenzen pro Server für alle übrigen Server in der SQL Server 2012 Parallel Data Warehouse Appliance</w:t>
      </w:r>
      <w:r w:rsidR="006257A7">
        <w:rPr>
          <w:rFonts w:eastAsia="Calibri" w:cs="Tahoma"/>
          <w:color w:val="000000"/>
          <w:szCs w:val="18"/>
          <w:lang w:val="de-DE"/>
        </w:rPr>
        <w:t xml:space="preserve">. </w:t>
      </w:r>
    </w:p>
    <w:p w:rsidR="00E73313" w:rsidRDefault="00E73313" w:rsidP="001B3A05">
      <w:pPr>
        <w:spacing w:after="60"/>
        <w:ind w:left="720"/>
        <w:rPr>
          <w:rFonts w:eastAsia="Calibri" w:cs="Tahoma"/>
          <w:color w:val="000000"/>
          <w:szCs w:val="18"/>
          <w:lang w:val="de-DE"/>
        </w:rPr>
      </w:pPr>
      <w:r w:rsidRPr="003002D3">
        <w:rPr>
          <w:rFonts w:eastAsia="Calibri" w:cs="Tahoma"/>
          <w:color w:val="000000"/>
          <w:szCs w:val="18"/>
          <w:lang w:val="de-DE"/>
        </w:rPr>
        <w:t>Die Software darf ausschließlich zur Unterstützung der SQL Server 2012 Parallel Data Warehouse Appliance genutzt werden</w:t>
      </w:r>
      <w:r w:rsidR="006257A7">
        <w:rPr>
          <w:rFonts w:eastAsia="Calibri" w:cs="Tahoma"/>
          <w:color w:val="000000"/>
          <w:szCs w:val="18"/>
          <w:lang w:val="de-DE"/>
        </w:rPr>
        <w:t xml:space="preserve">. </w:t>
      </w:r>
    </w:p>
    <w:p w:rsidR="00E73313" w:rsidRPr="003002D3" w:rsidRDefault="00E73313" w:rsidP="00E73313">
      <w:pPr>
        <w:tabs>
          <w:tab w:val="left" w:pos="1440"/>
        </w:tabs>
        <w:spacing w:after="60"/>
        <w:ind w:left="720"/>
        <w:rPr>
          <w:lang w:val="de-DE"/>
        </w:rPr>
      </w:pPr>
      <w:r w:rsidRPr="003002D3">
        <w:rPr>
          <w:rFonts w:eastAsia="Calibri" w:cs="Tahoma"/>
          <w:b/>
          <w:color w:val="000000"/>
          <w:szCs w:val="18"/>
          <w:lang w:val="de-DE"/>
        </w:rPr>
        <w:t>Für Kunden mit aktiver Software Assurance, die nicht verlängern möchten</w:t>
      </w:r>
    </w:p>
    <w:p w:rsidR="00E73313" w:rsidRPr="003002D3" w:rsidRDefault="00E73313" w:rsidP="00E73313">
      <w:pPr>
        <w:tabs>
          <w:tab w:val="left" w:pos="1440"/>
        </w:tabs>
        <w:ind w:left="720"/>
        <w:rPr>
          <w:lang w:val="de-DE"/>
        </w:rPr>
      </w:pPr>
      <w:r w:rsidRPr="003002D3">
        <w:rPr>
          <w:rFonts w:eastAsia="Calibri" w:cs="Tahoma"/>
          <w:color w:val="000000"/>
          <w:szCs w:val="18"/>
          <w:lang w:val="de-DE"/>
        </w:rPr>
        <w:t>Konzern-Abonnement-Kunden mit Software Assurance bis zum 1</w:t>
      </w:r>
      <w:r w:rsidR="006257A7">
        <w:rPr>
          <w:rFonts w:eastAsia="Calibri" w:cs="Tahoma"/>
          <w:color w:val="000000"/>
          <w:szCs w:val="18"/>
          <w:lang w:val="de-DE"/>
        </w:rPr>
        <w:t xml:space="preserve">. </w:t>
      </w:r>
      <w:r w:rsidRPr="003002D3">
        <w:rPr>
          <w:rFonts w:eastAsia="Calibri" w:cs="Tahoma"/>
          <w:color w:val="000000"/>
          <w:szCs w:val="18"/>
          <w:lang w:val="de-DE"/>
        </w:rPr>
        <w:t>März 2013, die sich für ein Buy-Out von Prozessorlizenzen entscheiden, sowie sonstige Kunden, die qualifizierende, zeitlich unbeschränkte Lizenzen unter ihrem Vertrag erwerben und sich gegen die Verlängerung von Software Assurance entscheiden, sind berechtigt, SQL Server 2008 R2 oder SQL Server 2012 wie folgt unter diesen Lizenzen auszuführen:</w:t>
      </w:r>
    </w:p>
    <w:p w:rsidR="00E73313" w:rsidRPr="003002D3" w:rsidRDefault="00E73313" w:rsidP="00E73313">
      <w:pPr>
        <w:tabs>
          <w:tab w:val="left" w:pos="1440"/>
        </w:tabs>
        <w:ind w:left="720"/>
        <w:rPr>
          <w:lang w:val="de-DE"/>
        </w:rPr>
      </w:pPr>
    </w:p>
    <w:p w:rsidR="00E73313" w:rsidRPr="003002D3" w:rsidRDefault="00E73313" w:rsidP="00E73313">
      <w:pPr>
        <w:numPr>
          <w:ilvl w:val="0"/>
          <w:numId w:val="53"/>
        </w:numPr>
        <w:spacing w:after="60"/>
        <w:ind w:left="1440"/>
        <w:rPr>
          <w:lang w:val="de-DE"/>
        </w:rPr>
      </w:pPr>
      <w:r w:rsidRPr="003002D3">
        <w:rPr>
          <w:rFonts w:eastAsia="Calibri" w:cs="Tahoma"/>
          <w:b/>
          <w:color w:val="000000"/>
          <w:szCs w:val="18"/>
          <w:lang w:val="de-DE"/>
        </w:rPr>
        <w:t>SQL Server 2008 R2 Parallel Data Warehouse:</w:t>
      </w:r>
      <w:r w:rsidRPr="003002D3">
        <w:rPr>
          <w:rFonts w:eastAsia="Calibri" w:cs="Tahoma"/>
          <w:color w:val="000000"/>
          <w:szCs w:val="18"/>
          <w:lang w:val="de-DE"/>
        </w:rPr>
        <w:t xml:space="preserve"> Die kontinuierliche Verwendung dieser Version der Software unterliegt den Produktbenutzungsrechten für die SQL Server 2008 R2-Lizenz</w:t>
      </w:r>
      <w:r w:rsidR="006257A7">
        <w:rPr>
          <w:rFonts w:eastAsia="Calibri" w:cs="Tahoma"/>
          <w:color w:val="000000"/>
          <w:szCs w:val="18"/>
          <w:lang w:val="de-DE"/>
        </w:rPr>
        <w:t xml:space="preserve">. </w:t>
      </w:r>
    </w:p>
    <w:p w:rsidR="00E73313" w:rsidRPr="003002D3" w:rsidRDefault="00E73313" w:rsidP="00E73313">
      <w:pPr>
        <w:numPr>
          <w:ilvl w:val="0"/>
          <w:numId w:val="53"/>
        </w:numPr>
        <w:tabs>
          <w:tab w:val="left" w:pos="1800"/>
        </w:tabs>
        <w:spacing w:after="60"/>
        <w:ind w:left="1440"/>
        <w:rPr>
          <w:lang w:val="de-DE"/>
        </w:rPr>
      </w:pPr>
      <w:r w:rsidRPr="003002D3">
        <w:rPr>
          <w:rFonts w:eastAsia="Calibri" w:cs="Tahoma"/>
          <w:b/>
          <w:color w:val="000000"/>
          <w:szCs w:val="18"/>
          <w:lang w:val="de-DE"/>
        </w:rPr>
        <w:t xml:space="preserve">SQL Server 2012 Parallel Data Warehouse: </w:t>
      </w:r>
      <w:r w:rsidRPr="003002D3">
        <w:rPr>
          <w:rFonts w:eastAsia="Calibri" w:cs="Tahoma"/>
          <w:color w:val="000000"/>
          <w:szCs w:val="18"/>
          <w:lang w:val="de-DE"/>
        </w:rPr>
        <w:t>Die Verwendung dieser Version der Software unterliegt den Produktbenutzungsrechten für SQL Server 2012 Parallel Data Warehouse</w:t>
      </w:r>
      <w:r w:rsidR="006257A7">
        <w:rPr>
          <w:rFonts w:eastAsia="Calibri" w:cs="Tahoma"/>
          <w:color w:val="000000"/>
          <w:szCs w:val="18"/>
          <w:lang w:val="de-DE"/>
        </w:rPr>
        <w:t xml:space="preserve">. </w:t>
      </w:r>
    </w:p>
    <w:p w:rsidR="00E73313" w:rsidRPr="003002D3" w:rsidRDefault="00E73313" w:rsidP="00E73313">
      <w:pPr>
        <w:spacing w:after="60"/>
        <w:rPr>
          <w:lang w:val="de-DE"/>
        </w:rPr>
      </w:pPr>
    </w:p>
    <w:p w:rsidR="00E73313" w:rsidRPr="003002D3" w:rsidRDefault="00E73313" w:rsidP="00E73313">
      <w:pPr>
        <w:ind w:left="720"/>
        <w:rPr>
          <w:lang w:val="de-DE"/>
        </w:rPr>
      </w:pPr>
      <w:r w:rsidRPr="003002D3">
        <w:rPr>
          <w:rFonts w:cs="Tahoma"/>
          <w:color w:val="000000"/>
          <w:szCs w:val="24"/>
          <w:lang w:val="de-DE"/>
        </w:rPr>
        <w:t>Alle im Rahmen dieses Angebots gewährten SQL Server Parallel Data Warehouse- und System Center-Lizenzen umfassen Software Assurance</w:t>
      </w:r>
      <w:r w:rsidR="006257A7">
        <w:rPr>
          <w:rFonts w:cs="Tahoma"/>
          <w:color w:val="000000"/>
          <w:szCs w:val="24"/>
          <w:lang w:val="de-DE"/>
        </w:rPr>
        <w:t xml:space="preserve">. </w:t>
      </w:r>
      <w:r w:rsidRPr="003002D3">
        <w:rPr>
          <w:rFonts w:cs="Tahoma"/>
          <w:color w:val="000000"/>
          <w:szCs w:val="24"/>
          <w:lang w:val="de-DE"/>
        </w:rPr>
        <w:t>Diese gilt bis zum Ablauf der qualifizierenden Software Assurance</w:t>
      </w:r>
      <w:r w:rsidR="006257A7">
        <w:rPr>
          <w:rFonts w:cs="Tahoma"/>
          <w:color w:val="000000"/>
          <w:szCs w:val="24"/>
          <w:lang w:val="de-DE"/>
        </w:rPr>
        <w:t xml:space="preserve">. </w:t>
      </w:r>
      <w:r w:rsidRPr="003002D3">
        <w:rPr>
          <w:rFonts w:cs="Tahoma"/>
          <w:color w:val="000000"/>
          <w:szCs w:val="24"/>
          <w:lang w:val="de-DE"/>
        </w:rPr>
        <w:t>Danach können die Kunden Software Assurance für die gewährten Lizenzen verlängern</w:t>
      </w:r>
      <w:r w:rsidR="006257A7">
        <w:rPr>
          <w:rFonts w:cs="Tahoma"/>
          <w:color w:val="000000"/>
          <w:szCs w:val="24"/>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r w:rsidRPr="003002D3">
        <w:rPr>
          <w:rFonts w:cs="Tahoma"/>
          <w:color w:val="000000"/>
          <w:szCs w:val="24"/>
          <w:lang w:val="de-DE"/>
        </w:rPr>
        <w:t>Die Softwarenutzung laut diesem Angebot unterliegt den Bestimmungen des Lizenzvertrages des Kunden sowie den Produktbenutzungsrechten der Software</w:t>
      </w:r>
      <w:r w:rsidR="006257A7">
        <w:rPr>
          <w:rFonts w:cs="Tahoma"/>
          <w:color w:val="000000"/>
          <w:szCs w:val="24"/>
          <w:lang w:val="de-DE"/>
        </w:rPr>
        <w:t xml:space="preserve">. </w:t>
      </w:r>
      <w:r w:rsidRPr="003002D3">
        <w:rPr>
          <w:rFonts w:cs="Tahoma"/>
          <w:color w:val="000000"/>
          <w:szCs w:val="24"/>
          <w:lang w:val="de-DE"/>
        </w:rPr>
        <w:t>Das Recht zur Verwendung der Software gilt bis zum Ablauf des Rechts zur Verwendung der Software unter der qualifizierenden Lizenz</w:t>
      </w:r>
      <w:r w:rsidR="006257A7">
        <w:rPr>
          <w:rFonts w:cs="Tahoma"/>
          <w:color w:val="000000"/>
          <w:szCs w:val="24"/>
          <w:lang w:val="de-DE"/>
        </w:rPr>
        <w:t xml:space="preserve">. </w:t>
      </w:r>
      <w:r w:rsidRPr="003002D3">
        <w:rPr>
          <w:rFonts w:cs="Tahoma"/>
          <w:color w:val="000000"/>
          <w:szCs w:val="24"/>
          <w:lang w:val="de-DE"/>
        </w:rPr>
        <w:t>Der Nachweis der qualifizierenden Lizenzen und dieser Produkthinweis belegen das Recht des Kunden, SQL Server 2012 Parallel Data Warehouse und System Center 2012 unter den Bestimmungen dieses Angebots zu verwenden</w:t>
      </w:r>
      <w:r w:rsidR="006257A7">
        <w:rPr>
          <w:rFonts w:cs="Tahoma"/>
          <w:color w:val="000000"/>
          <w:szCs w:val="24"/>
          <w:lang w:val="de-DE"/>
        </w:rPr>
        <w:t xml:space="preserve">. </w:t>
      </w:r>
      <w:r w:rsidRPr="003002D3">
        <w:rPr>
          <w:rFonts w:cs="Tahoma"/>
          <w:color w:val="000000"/>
          <w:szCs w:val="24"/>
          <w:lang w:val="de-DE"/>
        </w:rPr>
        <w:t>Im Rahmen dieses Angebots gewährte Lizenzen dürfen nicht getrennt von den zugehörigen qualifizierenden Lizenzen übertragen werden</w:t>
      </w:r>
      <w:r w:rsidR="006257A7">
        <w:rPr>
          <w:rFonts w:cs="Tahoma"/>
          <w:color w:val="000000"/>
          <w:szCs w:val="24"/>
          <w:lang w:val="de-DE"/>
        </w:rPr>
        <w:t xml:space="preserve">. </w:t>
      </w:r>
    </w:p>
    <w:p w:rsidR="00E73313" w:rsidRPr="003002D3" w:rsidRDefault="00E73313" w:rsidP="00E73313">
      <w:pPr>
        <w:tabs>
          <w:tab w:val="left" w:pos="2970"/>
        </w:tabs>
        <w:ind w:left="1440"/>
        <w:rPr>
          <w:lang w:val="de-DE"/>
        </w:rPr>
      </w:pPr>
      <w:bookmarkStart w:id="1495" w:name="Srv_90SQLServer2012Standard"/>
    </w:p>
    <w:p w:rsidR="00E73313" w:rsidRPr="003002D3" w:rsidRDefault="00E73313" w:rsidP="00E73313">
      <w:pPr>
        <w:tabs>
          <w:tab w:val="left" w:pos="2970"/>
        </w:tabs>
        <w:ind w:left="1440"/>
        <w:rPr>
          <w:lang w:val="de-DE"/>
        </w:rPr>
      </w:pPr>
    </w:p>
    <w:p w:rsidR="00E73313" w:rsidRPr="003002D3" w:rsidRDefault="00E73313" w:rsidP="00E73313">
      <w:pPr>
        <w:pStyle w:val="Heading3"/>
        <w:rPr>
          <w:lang w:val="de-DE"/>
        </w:rPr>
      </w:pPr>
      <w:bookmarkStart w:id="1496" w:name="_82_SQL_Server®"/>
      <w:bookmarkStart w:id="1497" w:name="_89_SQL_Server®"/>
      <w:bookmarkStart w:id="1498" w:name="_Toc336338348"/>
      <w:bookmarkStart w:id="1499" w:name="_Toc363999086"/>
      <w:bookmarkEnd w:id="1496"/>
      <w:bookmarkEnd w:id="1497"/>
      <w:r w:rsidRPr="003002D3">
        <w:rPr>
          <w:rFonts w:ascii="Tahoma" w:hAnsi="Tahoma"/>
          <w:caps/>
          <w:color w:val="F66400"/>
          <w:sz w:val="22"/>
          <w:vertAlign w:val="superscript"/>
          <w:lang w:val="de-DE"/>
        </w:rPr>
        <w:t>89</w:t>
      </w:r>
      <w:r w:rsidRPr="003002D3">
        <w:rPr>
          <w:rFonts w:ascii="Tahoma" w:hAnsi="Tahoma"/>
          <w:color w:val="F66400"/>
          <w:sz w:val="22"/>
          <w:lang w:val="de-DE"/>
        </w:rPr>
        <w:t xml:space="preserve"> SQL Server</w:t>
      </w:r>
      <w:r w:rsidR="0069040B" w:rsidRPr="0069040B">
        <w:rPr>
          <w:rFonts w:ascii="Tahoma" w:hAnsi="Tahoma"/>
          <w:color w:val="F66400"/>
          <w:sz w:val="22"/>
          <w:vertAlign w:val="superscript"/>
          <w:lang w:val="de-DE"/>
        </w:rPr>
        <w:t>®</w:t>
      </w:r>
      <w:r w:rsidRPr="003002D3">
        <w:rPr>
          <w:rFonts w:ascii="Tahoma" w:hAnsi="Tahoma"/>
          <w:color w:val="F66400"/>
          <w:sz w:val="22"/>
          <w:lang w:val="de-DE"/>
        </w:rPr>
        <w:t xml:space="preserve"> 2012 Standard</w:t>
      </w:r>
      <w:bookmarkEnd w:id="1498"/>
      <w:bookmarkEnd w:id="1499"/>
      <w:r w:rsidRPr="003002D3">
        <w:rPr>
          <w:rFonts w:ascii="Tahoma" w:hAnsi="Tahoma"/>
          <w:color w:val="F66400"/>
          <w:sz w:val="22"/>
          <w:lang w:val="de-DE"/>
        </w:rPr>
        <w:t xml:space="preserve"> </w:t>
      </w:r>
    </w:p>
    <w:bookmarkEnd w:id="1495"/>
    <w:p w:rsidR="00E73313" w:rsidRPr="003002D3" w:rsidRDefault="00E73313" w:rsidP="00E73313">
      <w:pPr>
        <w:pStyle w:val="EndnoteText"/>
        <w:ind w:left="0"/>
        <w:rPr>
          <w:lang w:val="de-DE"/>
        </w:rPr>
      </w:pPr>
    </w:p>
    <w:p w:rsidR="00E73313" w:rsidRPr="003002D3" w:rsidRDefault="00E73313" w:rsidP="00E73313">
      <w:pPr>
        <w:ind w:left="720"/>
        <w:rPr>
          <w:lang w:val="de-DE"/>
        </w:rPr>
      </w:pPr>
      <w:r w:rsidRPr="003002D3">
        <w:rPr>
          <w:rFonts w:eastAsia="Calibri" w:cs="Tahoma"/>
          <w:szCs w:val="18"/>
          <w:lang w:val="de-DE"/>
        </w:rPr>
        <w:t>SQL Server 2012 Standard ist die nächste Version von SQL Server Standard, und CAL für SQL Server 2012 ist die nächste Version von CAL für SQL Server</w:t>
      </w:r>
      <w:r w:rsidR="006257A7">
        <w:rPr>
          <w:rFonts w:eastAsia="Calibri" w:cs="Tahoma"/>
          <w:szCs w:val="18"/>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p>
    <w:p w:rsidR="00E73313" w:rsidRPr="003002D3" w:rsidRDefault="00E73313" w:rsidP="00E73313">
      <w:pPr>
        <w:pStyle w:val="Heading3"/>
        <w:rPr>
          <w:lang w:val="de-DE"/>
        </w:rPr>
      </w:pPr>
      <w:bookmarkStart w:id="1500" w:name="_85_83_SQL"/>
      <w:bookmarkStart w:id="1501" w:name="_90_SQL_Server®"/>
      <w:bookmarkStart w:id="1502" w:name="_Toc336338349"/>
      <w:bookmarkStart w:id="1503" w:name="_Toc363999087"/>
      <w:bookmarkStart w:id="1504" w:name="Srv_91SQLServer2012StandardCore"/>
      <w:bookmarkEnd w:id="1500"/>
      <w:bookmarkEnd w:id="1501"/>
      <w:r w:rsidRPr="003002D3">
        <w:rPr>
          <w:rFonts w:ascii="Tahoma" w:hAnsi="Tahoma" w:cs="Tahoma"/>
          <w:caps/>
          <w:color w:val="F66400"/>
          <w:sz w:val="22"/>
          <w:vertAlign w:val="superscript"/>
          <w:lang w:val="de-DE"/>
        </w:rPr>
        <w:t>90</w:t>
      </w:r>
      <w:r w:rsidRPr="003002D3">
        <w:rPr>
          <w:rFonts w:ascii="Tahoma" w:hAnsi="Tahoma" w:cs="Tahoma"/>
          <w:color w:val="F66400"/>
          <w:sz w:val="22"/>
          <w:lang w:val="de-DE"/>
        </w:rPr>
        <w:t xml:space="preserve"> SQL Server</w:t>
      </w:r>
      <w:r w:rsidR="0069040B" w:rsidRPr="0069040B">
        <w:rPr>
          <w:rFonts w:ascii="Tahoma" w:hAnsi="Tahoma" w:cs="Tahoma"/>
          <w:color w:val="F66400"/>
          <w:sz w:val="22"/>
          <w:vertAlign w:val="superscript"/>
          <w:lang w:val="de-DE"/>
        </w:rPr>
        <w:t>®</w:t>
      </w:r>
      <w:r w:rsidRPr="003002D3">
        <w:rPr>
          <w:rFonts w:ascii="Tahoma" w:hAnsi="Tahoma" w:cs="Tahoma"/>
          <w:color w:val="F66400"/>
          <w:sz w:val="22"/>
          <w:lang w:val="de-DE"/>
        </w:rPr>
        <w:t xml:space="preserve"> 2012 Standard</w:t>
      </w:r>
      <w:r w:rsidRPr="003002D3">
        <w:rPr>
          <w:rFonts w:ascii="Tahoma" w:eastAsia="Calibri" w:hAnsi="Tahoma" w:cs="Tahoma"/>
          <w:color w:val="F66400"/>
          <w:sz w:val="22"/>
          <w:szCs w:val="18"/>
          <w:lang w:val="de-DE"/>
        </w:rPr>
        <w:t xml:space="preserve"> Core</w:t>
      </w:r>
      <w:bookmarkEnd w:id="1502"/>
      <w:bookmarkEnd w:id="1503"/>
    </w:p>
    <w:bookmarkEnd w:id="1504"/>
    <w:p w:rsidR="00E73313" w:rsidRPr="003002D3" w:rsidRDefault="00E73313" w:rsidP="00E73313">
      <w:pPr>
        <w:rPr>
          <w:lang w:val="de-DE"/>
        </w:rPr>
      </w:pPr>
    </w:p>
    <w:p w:rsidR="00E73313" w:rsidRPr="003002D3" w:rsidRDefault="00E73313" w:rsidP="00E73313">
      <w:pPr>
        <w:spacing w:after="60"/>
        <w:ind w:left="720"/>
        <w:rPr>
          <w:lang w:val="de-DE"/>
        </w:rPr>
      </w:pPr>
      <w:r w:rsidRPr="003002D3">
        <w:rPr>
          <w:rFonts w:eastAsia="Calibri" w:cs="Tahoma"/>
          <w:b/>
          <w:szCs w:val="18"/>
          <w:lang w:val="de-DE"/>
        </w:rPr>
        <w:t>Lizenzgewährungen im Zusammenhang mit der Änderung des Lizenzmodells</w:t>
      </w:r>
    </w:p>
    <w:p w:rsidR="00E73313" w:rsidRPr="003002D3" w:rsidRDefault="00E73313" w:rsidP="001B3A05">
      <w:pPr>
        <w:ind w:left="720"/>
        <w:rPr>
          <w:lang w:val="de-DE"/>
        </w:rPr>
      </w:pPr>
      <w:r w:rsidRPr="003002D3">
        <w:rPr>
          <w:rFonts w:eastAsia="Calibri" w:cs="Tahoma"/>
          <w:color w:val="000000"/>
          <w:szCs w:val="18"/>
          <w:lang w:val="de-DE"/>
        </w:rPr>
        <w:t>SQL Server 2008 R2 ist die letzte Version von SQL Server, die unter dem Pro-Prozessor-Lizenzmodell lizenziert wird</w:t>
      </w:r>
      <w:r w:rsidR="006257A7">
        <w:rPr>
          <w:rFonts w:eastAsia="Calibri" w:cs="Tahoma"/>
          <w:color w:val="000000"/>
          <w:szCs w:val="18"/>
          <w:lang w:val="de-DE"/>
        </w:rPr>
        <w:t xml:space="preserve">. </w:t>
      </w:r>
      <w:r w:rsidRPr="003002D3">
        <w:rPr>
          <w:rFonts w:eastAsia="Calibri" w:cs="Tahoma"/>
          <w:color w:val="000000"/>
          <w:szCs w:val="18"/>
          <w:lang w:val="de-DE"/>
        </w:rPr>
        <w:t>Als Ausnahme erhalten Volumenlizenzkunden, die am 1</w:t>
      </w:r>
      <w:r w:rsidR="006257A7">
        <w:rPr>
          <w:rFonts w:eastAsia="Calibri" w:cs="Tahoma"/>
          <w:color w:val="000000"/>
          <w:szCs w:val="18"/>
          <w:lang w:val="de-DE"/>
        </w:rPr>
        <w:t xml:space="preserve">. </w:t>
      </w:r>
      <w:r w:rsidRPr="003002D3">
        <w:rPr>
          <w:rFonts w:eastAsia="Calibri" w:cs="Tahoma"/>
          <w:color w:val="000000"/>
          <w:szCs w:val="18"/>
          <w:lang w:val="de-DE"/>
        </w:rPr>
        <w:t>April 2012 über aktive Software Assurance für SQL Server 2008 R2 Standard-Prozessorlizenzen („qualifizierende Lizenzen“) verfügen, die</w:t>
      </w:r>
      <w:r w:rsidR="001B3A05">
        <w:rPr>
          <w:rFonts w:eastAsia="Calibri" w:cs="Tahoma"/>
          <w:color w:val="000000"/>
          <w:szCs w:val="18"/>
          <w:lang w:val="de-DE"/>
        </w:rPr>
        <w:t> </w:t>
      </w:r>
      <w:r w:rsidRPr="003002D3">
        <w:rPr>
          <w:rFonts w:eastAsia="Calibri" w:cs="Tahoma"/>
          <w:color w:val="000000"/>
          <w:szCs w:val="18"/>
          <w:lang w:val="de-DE"/>
        </w:rPr>
        <w:t>folgenden Optionen</w:t>
      </w:r>
      <w:r w:rsidR="006257A7">
        <w:rPr>
          <w:rFonts w:eastAsia="Calibri" w:cs="Tahoma"/>
          <w:color w:val="000000"/>
          <w:szCs w:val="18"/>
          <w:lang w:val="de-DE"/>
        </w:rPr>
        <w:t xml:space="preserve">. </w:t>
      </w:r>
      <w:r w:rsidRPr="003002D3">
        <w:rPr>
          <w:rFonts w:eastAsia="Calibri" w:cs="Tahoma"/>
          <w:color w:val="000000"/>
          <w:szCs w:val="18"/>
          <w:lang w:val="de-DE"/>
        </w:rPr>
        <w:t>SQL Server 2008 R2 Standard-Prozessor</w:t>
      </w:r>
      <w:r w:rsidRPr="003002D3">
        <w:rPr>
          <w:rFonts w:cs="Tahoma"/>
          <w:bCs/>
          <w:color w:val="000000"/>
          <w:szCs w:val="18"/>
          <w:lang w:val="de-DE"/>
        </w:rPr>
        <w:t>lizenzen, die danach unter derselben Beitrittslaufzeit, jedoch vor dem 1</w:t>
      </w:r>
      <w:r w:rsidR="006257A7">
        <w:rPr>
          <w:rFonts w:cs="Tahoma"/>
          <w:bCs/>
          <w:color w:val="000000"/>
          <w:szCs w:val="18"/>
          <w:lang w:val="de-DE"/>
        </w:rPr>
        <w:t xml:space="preserve">. </w:t>
      </w:r>
      <w:r w:rsidRPr="003002D3">
        <w:rPr>
          <w:rFonts w:cs="Tahoma"/>
          <w:bCs/>
          <w:color w:val="000000"/>
          <w:szCs w:val="18"/>
          <w:lang w:val="de-DE"/>
        </w:rPr>
        <w:t>April 2015 im Rahmen eines Konzern-, Konzern-Abonnement-, Open Value Subscription-Prozesses oder des geplanten jährlichen True Up-Prozesses des EES-Kunden erworben werden, sind ebenfalls qualifizierende Lizenzen im Sinne dieser Optionen</w:t>
      </w:r>
      <w:r w:rsidR="006257A7">
        <w:rPr>
          <w:rFonts w:cs="Tahoma"/>
          <w:bCs/>
          <w:color w:val="000000"/>
          <w:szCs w:val="18"/>
          <w:lang w:val="de-DE"/>
        </w:rPr>
        <w:t xml:space="preserve">. </w:t>
      </w:r>
      <w:r w:rsidRPr="003002D3">
        <w:rPr>
          <w:rFonts w:cs="Tahoma"/>
          <w:bCs/>
          <w:color w:val="000000"/>
          <w:szCs w:val="18"/>
          <w:lang w:val="de-DE"/>
        </w:rPr>
        <w:t>Lizenzen, die nach dem 1</w:t>
      </w:r>
      <w:r w:rsidR="006257A7">
        <w:rPr>
          <w:rFonts w:cs="Tahoma"/>
          <w:bCs/>
          <w:color w:val="000000"/>
          <w:szCs w:val="18"/>
          <w:lang w:val="de-DE"/>
        </w:rPr>
        <w:t xml:space="preserve">. </w:t>
      </w:r>
      <w:r w:rsidRPr="003002D3">
        <w:rPr>
          <w:rFonts w:cs="Tahoma"/>
          <w:bCs/>
          <w:color w:val="000000"/>
          <w:szCs w:val="18"/>
          <w:lang w:val="de-DE"/>
        </w:rPr>
        <w:t>April 2015 oder unter einer nachfolgenden Beitrittslaufzeit, einem separaten Vertrag oder einem Beitritt erworben werden, dessen Wirksamkeitsdatum nach dem 1</w:t>
      </w:r>
      <w:r w:rsidR="006257A7">
        <w:rPr>
          <w:rFonts w:cs="Tahoma"/>
          <w:bCs/>
          <w:color w:val="000000"/>
          <w:szCs w:val="18"/>
          <w:lang w:val="de-DE"/>
        </w:rPr>
        <w:t xml:space="preserve">. </w:t>
      </w:r>
      <w:r w:rsidRPr="003002D3">
        <w:rPr>
          <w:rFonts w:cs="Tahoma"/>
          <w:bCs/>
          <w:color w:val="000000"/>
          <w:szCs w:val="18"/>
          <w:lang w:val="de-DE"/>
        </w:rPr>
        <w:t>April 2012 liegt, sind keine qualifizierenden Lizenzen</w:t>
      </w:r>
      <w:r w:rsidR="006257A7">
        <w:rPr>
          <w:rFonts w:cs="Tahoma"/>
          <w:bCs/>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szCs w:val="18"/>
          <w:lang w:val="de-DE"/>
        </w:rPr>
        <w:t>Aktuelle Laufzeit</w:t>
      </w:r>
    </w:p>
    <w:p w:rsidR="00E73313" w:rsidRDefault="00E73313" w:rsidP="001B3A05">
      <w:pPr>
        <w:ind w:left="720"/>
        <w:rPr>
          <w:rFonts w:eastAsia="Calibri" w:cs="Tahoma"/>
          <w:szCs w:val="18"/>
          <w:lang w:val="de-DE"/>
        </w:rPr>
      </w:pPr>
      <w:r w:rsidRPr="003002D3">
        <w:rPr>
          <w:rFonts w:eastAsia="Calibri" w:cs="Tahoma"/>
          <w:szCs w:val="18"/>
          <w:lang w:val="de-DE"/>
        </w:rPr>
        <w:t>Während der aktuellen Laufzeit ihrer Software Assurance zum 1</w:t>
      </w:r>
      <w:r w:rsidR="006257A7">
        <w:rPr>
          <w:rFonts w:eastAsia="Calibri" w:cs="Tahoma"/>
          <w:szCs w:val="18"/>
          <w:lang w:val="de-DE"/>
        </w:rPr>
        <w:t xml:space="preserve">. </w:t>
      </w:r>
      <w:r w:rsidRPr="003002D3">
        <w:rPr>
          <w:rFonts w:eastAsia="Calibri" w:cs="Tahoma"/>
          <w:szCs w:val="18"/>
          <w:lang w:val="de-DE"/>
        </w:rPr>
        <w:t>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Standard upzugraden und diese zu verwenden</w:t>
      </w:r>
      <w:r w:rsidR="006257A7">
        <w:rPr>
          <w:rFonts w:eastAsia="Calibri" w:cs="Tahoma"/>
          <w:szCs w:val="18"/>
          <w:lang w:val="de-DE"/>
        </w:rPr>
        <w:t xml:space="preserve">. </w:t>
      </w:r>
      <w:r w:rsidRPr="003002D3">
        <w:rPr>
          <w:rFonts w:eastAsia="Calibri" w:cs="Tahoma"/>
          <w:szCs w:val="18"/>
          <w:lang w:val="de-DE"/>
        </w:rPr>
        <w:t>Zusätzlich werden Kunden</w:t>
      </w:r>
      <w:r w:rsidR="001B3A05">
        <w:rPr>
          <w:rFonts w:eastAsia="Calibri" w:cs="Tahoma"/>
          <w:szCs w:val="18"/>
          <w:lang w:val="de-DE"/>
        </w:rPr>
        <w:t> </w:t>
      </w:r>
      <w:r w:rsidRPr="003002D3">
        <w:rPr>
          <w:rFonts w:eastAsia="Calibri" w:cs="Tahoma"/>
          <w:szCs w:val="18"/>
          <w:lang w:val="de-DE"/>
        </w:rPr>
        <w:t>Rechte unter Lizenzmobilität durch Software Assurance und Lizenzmobilität innerhalb von Serverfarmen gewährt</w:t>
      </w:r>
      <w:r w:rsidR="006257A7">
        <w:rPr>
          <w:rFonts w:eastAsia="Calibri" w:cs="Tahoma"/>
          <w:szCs w:val="18"/>
          <w:lang w:val="de-DE"/>
        </w:rPr>
        <w:t xml:space="preserve">. </w:t>
      </w:r>
      <w:r w:rsidRPr="003002D3">
        <w:rPr>
          <w:rFonts w:eastAsia="Calibri" w:cs="Tahoma"/>
          <w:szCs w:val="18"/>
          <w:lang w:val="de-DE"/>
        </w:rPr>
        <w:t>Die Lizenzbestimmungen für Lizenzmobilität finden Kunden in den Produktbenutzungsrechten für SQL Server 2012 Standard Core</w:t>
      </w:r>
      <w:r w:rsidR="00FB29A2">
        <w:rPr>
          <w:rFonts w:eastAsia="Calibri" w:cs="Tahoma"/>
          <w:szCs w:val="18"/>
          <w:lang w:val="de-DE"/>
        </w:rPr>
        <w:t>.</w:t>
      </w:r>
    </w:p>
    <w:p w:rsidR="00FB29A2" w:rsidRDefault="00FB29A2" w:rsidP="001B3A05">
      <w:pPr>
        <w:ind w:left="720"/>
        <w:rPr>
          <w:rFonts w:eastAsia="Calibri" w:cs="Tahoma"/>
          <w:szCs w:val="18"/>
          <w:lang w:val="de-DE"/>
        </w:rPr>
      </w:pPr>
    </w:p>
    <w:p w:rsidR="00FB29A2" w:rsidRDefault="00FB29A2" w:rsidP="001B3A05">
      <w:pPr>
        <w:ind w:left="720"/>
        <w:rPr>
          <w:rFonts w:eastAsia="Calibri" w:cs="Tahoma"/>
          <w:szCs w:val="18"/>
          <w:lang w:val="de-DE"/>
        </w:rPr>
      </w:pPr>
    </w:p>
    <w:p w:rsidR="00FB29A2" w:rsidRDefault="00FB29A2" w:rsidP="001B3A05">
      <w:pPr>
        <w:ind w:left="720"/>
        <w:rPr>
          <w:rFonts w:eastAsia="Calibri" w:cs="Tahoma"/>
          <w:szCs w:val="18"/>
          <w:lang w:val="de-DE"/>
        </w:rPr>
      </w:pPr>
    </w:p>
    <w:p w:rsidR="00FB29A2" w:rsidRDefault="00FB29A2" w:rsidP="001B3A05">
      <w:pPr>
        <w:ind w:left="720"/>
        <w:rPr>
          <w:rFonts w:eastAsia="Calibri" w:cs="Tahoma"/>
          <w:szCs w:val="18"/>
          <w:lang w:val="de-DE"/>
        </w:rPr>
      </w:pPr>
    </w:p>
    <w:p w:rsidR="00E73313" w:rsidRPr="003002D3" w:rsidRDefault="00E73313" w:rsidP="00E73313">
      <w:pPr>
        <w:spacing w:after="60"/>
        <w:ind w:left="720"/>
        <w:rPr>
          <w:lang w:val="de-DE"/>
        </w:rPr>
      </w:pPr>
      <w:r w:rsidRPr="003002D3">
        <w:rPr>
          <w:rFonts w:eastAsia="Calibri" w:cs="Tahoma"/>
          <w:b/>
          <w:szCs w:val="18"/>
          <w:lang w:val="de-DE"/>
        </w:rPr>
        <w:t>Erster Verlängerungszeitraum (vor dem 1</w:t>
      </w:r>
      <w:r w:rsidR="006257A7">
        <w:rPr>
          <w:rFonts w:eastAsia="Calibri" w:cs="Tahoma"/>
          <w:b/>
          <w:szCs w:val="18"/>
          <w:lang w:val="de-DE"/>
        </w:rPr>
        <w:t xml:space="preserve">. </w:t>
      </w:r>
      <w:r w:rsidRPr="003002D3">
        <w:rPr>
          <w:rFonts w:eastAsia="Calibri" w:cs="Tahoma"/>
          <w:b/>
          <w:szCs w:val="18"/>
          <w:lang w:val="de-DE"/>
        </w:rPr>
        <w:t>April 2015)</w:t>
      </w:r>
    </w:p>
    <w:p w:rsidR="00E73313" w:rsidRPr="003002D3" w:rsidRDefault="00E73313" w:rsidP="001B3A05">
      <w:pPr>
        <w:ind w:left="720"/>
        <w:rPr>
          <w:lang w:val="de-DE"/>
        </w:rPr>
      </w:pPr>
      <w:r w:rsidRPr="003002D3">
        <w:rPr>
          <w:rFonts w:eastAsia="Calibri" w:cs="Tahoma"/>
          <w:szCs w:val="18"/>
          <w:lang w:val="de-DE"/>
        </w:rPr>
        <w:t>Bei der ersten Software Assurance-Verlängerung am oder nach dem 1</w:t>
      </w:r>
      <w:r w:rsidR="006257A7">
        <w:rPr>
          <w:rFonts w:eastAsia="Calibri" w:cs="Tahoma"/>
          <w:szCs w:val="18"/>
          <w:lang w:val="de-DE"/>
        </w:rPr>
        <w:t xml:space="preserve">. </w:t>
      </w:r>
      <w:r w:rsidRPr="003002D3">
        <w:rPr>
          <w:rFonts w:eastAsia="Calibri" w:cs="Tahoma"/>
          <w:szCs w:val="18"/>
          <w:lang w:val="de-DE"/>
        </w:rPr>
        <w:t>April 2012 (jedoch vor dem</w:t>
      </w:r>
      <w:r w:rsidR="001B3A05">
        <w:rPr>
          <w:rFonts w:eastAsia="Calibri" w:cs="Tahoma"/>
          <w:szCs w:val="18"/>
          <w:lang w:val="de-DE"/>
        </w:rPr>
        <w:t> </w:t>
      </w:r>
      <w:r w:rsidRPr="003002D3">
        <w:rPr>
          <w:rFonts w:eastAsia="Calibri" w:cs="Tahoma"/>
          <w:szCs w:val="18"/>
          <w:lang w:val="de-DE"/>
        </w:rPr>
        <w:t>1</w:t>
      </w:r>
      <w:r w:rsidR="006257A7">
        <w:rPr>
          <w:rFonts w:eastAsia="Calibri" w:cs="Tahoma"/>
          <w:szCs w:val="18"/>
          <w:lang w:val="de-DE"/>
        </w:rPr>
        <w:t xml:space="preserve">. </w:t>
      </w:r>
      <w:r w:rsidRPr="003002D3">
        <w:rPr>
          <w:rFonts w:eastAsia="Calibri" w:cs="Tahoma"/>
          <w:szCs w:val="18"/>
          <w:lang w:val="de-DE"/>
        </w:rPr>
        <w:t>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rsidR="00E73313" w:rsidRPr="00B56A92" w:rsidRDefault="00E73313" w:rsidP="00B56A92">
      <w:pPr>
        <w:spacing w:line="192" w:lineRule="auto"/>
        <w:ind w:left="720"/>
        <w:rPr>
          <w:sz w:val="16"/>
          <w:szCs w:val="16"/>
          <w:lang w:val="de-DE"/>
        </w:rPr>
      </w:pPr>
    </w:p>
    <w:p w:rsidR="00E73313" w:rsidRPr="003002D3" w:rsidRDefault="00E73313" w:rsidP="00E73313">
      <w:pPr>
        <w:numPr>
          <w:ilvl w:val="0"/>
          <w:numId w:val="119"/>
        </w:numPr>
        <w:tabs>
          <w:tab w:val="left" w:pos="1440"/>
        </w:tabs>
        <w:spacing w:after="60"/>
        <w:ind w:left="1440"/>
        <w:rPr>
          <w:lang w:val="de-DE"/>
        </w:rPr>
      </w:pPr>
      <w:r w:rsidRPr="003002D3">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E73313" w:rsidRPr="0062435A" w:rsidRDefault="00E73313" w:rsidP="00B56A92">
      <w:pPr>
        <w:numPr>
          <w:ilvl w:val="3"/>
          <w:numId w:val="57"/>
        </w:numPr>
        <w:spacing w:after="40"/>
        <w:ind w:left="1800"/>
      </w:pPr>
      <w:r>
        <w:rPr>
          <w:rFonts w:eastAsia="Calibri" w:cs="Tahoma"/>
          <w:szCs w:val="18"/>
        </w:rPr>
        <w:t>vier ODER</w:t>
      </w:r>
    </w:p>
    <w:p w:rsidR="00E73313" w:rsidRPr="003002D3" w:rsidRDefault="00E73313" w:rsidP="00B56A92">
      <w:pPr>
        <w:numPr>
          <w:ilvl w:val="3"/>
          <w:numId w:val="57"/>
        </w:numPr>
        <w:spacing w:after="40"/>
        <w:ind w:left="1800"/>
        <w:rPr>
          <w:lang w:val="de-DE"/>
        </w:rPr>
      </w:pPr>
      <w:r w:rsidRPr="003002D3">
        <w:rPr>
          <w:rFonts w:eastAsia="Calibri" w:cs="Tahoma"/>
          <w:szCs w:val="18"/>
          <w:lang w:val="de-DE"/>
        </w:rPr>
        <w:t>der tatsächlichen Anzahl von Cores pro physischem Prozessor multipliziert mit dem entsprechenden Core-Faktor</w:t>
      </w:r>
      <w:r w:rsidR="006257A7">
        <w:rPr>
          <w:rFonts w:eastAsia="Calibri" w:cs="Tahoma"/>
          <w:szCs w:val="18"/>
          <w:lang w:val="de-DE"/>
        </w:rPr>
        <w:t xml:space="preserve">. </w:t>
      </w:r>
      <w:r w:rsidRPr="003002D3">
        <w:rPr>
          <w:rFonts w:eastAsia="Calibri" w:cs="Tahoma"/>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w:t>
      </w:r>
      <w:r w:rsidR="001B3A05">
        <w:rPr>
          <w:rFonts w:eastAsia="Calibri" w:cs="Tahoma"/>
          <w:szCs w:val="18"/>
          <w:lang w:val="de-DE"/>
        </w:rPr>
        <w:t> </w:t>
      </w:r>
      <w:r w:rsidRPr="003002D3">
        <w:rPr>
          <w:rFonts w:eastAsia="Calibri" w:cs="Tahoma"/>
          <w:szCs w:val="18"/>
          <w:lang w:val="de-DE"/>
        </w:rPr>
        <w:t>(lizenzierte Instanzen, die in Betriebssystemumgebungen auf dem lizenzierten Server ausgeführt werden), und der physischen Hardware führen, die diese Software unterstützt</w:t>
      </w:r>
      <w:r w:rsidR="006257A7">
        <w:rPr>
          <w:rFonts w:eastAsia="Calibri" w:cs="Tahoma"/>
          <w:szCs w:val="18"/>
          <w:lang w:val="de-DE"/>
        </w:rPr>
        <w:t xml:space="preserve">. </w:t>
      </w:r>
      <w:r w:rsidRPr="003002D3">
        <w:rPr>
          <w:rFonts w:eastAsia="Calibri" w:cs="Tahoma"/>
          <w:szCs w:val="18"/>
          <w:lang w:val="de-DE"/>
        </w:rPr>
        <w:t xml:space="preserve">) </w:t>
      </w:r>
    </w:p>
    <w:p w:rsidR="00E73313" w:rsidRPr="003002D3" w:rsidRDefault="00E73313" w:rsidP="00E73313">
      <w:pPr>
        <w:numPr>
          <w:ilvl w:val="0"/>
          <w:numId w:val="119"/>
        </w:numPr>
        <w:tabs>
          <w:tab w:val="left" w:pos="1440"/>
        </w:tabs>
        <w:spacing w:after="60"/>
        <w:ind w:left="1440"/>
        <w:rPr>
          <w:lang w:val="de-DE"/>
        </w:rPr>
      </w:pPr>
      <w:r w:rsidRPr="003002D3">
        <w:rPr>
          <w:rFonts w:eastAsia="Calibri" w:cs="Tahoma"/>
          <w:szCs w:val="18"/>
          <w:lang w:val="de-DE"/>
        </w:rPr>
        <w:t>eine Anzahl, die der Anzahl von dem Server zugewiesenen qualifizierenden Lizenzen entspricht, die die tatsächliche Anzahl physischer Prozessoren auf dem Server übersteigen, multipliziert mit vier</w:t>
      </w:r>
      <w:r w:rsidR="006257A7">
        <w:rPr>
          <w:rFonts w:eastAsia="Calibri" w:cs="Tahoma"/>
          <w:szCs w:val="18"/>
          <w:lang w:val="de-DE"/>
        </w:rPr>
        <w:t xml:space="preserve">. </w:t>
      </w:r>
    </w:p>
    <w:p w:rsidR="00E73313" w:rsidRPr="00B56A92" w:rsidRDefault="00E73313" w:rsidP="00B56A92">
      <w:pPr>
        <w:tabs>
          <w:tab w:val="left" w:pos="1440"/>
        </w:tabs>
        <w:spacing w:line="192" w:lineRule="auto"/>
        <w:ind w:left="1080"/>
        <w:rPr>
          <w:sz w:val="16"/>
          <w:szCs w:val="16"/>
          <w:lang w:val="de-DE"/>
        </w:rPr>
      </w:pPr>
    </w:p>
    <w:p w:rsidR="00E73313" w:rsidRPr="003002D3" w:rsidRDefault="00E73313" w:rsidP="00E73313">
      <w:pPr>
        <w:spacing w:after="60"/>
        <w:ind w:left="720"/>
        <w:rPr>
          <w:lang w:val="de-DE"/>
        </w:rPr>
      </w:pPr>
      <w:r w:rsidRPr="003002D3">
        <w:rPr>
          <w:rFonts w:eastAsia="Calibri" w:cs="Tahoma"/>
          <w:b/>
          <w:szCs w:val="18"/>
          <w:lang w:val="de-DE"/>
        </w:rPr>
        <w:t>Erster Verlängerungszeitraum (am oder nach dem 1</w:t>
      </w:r>
      <w:r w:rsidR="006257A7">
        <w:rPr>
          <w:rFonts w:eastAsia="Calibri" w:cs="Tahoma"/>
          <w:b/>
          <w:szCs w:val="18"/>
          <w:lang w:val="de-DE"/>
        </w:rPr>
        <w:t xml:space="preserve">. </w:t>
      </w:r>
      <w:r w:rsidRPr="003002D3">
        <w:rPr>
          <w:rFonts w:eastAsia="Calibri" w:cs="Tahoma"/>
          <w:b/>
          <w:szCs w:val="18"/>
          <w:lang w:val="de-DE"/>
        </w:rPr>
        <w:t>April 2015)</w:t>
      </w:r>
    </w:p>
    <w:p w:rsidR="00E73313" w:rsidRPr="003002D3" w:rsidRDefault="00E73313" w:rsidP="00E73313">
      <w:pPr>
        <w:ind w:left="720"/>
        <w:rPr>
          <w:lang w:val="de-DE"/>
        </w:rPr>
      </w:pPr>
      <w:r w:rsidRPr="003002D3">
        <w:rPr>
          <w:rFonts w:eastAsia="Calibri" w:cs="Tahoma"/>
          <w:color w:val="000000"/>
          <w:szCs w:val="18"/>
          <w:lang w:val="de-DE"/>
        </w:rPr>
        <w:t>Kunden, die Software Assurance am oder nach dem 1</w:t>
      </w:r>
      <w:r w:rsidR="006257A7">
        <w:rPr>
          <w:rFonts w:eastAsia="Calibri" w:cs="Tahoma"/>
          <w:color w:val="000000"/>
          <w:szCs w:val="18"/>
          <w:lang w:val="de-DE"/>
        </w:rPr>
        <w:t xml:space="preserve">. </w:t>
      </w:r>
      <w:r w:rsidRPr="003002D3">
        <w:rPr>
          <w:rFonts w:eastAsia="Calibri" w:cs="Tahoma"/>
          <w:color w:val="000000"/>
          <w:szCs w:val="18"/>
          <w:lang w:val="de-DE"/>
        </w:rPr>
        <w:t>April 2015</w:t>
      </w:r>
      <w:r w:rsidRPr="003002D3">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E73313" w:rsidRPr="00B56A92" w:rsidRDefault="00E73313" w:rsidP="00B56A92">
      <w:pPr>
        <w:spacing w:line="192" w:lineRule="auto"/>
        <w:ind w:left="720"/>
        <w:rPr>
          <w:sz w:val="16"/>
          <w:szCs w:val="16"/>
          <w:lang w:val="de-DE"/>
        </w:rPr>
      </w:pPr>
    </w:p>
    <w:p w:rsidR="00E73313" w:rsidRPr="0062435A" w:rsidRDefault="00E73313" w:rsidP="00B56A92">
      <w:pPr>
        <w:numPr>
          <w:ilvl w:val="3"/>
          <w:numId w:val="95"/>
        </w:numPr>
        <w:spacing w:after="40"/>
        <w:ind w:left="1440"/>
      </w:pPr>
      <w:r w:rsidRPr="003002D3">
        <w:rPr>
          <w:rFonts w:eastAsia="Calibri" w:cs="Tahoma"/>
          <w:szCs w:val="18"/>
          <w:lang w:val="de-DE"/>
        </w:rPr>
        <w:t>Wie im ersten Absatz dieses Produkthinweises dargelegt, sind Lizenzen, die vor dem 1</w:t>
      </w:r>
      <w:r w:rsidR="006257A7">
        <w:rPr>
          <w:rFonts w:eastAsia="Calibri" w:cs="Tahoma"/>
          <w:szCs w:val="18"/>
          <w:lang w:val="de-DE"/>
        </w:rPr>
        <w:t xml:space="preserve">. </w:t>
      </w:r>
      <w:r w:rsidRPr="003002D3">
        <w:rPr>
          <w:rFonts w:eastAsia="Calibri" w:cs="Tahoma"/>
          <w:szCs w:val="18"/>
          <w:lang w:val="de-DE"/>
        </w:rPr>
        <w:t>April 2015 erworben wurden, qualifizierende Lizenzen, und Kunden sind berechtigt, Software Assurance in Übereinstimmung mit den Bestimmungen im Abschnitt oben mit der Überschrift „Erster Verlängerungszeitraum (vor dem 1</w:t>
      </w:r>
      <w:r w:rsidR="006257A7">
        <w:rPr>
          <w:rFonts w:eastAsia="Calibri" w:cs="Tahoma"/>
          <w:szCs w:val="18"/>
          <w:lang w:val="de-DE"/>
        </w:rPr>
        <w:t xml:space="preserve">. </w:t>
      </w:r>
      <w:r>
        <w:rPr>
          <w:rFonts w:eastAsia="Calibri" w:cs="Tahoma"/>
          <w:szCs w:val="18"/>
        </w:rPr>
        <w:t xml:space="preserve">April 2015)“ zu verlängern, und </w:t>
      </w:r>
    </w:p>
    <w:p w:rsidR="00E73313" w:rsidRPr="003002D3" w:rsidRDefault="001B3A05" w:rsidP="00B56A92">
      <w:pPr>
        <w:numPr>
          <w:ilvl w:val="3"/>
          <w:numId w:val="95"/>
        </w:numPr>
        <w:spacing w:after="40"/>
        <w:ind w:left="1440"/>
        <w:rPr>
          <w:lang w:val="de-DE"/>
        </w:rPr>
      </w:pPr>
      <w:r>
        <w:rPr>
          <w:rFonts w:eastAsia="Calibri" w:cs="Tahoma"/>
          <w:szCs w:val="18"/>
          <w:lang w:val="de-DE"/>
        </w:rPr>
        <w:t>F</w:t>
      </w:r>
      <w:r w:rsidR="00E73313" w:rsidRPr="003002D3">
        <w:rPr>
          <w:rFonts w:eastAsia="Calibri" w:cs="Tahoma"/>
          <w:szCs w:val="18"/>
          <w:lang w:val="de-DE"/>
        </w:rPr>
        <w:t>ür Lizenzen, die nach dem 1</w:t>
      </w:r>
      <w:r w:rsidR="006257A7">
        <w:rPr>
          <w:rFonts w:eastAsia="Calibri" w:cs="Tahoma"/>
          <w:szCs w:val="18"/>
          <w:lang w:val="de-DE"/>
        </w:rPr>
        <w:t xml:space="preserve">. </w:t>
      </w:r>
      <w:r w:rsidR="00E73313" w:rsidRPr="003002D3">
        <w:rPr>
          <w:rFonts w:eastAsia="Calibri" w:cs="Tahoma"/>
          <w:szCs w:val="18"/>
          <w:lang w:val="de-DE"/>
        </w:rPr>
        <w:t>April 2015 erworben wurden, sind Kunden berechtigt, Software Assurance für vier SQL Server Standard-Core-Lizenzen zu verlängern, ohne die zugrunde liegenden</w:t>
      </w:r>
      <w:r>
        <w:rPr>
          <w:rFonts w:eastAsia="Calibri" w:cs="Tahoma"/>
          <w:szCs w:val="18"/>
          <w:lang w:val="de-DE"/>
        </w:rPr>
        <w:t> </w:t>
      </w:r>
      <w:r w:rsidR="00E73313" w:rsidRPr="003002D3">
        <w:rPr>
          <w:rFonts w:eastAsia="Calibri" w:cs="Tahoma"/>
          <w:szCs w:val="18"/>
          <w:lang w:val="de-DE"/>
        </w:rPr>
        <w:t>Core-Lizenzen für jede SQL Server 2008 R2 Standard-Prozessorlizenz zu erwerben</w:t>
      </w:r>
      <w:r w:rsidR="006257A7">
        <w:rPr>
          <w:rFonts w:eastAsia="Calibri" w:cs="Tahoma"/>
          <w:szCs w:val="18"/>
          <w:lang w:val="de-DE"/>
        </w:rPr>
        <w:t xml:space="preserve">. </w:t>
      </w:r>
      <w:r w:rsidR="00E73313" w:rsidRPr="003002D3">
        <w:rPr>
          <w:rFonts w:eastAsia="Calibri" w:cs="Tahoma"/>
          <w:szCs w:val="18"/>
          <w:lang w:val="de-DE"/>
        </w:rPr>
        <w:t>Für</w:t>
      </w:r>
      <w:r>
        <w:rPr>
          <w:rFonts w:eastAsia="Calibri" w:cs="Tahoma"/>
          <w:szCs w:val="18"/>
          <w:lang w:val="de-DE"/>
        </w:rPr>
        <w:t> </w:t>
      </w:r>
      <w:r w:rsidR="00E73313" w:rsidRPr="003002D3">
        <w:rPr>
          <w:rFonts w:eastAsia="Calibri" w:cs="Tahoma"/>
          <w:szCs w:val="18"/>
          <w:lang w:val="de-DE"/>
        </w:rPr>
        <w:t>die kontinuierliche Verwendung von SQL Server 2012 auf Prozessoren, die mehr als vier Core-Lizenzen pro Prozessor erfordern, muss der Kunde die zusätzlichen Core-Lizenzen erwerben</w:t>
      </w:r>
      <w:r w:rsidR="006257A7">
        <w:rPr>
          <w:rFonts w:eastAsia="Calibri" w:cs="Tahoma"/>
          <w:szCs w:val="18"/>
          <w:lang w:val="de-DE"/>
        </w:rPr>
        <w:t xml:space="preserve">. </w:t>
      </w:r>
    </w:p>
    <w:p w:rsidR="00E73313" w:rsidRPr="003002D3" w:rsidRDefault="00E73313" w:rsidP="00B56A92">
      <w:pPr>
        <w:numPr>
          <w:ilvl w:val="0"/>
          <w:numId w:val="50"/>
        </w:numPr>
        <w:spacing w:after="40"/>
        <w:ind w:left="1440"/>
        <w:rPr>
          <w:lang w:val="de-DE"/>
        </w:rPr>
      </w:pPr>
      <w:r w:rsidRPr="003002D3">
        <w:rPr>
          <w:rFonts w:eastAsia="Calibri" w:cs="Tahoma"/>
          <w:szCs w:val="18"/>
          <w:lang w:val="de-DE"/>
        </w:rPr>
        <w:t>Die Prozessorlizenzen des Kunden sind bei Erwerb von Software Assurance für Core-Lizenzen unter</w:t>
      </w:r>
      <w:r w:rsidR="001B3A05">
        <w:rPr>
          <w:rFonts w:eastAsia="Calibri" w:cs="Tahoma"/>
          <w:szCs w:val="18"/>
          <w:lang w:val="de-DE"/>
        </w:rPr>
        <w:t> </w:t>
      </w:r>
      <w:r w:rsidRPr="003002D3">
        <w:rPr>
          <w:rFonts w:eastAsia="Calibri" w:cs="Tahoma"/>
          <w:szCs w:val="18"/>
          <w:lang w:val="de-DE"/>
        </w:rPr>
        <w:t>diesem Angebot nicht mehr gültig</w:t>
      </w:r>
      <w:r w:rsidR="006257A7">
        <w:rPr>
          <w:rFonts w:eastAsia="Calibri" w:cs="Tahoma"/>
          <w:szCs w:val="18"/>
          <w:lang w:val="de-DE"/>
        </w:rPr>
        <w:t xml:space="preserve">. </w:t>
      </w:r>
      <w:r w:rsidRPr="003002D3">
        <w:rPr>
          <w:rFonts w:eastAsia="Calibri" w:cs="Tahoma"/>
          <w:szCs w:val="18"/>
          <w:lang w:val="de-DE"/>
        </w:rPr>
        <w:t>Die Option zum Erwerb von Core-Lizenzen für Software</w:t>
      </w:r>
      <w:r w:rsidR="001B3A05">
        <w:rPr>
          <w:rFonts w:eastAsia="Calibri" w:cs="Tahoma"/>
          <w:szCs w:val="18"/>
          <w:lang w:val="de-DE"/>
        </w:rPr>
        <w:t> </w:t>
      </w:r>
      <w:r w:rsidRPr="003002D3">
        <w:rPr>
          <w:rFonts w:eastAsia="Calibri" w:cs="Tahoma"/>
          <w:szCs w:val="18"/>
          <w:lang w:val="de-DE"/>
        </w:rPr>
        <w:t>Assurance für SQL Server ist nicht auf die Software Assurance-Verlängerung unter Abonnementprogrammen anwendbar</w:t>
      </w:r>
      <w:r w:rsidR="006257A7">
        <w:rPr>
          <w:rFonts w:eastAsia="Calibri" w:cs="Tahoma"/>
          <w:szCs w:val="18"/>
          <w:lang w:val="de-DE"/>
        </w:rPr>
        <w:t xml:space="preserve">. </w:t>
      </w:r>
    </w:p>
    <w:p w:rsidR="00E73313" w:rsidRPr="00B56A92" w:rsidRDefault="00E73313" w:rsidP="00B56A92">
      <w:pPr>
        <w:tabs>
          <w:tab w:val="left" w:pos="1080"/>
        </w:tabs>
        <w:spacing w:line="192" w:lineRule="auto"/>
        <w:ind w:left="1080"/>
        <w:rPr>
          <w:sz w:val="16"/>
          <w:szCs w:val="16"/>
          <w:lang w:val="de-DE"/>
        </w:rPr>
      </w:pPr>
    </w:p>
    <w:p w:rsidR="00E73313" w:rsidRPr="003002D3" w:rsidRDefault="00E73313" w:rsidP="00E73313">
      <w:pPr>
        <w:spacing w:after="60"/>
        <w:ind w:left="720"/>
        <w:rPr>
          <w:lang w:val="de-DE"/>
        </w:rPr>
      </w:pPr>
      <w:r w:rsidRPr="003002D3">
        <w:rPr>
          <w:rFonts w:eastAsia="Calibri" w:cs="Tahoma"/>
          <w:b/>
          <w:szCs w:val="18"/>
          <w:lang w:val="de-DE"/>
        </w:rPr>
        <w:t>Für Kunden, die ein Step Up von SQL Server Standard zu SQL Server Enterprise Core durchführen möchten</w:t>
      </w:r>
    </w:p>
    <w:p w:rsidR="00E73313" w:rsidRPr="003002D3" w:rsidRDefault="00E73313" w:rsidP="001B3A05">
      <w:pPr>
        <w:ind w:left="720"/>
        <w:rPr>
          <w:lang w:val="de-DE"/>
        </w:rPr>
      </w:pPr>
      <w:r w:rsidRPr="003002D3">
        <w:rPr>
          <w:rFonts w:eastAsia="Calibri" w:cs="Tahoma"/>
          <w:szCs w:val="18"/>
          <w:lang w:val="de-DE"/>
        </w:rPr>
        <w:t>Kunden mit qualifizierenden Lizenzen für SQL Server 2008 R2 Standard sind berechtigt, jederzeit während ihrer aktuellen Laufzeit von Software Assurance ein Step Up dieser Lizenzen auf SQL Server Enterprise (Pro</w:t>
      </w:r>
      <w:r w:rsidR="001B3A05">
        <w:rPr>
          <w:rFonts w:eastAsia="Calibri" w:cs="Tahoma"/>
          <w:szCs w:val="18"/>
          <w:lang w:val="de-DE"/>
        </w:rPr>
        <w:t> </w:t>
      </w:r>
      <w:r w:rsidRPr="003002D3">
        <w:rPr>
          <w:rFonts w:eastAsia="Calibri" w:cs="Tahoma"/>
          <w:szCs w:val="18"/>
          <w:lang w:val="de-DE"/>
        </w:rPr>
        <w:t>Core) durchzuführen</w:t>
      </w:r>
      <w:r w:rsidR="006257A7">
        <w:rPr>
          <w:rFonts w:eastAsia="Calibri" w:cs="Tahoma"/>
          <w:szCs w:val="18"/>
          <w:lang w:val="de-DE"/>
        </w:rPr>
        <w:t xml:space="preserve">. </w:t>
      </w:r>
      <w:r w:rsidRPr="003002D3">
        <w:rPr>
          <w:rFonts w:eastAsia="Calibri" w:cs="Tahoma"/>
          <w:szCs w:val="18"/>
          <w:lang w:val="de-DE"/>
        </w:rPr>
        <w:t>Für jeden Server, den ein Kunde unter den Produktbenutzungsrechten für SQL</w:t>
      </w:r>
      <w:r w:rsidR="001B3A05">
        <w:rPr>
          <w:rFonts w:eastAsia="Calibri" w:cs="Tahoma"/>
          <w:szCs w:val="18"/>
          <w:lang w:val="de-DE"/>
        </w:rPr>
        <w:t> </w:t>
      </w:r>
      <w:r w:rsidRPr="003002D3">
        <w:rPr>
          <w:rFonts w:eastAsia="Calibri" w:cs="Tahoma"/>
          <w:szCs w:val="18"/>
          <w:lang w:val="de-DE"/>
        </w:rPr>
        <w:t xml:space="preserve">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 </w:t>
      </w:r>
    </w:p>
    <w:p w:rsidR="00E73313" w:rsidRPr="00B56A92" w:rsidRDefault="00E73313" w:rsidP="00B56A92">
      <w:pPr>
        <w:tabs>
          <w:tab w:val="left" w:pos="1080"/>
        </w:tabs>
        <w:spacing w:line="192" w:lineRule="auto"/>
        <w:ind w:left="1080"/>
        <w:rPr>
          <w:sz w:val="16"/>
          <w:szCs w:val="16"/>
          <w:lang w:val="de-DE"/>
        </w:rPr>
      </w:pPr>
    </w:p>
    <w:p w:rsidR="00E73313" w:rsidRPr="0062435A" w:rsidRDefault="00E73313" w:rsidP="00B56A92">
      <w:pPr>
        <w:numPr>
          <w:ilvl w:val="3"/>
          <w:numId w:val="96"/>
        </w:numPr>
        <w:tabs>
          <w:tab w:val="left" w:pos="1440"/>
        </w:tabs>
        <w:spacing w:after="40"/>
        <w:ind w:left="1440"/>
      </w:pPr>
      <w:r>
        <w:rPr>
          <w:rFonts w:eastAsia="Calibri" w:cs="Tahoma"/>
          <w:szCs w:val="18"/>
        </w:rPr>
        <w:t>vier ODER</w:t>
      </w:r>
    </w:p>
    <w:p w:rsidR="00E73313" w:rsidRPr="003002D3" w:rsidRDefault="00E73313" w:rsidP="00B56A92">
      <w:pPr>
        <w:numPr>
          <w:ilvl w:val="3"/>
          <w:numId w:val="96"/>
        </w:numPr>
        <w:tabs>
          <w:tab w:val="left" w:pos="1440"/>
        </w:tabs>
        <w:spacing w:after="40"/>
        <w:ind w:left="1440"/>
        <w:rPr>
          <w:lang w:val="de-DE"/>
        </w:rPr>
      </w:pPr>
      <w:r w:rsidRPr="003002D3">
        <w:rPr>
          <w:rFonts w:eastAsia="Calibri" w:cs="Tahoma"/>
          <w:szCs w:val="18"/>
          <w:lang w:val="de-DE"/>
        </w:rPr>
        <w:t>der tatsächlichen Anzahl von Cores pro physischem Prozessor multipliziert mit dem entsprechenden Core-Faktor</w:t>
      </w:r>
      <w:r w:rsidR="006257A7">
        <w:rPr>
          <w:rFonts w:eastAsia="Calibri" w:cs="Tahoma"/>
          <w:szCs w:val="18"/>
          <w:lang w:val="de-DE"/>
        </w:rPr>
        <w:t xml:space="preserve">. </w:t>
      </w:r>
      <w:r w:rsidRPr="003002D3">
        <w:rPr>
          <w:rFonts w:eastAsia="Calibri" w:cs="Tahoma"/>
          <w:szCs w:val="18"/>
          <w:lang w:val="de-DE"/>
        </w:rPr>
        <w:t>(Wenn die tatsächliche Anzahl von Cores pro physischem Prozessor mehr als vier beträgt, muss der Kunde unmittelbar vor dem Erwerb der Step Up-Lizenzen entweder mit dem Microsoft MAP-Tool oder einer gleichwertigen Software Unterlagen zur Konfiguration der SQL</w:t>
      </w:r>
      <w:r w:rsidR="001B3A05">
        <w:rPr>
          <w:rFonts w:eastAsia="Calibri" w:cs="Tahoma"/>
          <w:szCs w:val="18"/>
          <w:lang w:val="de-DE"/>
        </w:rPr>
        <w:t> </w:t>
      </w:r>
      <w:r w:rsidRPr="003002D3">
        <w:rPr>
          <w:rFonts w:eastAsia="Calibri" w:cs="Tahoma"/>
          <w:szCs w:val="18"/>
          <w:lang w:val="de-DE"/>
        </w:rPr>
        <w:t>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szCs w:val="18"/>
          <w:lang w:val="de-DE"/>
        </w:rPr>
        <w:t xml:space="preserve">. </w:t>
      </w:r>
      <w:r w:rsidRPr="003002D3">
        <w:rPr>
          <w:rFonts w:eastAsia="Calibri" w:cs="Tahoma"/>
          <w:szCs w:val="18"/>
          <w:lang w:val="de-DE"/>
        </w:rPr>
        <w:t xml:space="preserve">) </w:t>
      </w:r>
    </w:p>
    <w:p w:rsidR="00E73313" w:rsidRPr="003002D3" w:rsidRDefault="00E73313" w:rsidP="00E73313">
      <w:pPr>
        <w:ind w:left="720"/>
        <w:rPr>
          <w:lang w:val="de-DE"/>
        </w:rPr>
      </w:pPr>
      <w:r w:rsidRPr="003002D3">
        <w:rPr>
          <w:rFonts w:eastAsia="Calibri" w:cs="Tahoma"/>
          <w:szCs w:val="18"/>
          <w:lang w:val="de-DE"/>
        </w:rPr>
        <w:t>Bei Erwerb der entsprechenden Anzahl von Step Up-Lizenzen für SQL Server Enterprise Core ist der Kunde berechtigt, die Software unter den Nutzungsrechten für SQL Server Enterprise Core bereitzustellen und zu verwenden</w:t>
      </w:r>
      <w:r w:rsidR="006257A7">
        <w:rPr>
          <w:rFonts w:eastAsia="Calibri" w:cs="Tahoma"/>
          <w:szCs w:val="18"/>
          <w:lang w:val="de-DE"/>
        </w:rPr>
        <w:t xml:space="preserve">. </w:t>
      </w:r>
      <w:r w:rsidRPr="003002D3">
        <w:rPr>
          <w:rFonts w:eastAsia="Calibri" w:cs="Tahoma"/>
          <w:szCs w:val="18"/>
          <w:lang w:val="de-DE"/>
        </w:rPr>
        <w:t>Sofern in diesem Abschnitt „Für Kunden, die ein Step Up von SQL Server Standard zu SQL Server Enterprise Core durchführen möchten“ nicht anders bestimmt</w:t>
      </w:r>
      <w:r w:rsidRPr="003002D3">
        <w:rPr>
          <w:rFonts w:eastAsia="Calibri" w:cs="Tahoma"/>
          <w:b/>
          <w:szCs w:val="18"/>
          <w:lang w:val="de-DE"/>
        </w:rPr>
        <w:t xml:space="preserve">, </w:t>
      </w:r>
      <w:r w:rsidRPr="003002D3">
        <w:rPr>
          <w:rFonts w:eastAsia="Calibri" w:cs="Tahoma"/>
          <w:szCs w:val="18"/>
          <w:lang w:val="de-DE"/>
        </w:rPr>
        <w:t>gelten hinsichtlich des Erwerbs von Step Up Lizenzen die im Abschnitt „Software Assurance“ dieser Produktliste dargelegten Bestimmungen</w:t>
      </w:r>
      <w:r w:rsidR="006257A7">
        <w:rPr>
          <w:rFonts w:eastAsia="Calibri" w:cs="Tahoma"/>
          <w:szCs w:val="18"/>
          <w:lang w:val="de-DE"/>
        </w:rPr>
        <w:t xml:space="preserve">. </w:t>
      </w:r>
    </w:p>
    <w:p w:rsidR="00E73313" w:rsidRPr="003002D3" w:rsidRDefault="00E73313" w:rsidP="00E73313">
      <w:pPr>
        <w:tabs>
          <w:tab w:val="left" w:pos="1080"/>
        </w:tabs>
        <w:ind w:left="1080"/>
        <w:rPr>
          <w:lang w:val="de-DE"/>
        </w:rPr>
      </w:pPr>
    </w:p>
    <w:p w:rsidR="00E73313" w:rsidRPr="003002D3" w:rsidRDefault="00E73313" w:rsidP="00E73313">
      <w:pPr>
        <w:spacing w:after="60"/>
        <w:ind w:left="720"/>
        <w:rPr>
          <w:lang w:val="de-DE"/>
        </w:rPr>
      </w:pPr>
      <w:r w:rsidRPr="003002D3">
        <w:rPr>
          <w:rFonts w:eastAsia="Calibri" w:cs="Tahoma"/>
          <w:b/>
          <w:szCs w:val="18"/>
          <w:lang w:val="de-DE"/>
        </w:rPr>
        <w:t>Für Kunden mit Software Assurance, die vor dem 1</w:t>
      </w:r>
      <w:r w:rsidR="006257A7">
        <w:rPr>
          <w:rFonts w:eastAsia="Calibri" w:cs="Tahoma"/>
          <w:b/>
          <w:szCs w:val="18"/>
          <w:lang w:val="de-DE"/>
        </w:rPr>
        <w:t xml:space="preserve">. </w:t>
      </w:r>
      <w:r w:rsidRPr="003002D3">
        <w:rPr>
          <w:rFonts w:eastAsia="Calibri" w:cs="Tahoma"/>
          <w:b/>
          <w:szCs w:val="18"/>
          <w:lang w:val="de-DE"/>
        </w:rPr>
        <w:t>April 2015 abläuft, die sich gegen eine Verlängerung entscheiden</w:t>
      </w:r>
    </w:p>
    <w:p w:rsidR="00E73313" w:rsidRPr="003002D3" w:rsidRDefault="00E73313" w:rsidP="00E73313">
      <w:pPr>
        <w:ind w:left="720"/>
        <w:rPr>
          <w:lang w:val="de-DE"/>
        </w:rPr>
      </w:pPr>
      <w:r w:rsidRPr="003002D3">
        <w:rPr>
          <w:rFonts w:eastAsia="Calibri" w:cs="Tahoma"/>
          <w:szCs w:val="18"/>
          <w:lang w:val="de-DE"/>
        </w:rPr>
        <w:t>Konzern-Abonnement- und Open Value Subscription-Kunden mit Software Assurance, die vor dem 1</w:t>
      </w:r>
      <w:r w:rsidR="006257A7">
        <w:rPr>
          <w:rFonts w:eastAsia="Calibri" w:cs="Tahoma"/>
          <w:szCs w:val="18"/>
          <w:lang w:val="de-DE"/>
        </w:rPr>
        <w:t xml:space="preserve">. </w:t>
      </w:r>
      <w:r w:rsidRPr="003002D3">
        <w:rPr>
          <w:rFonts w:eastAsia="Calibri" w:cs="Tahoma"/>
          <w:szCs w:val="18"/>
          <w:lang w:val="de-DE"/>
        </w:rPr>
        <w:t>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E73313" w:rsidRPr="003002D3" w:rsidRDefault="00E73313" w:rsidP="00E73313">
      <w:pPr>
        <w:ind w:left="720"/>
        <w:rPr>
          <w:lang w:val="de-DE"/>
        </w:rPr>
      </w:pPr>
    </w:p>
    <w:p w:rsidR="00E73313" w:rsidRPr="003002D3" w:rsidRDefault="00E73313" w:rsidP="00E73313">
      <w:pPr>
        <w:numPr>
          <w:ilvl w:val="0"/>
          <w:numId w:val="97"/>
        </w:numPr>
        <w:tabs>
          <w:tab w:val="left" w:pos="1440"/>
        </w:tabs>
        <w:spacing w:after="60"/>
        <w:ind w:left="1440"/>
        <w:rPr>
          <w:lang w:val="de-DE"/>
        </w:rPr>
      </w:pPr>
      <w:r w:rsidRPr="003002D3">
        <w:rPr>
          <w:rFonts w:eastAsia="Calibri" w:cs="Tahoma"/>
          <w:b/>
          <w:szCs w:val="18"/>
          <w:lang w:val="de-DE"/>
        </w:rPr>
        <w:t>SQL Server 2008 R2 Standard:</w:t>
      </w:r>
      <w:r w:rsidRPr="003002D3">
        <w:rPr>
          <w:rFonts w:eastAsia="Calibri" w:cs="Tahoma"/>
          <w:szCs w:val="18"/>
          <w:lang w:val="de-DE"/>
        </w:rPr>
        <w:t xml:space="preserve"> Die kontinuierliche Verwendung dieser Version der Software unterliegt den Produktbenutzungsrechten für SQL Server 2008 R2 Standard-Prozessorlizenzen</w:t>
      </w:r>
      <w:r w:rsidR="006257A7">
        <w:rPr>
          <w:rFonts w:eastAsia="Calibri" w:cs="Tahoma"/>
          <w:szCs w:val="18"/>
          <w:lang w:val="de-DE"/>
        </w:rPr>
        <w:t xml:space="preserve">. </w:t>
      </w:r>
      <w:r w:rsidRPr="003002D3">
        <w:rPr>
          <w:rFonts w:eastAsia="Calibri" w:cs="Tahoma"/>
          <w:szCs w:val="18"/>
          <w:lang w:val="de-DE"/>
        </w:rPr>
        <w:t>Kunden verfügen nicht mehr über Rechte unter Lizenzmobilität innerhalb von Serverfarmen oder Lizenzmobilität durch Software Assurance</w:t>
      </w:r>
      <w:r w:rsidR="006257A7">
        <w:rPr>
          <w:rFonts w:eastAsia="Calibri" w:cs="Tahoma"/>
          <w:szCs w:val="18"/>
          <w:lang w:val="de-DE"/>
        </w:rPr>
        <w:t xml:space="preserve">. </w:t>
      </w:r>
    </w:p>
    <w:p w:rsidR="00E73313" w:rsidRPr="003002D3" w:rsidRDefault="00E73313" w:rsidP="00B56A92">
      <w:pPr>
        <w:numPr>
          <w:ilvl w:val="0"/>
          <w:numId w:val="97"/>
        </w:numPr>
        <w:tabs>
          <w:tab w:val="left" w:pos="1440"/>
        </w:tabs>
        <w:spacing w:after="60"/>
        <w:ind w:left="1440"/>
        <w:rPr>
          <w:lang w:val="de-DE"/>
        </w:rPr>
      </w:pPr>
      <w:r w:rsidRPr="003002D3">
        <w:rPr>
          <w:rFonts w:eastAsia="Calibri" w:cs="Tahoma"/>
          <w:b/>
          <w:szCs w:val="18"/>
          <w:lang w:val="de-DE"/>
        </w:rPr>
        <w:t xml:space="preserve">SQL Server 2012 Standard Core: </w:t>
      </w:r>
      <w:r w:rsidRPr="003002D3">
        <w:rPr>
          <w:rFonts w:eastAsia="Calibri" w:cs="Tahoma"/>
          <w:szCs w:val="18"/>
          <w:lang w:val="de-DE"/>
        </w:rPr>
        <w:t>Die Verwendung dieser Version der Software unterliegt den</w:t>
      </w:r>
      <w:r w:rsidR="00B56A92">
        <w:rPr>
          <w:rFonts w:eastAsia="Calibri" w:cs="Tahoma"/>
          <w:szCs w:val="18"/>
          <w:lang w:val="de-DE"/>
        </w:rPr>
        <w:t> </w:t>
      </w:r>
      <w:r w:rsidRPr="003002D3">
        <w:rPr>
          <w:rFonts w:eastAsia="Calibri" w:cs="Tahoma"/>
          <w:szCs w:val="18"/>
          <w:lang w:val="de-DE"/>
        </w:rPr>
        <w:t xml:space="preserve">Produktbenutzungsrechten für SQL Server 2008 R2 Standard-Prozessorlizenzen, jedoch mit folgenden Einschränkungen: </w:t>
      </w:r>
    </w:p>
    <w:p w:rsidR="00E73313" w:rsidRPr="003002D3" w:rsidRDefault="00E73313" w:rsidP="00E73313">
      <w:pPr>
        <w:numPr>
          <w:ilvl w:val="1"/>
          <w:numId w:val="98"/>
        </w:numPr>
        <w:tabs>
          <w:tab w:val="left" w:pos="1800"/>
        </w:tabs>
        <w:spacing w:after="60"/>
        <w:ind w:left="1800"/>
        <w:rPr>
          <w:lang w:val="de-DE"/>
        </w:rPr>
      </w:pPr>
      <w:r w:rsidRPr="003002D3">
        <w:rPr>
          <w:rFonts w:eastAsia="Calibri" w:cs="Tahoma"/>
          <w:szCs w:val="18"/>
          <w:lang w:val="de-DE"/>
        </w:rPr>
        <w:t xml:space="preserve">Kunden verfügen nicht mehr über Rechte unter Lizenzmobilität innerhalb von Serverfarmen oder Lizenzmobilität durch Software Assurance, und </w:t>
      </w:r>
    </w:p>
    <w:p w:rsidR="00E73313" w:rsidRPr="0062435A" w:rsidRDefault="00E73313" w:rsidP="00E73313">
      <w:pPr>
        <w:numPr>
          <w:ilvl w:val="1"/>
          <w:numId w:val="98"/>
        </w:numPr>
        <w:tabs>
          <w:tab w:val="left" w:pos="1800"/>
        </w:tabs>
        <w:spacing w:after="60"/>
        <w:ind w:left="1800"/>
      </w:pPr>
      <w:r w:rsidRPr="003002D3">
        <w:rPr>
          <w:rFonts w:eastAsia="Calibri" w:cs="Tahoma"/>
          <w:szCs w:val="18"/>
          <w:lang w:val="de-DE"/>
        </w:rPr>
        <w:t>Neuzuweisungen von Lizenzen unterliegen den Beschränkungen unten unter (i) und (ii) in Bezug auf ihre „Core-Lizenzäquivalenz“</w:t>
      </w:r>
      <w:r w:rsidR="006257A7">
        <w:rPr>
          <w:rFonts w:eastAsia="Calibri" w:cs="Tahoma"/>
          <w:szCs w:val="18"/>
          <w:lang w:val="de-DE"/>
        </w:rPr>
        <w:t xml:space="preserve">. </w:t>
      </w:r>
      <w:r>
        <w:rPr>
          <w:rFonts w:eastAsia="Calibri" w:cs="Tahoma"/>
          <w:szCs w:val="18"/>
        </w:rPr>
        <w:t>Die Core-Lizenzäquivalenz wird wie folgt bestimmt</w:t>
      </w:r>
      <w:r w:rsidR="006257A7">
        <w:rPr>
          <w:rFonts w:eastAsia="Calibri" w:cs="Tahoma"/>
          <w:szCs w:val="18"/>
        </w:rPr>
        <w:t xml:space="preserve">. </w:t>
      </w:r>
    </w:p>
    <w:p w:rsidR="00E73313" w:rsidRPr="003002D3" w:rsidRDefault="00E73313" w:rsidP="00E73313">
      <w:pPr>
        <w:numPr>
          <w:ilvl w:val="2"/>
          <w:numId w:val="97"/>
        </w:numPr>
        <w:tabs>
          <w:tab w:val="left" w:pos="2160"/>
        </w:tabs>
        <w:spacing w:after="60"/>
        <w:ind w:hanging="360"/>
        <w:rPr>
          <w:lang w:val="de-DE"/>
        </w:rPr>
      </w:pPr>
      <w:r w:rsidRPr="003002D3">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E73313" w:rsidRPr="0062435A" w:rsidRDefault="00E73313" w:rsidP="00E73313">
      <w:pPr>
        <w:numPr>
          <w:ilvl w:val="4"/>
          <w:numId w:val="50"/>
        </w:numPr>
        <w:tabs>
          <w:tab w:val="left" w:pos="2520"/>
        </w:tabs>
        <w:spacing w:after="60"/>
        <w:ind w:left="2880"/>
      </w:pPr>
      <w:r>
        <w:rPr>
          <w:rFonts w:eastAsia="Calibri" w:cs="Tahoma"/>
          <w:szCs w:val="18"/>
        </w:rPr>
        <w:t xml:space="preserve">vier Cores pro Prozessorlizenz ODER </w:t>
      </w:r>
    </w:p>
    <w:p w:rsidR="00E73313" w:rsidRPr="003002D3" w:rsidRDefault="00E73313" w:rsidP="00E73313">
      <w:pPr>
        <w:numPr>
          <w:ilvl w:val="4"/>
          <w:numId w:val="50"/>
        </w:numPr>
        <w:tabs>
          <w:tab w:val="left" w:pos="2520"/>
        </w:tabs>
        <w:spacing w:after="60"/>
        <w:ind w:left="2880"/>
        <w:rPr>
          <w:lang w:val="de-DE"/>
        </w:rPr>
      </w:pPr>
      <w:r w:rsidRPr="003002D3">
        <w:rPr>
          <w:rFonts w:eastAsia="Calibri" w:cs="Tahoma"/>
          <w:szCs w:val="18"/>
          <w:lang w:val="de-DE"/>
        </w:rPr>
        <w:t>einer Anzahl von Cores pro Prozessorlizenz basierend auf der tatsächlichen Anzahl von Cores pro physischem Prozessor multipliziert mit dem entsprechenden Core-Faktor</w:t>
      </w:r>
      <w:r w:rsidR="006257A7">
        <w:rPr>
          <w:rFonts w:eastAsia="Calibri" w:cs="Tahoma"/>
          <w:szCs w:val="18"/>
          <w:lang w:val="de-DE"/>
        </w:rPr>
        <w:t xml:space="preserve">. </w:t>
      </w:r>
      <w:r w:rsidRPr="003002D3">
        <w:rPr>
          <w:rFonts w:eastAsia="Calibri" w:cs="Tahoma"/>
          <w:szCs w:val="18"/>
          <w:lang w:val="de-DE"/>
        </w:rPr>
        <w:t>(Wenn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006257A7">
        <w:rPr>
          <w:rFonts w:eastAsia="Calibri" w:cs="Tahoma"/>
          <w:szCs w:val="18"/>
          <w:lang w:val="de-DE"/>
        </w:rPr>
        <w:t xml:space="preserve">. </w:t>
      </w:r>
      <w:r w:rsidRPr="003002D3">
        <w:rPr>
          <w:rFonts w:eastAsia="Calibri" w:cs="Tahoma"/>
          <w:szCs w:val="18"/>
          <w:lang w:val="de-DE"/>
        </w:rPr>
        <w:t>)</w:t>
      </w:r>
    </w:p>
    <w:p w:rsidR="00E73313" w:rsidRPr="003002D3" w:rsidRDefault="00E73313" w:rsidP="00E73313">
      <w:pPr>
        <w:numPr>
          <w:ilvl w:val="2"/>
          <w:numId w:val="97"/>
        </w:numPr>
        <w:tabs>
          <w:tab w:val="left" w:pos="2160"/>
        </w:tabs>
        <w:spacing w:after="60"/>
        <w:ind w:hanging="360"/>
        <w:rPr>
          <w:lang w:val="de-DE"/>
        </w:rPr>
      </w:pPr>
      <w:r w:rsidRPr="003002D3">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r w:rsidR="006257A7">
        <w:rPr>
          <w:rFonts w:eastAsia="Calibri" w:cs="Tahoma"/>
          <w:szCs w:val="18"/>
          <w:lang w:val="de-DE"/>
        </w:rPr>
        <w:t xml:space="preserve">. </w:t>
      </w:r>
    </w:p>
    <w:p w:rsidR="00E73313" w:rsidRPr="003002D3" w:rsidRDefault="00E73313" w:rsidP="00E73313">
      <w:pPr>
        <w:numPr>
          <w:ilvl w:val="0"/>
          <w:numId w:val="53"/>
        </w:numPr>
        <w:tabs>
          <w:tab w:val="left" w:pos="1440"/>
        </w:tabs>
        <w:spacing w:after="60"/>
        <w:ind w:left="1440"/>
        <w:rPr>
          <w:lang w:val="de-DE"/>
        </w:rPr>
      </w:pPr>
      <w:r w:rsidRPr="003002D3">
        <w:rPr>
          <w:rFonts w:eastAsia="Calibri" w:cs="Tahoma"/>
          <w:szCs w:val="18"/>
          <w:lang w:val="de-DE"/>
        </w:rPr>
        <w:t>Kunden sind berechtigt, Lizenzen einem anderen Server neu zuzuweisen</w:t>
      </w:r>
      <w:r w:rsidR="006257A7">
        <w:rPr>
          <w:rFonts w:eastAsia="Calibri" w:cs="Tahoma"/>
          <w:szCs w:val="18"/>
          <w:lang w:val="de-DE"/>
        </w:rPr>
        <w:t xml:space="preserve">. </w:t>
      </w:r>
      <w:r w:rsidRPr="003002D3">
        <w:rPr>
          <w:rFonts w:eastAsia="Calibri" w:cs="Tahoma"/>
          <w:szCs w:val="18"/>
          <w:lang w:val="de-DE"/>
        </w:rPr>
        <w:t>Wenn der Kunde jedoch eine Lizenz einem anderen Server neu zuweist, muss der Kunde die Nutzungsrechte für SQL Server 2012 befolgen</w:t>
      </w:r>
      <w:r w:rsidR="006257A7">
        <w:rPr>
          <w:rFonts w:eastAsia="Calibri" w:cs="Tahoma"/>
          <w:szCs w:val="18"/>
          <w:lang w:val="de-DE"/>
        </w:rPr>
        <w:t xml:space="preserve">. </w:t>
      </w:r>
      <w:r w:rsidRPr="003002D3">
        <w:rPr>
          <w:rFonts w:eastAsia="Calibri" w:cs="Tahoma"/>
          <w:szCs w:val="18"/>
          <w:lang w:val="de-DE"/>
        </w:rPr>
        <w:t>Beim Zuweisen von Core-Lizenzen zu Servern unter den Nutzungsrechten für SQL 2012 ist der Kunde berechtigt, die Core-Äquivalenz seiner vorhandenen Lizenzen mit zusätzlichen Core-Lizenzen für SQL Server 2012 zu kombinieren</w:t>
      </w:r>
      <w:r w:rsidR="006257A7">
        <w:rPr>
          <w:rFonts w:eastAsia="Calibri" w:cs="Tahoma"/>
          <w:szCs w:val="18"/>
          <w:lang w:val="de-DE"/>
        </w:rPr>
        <w:t xml:space="preserve">. </w:t>
      </w:r>
    </w:p>
    <w:p w:rsidR="00E73313" w:rsidRPr="003002D3" w:rsidRDefault="00E73313" w:rsidP="00E73313">
      <w:pPr>
        <w:numPr>
          <w:ilvl w:val="0"/>
          <w:numId w:val="53"/>
        </w:numPr>
        <w:tabs>
          <w:tab w:val="left" w:pos="1440"/>
        </w:tabs>
        <w:spacing w:after="60"/>
        <w:ind w:left="1440"/>
        <w:rPr>
          <w:lang w:val="de-DE"/>
        </w:rPr>
      </w:pPr>
      <w:r w:rsidRPr="003002D3">
        <w:rPr>
          <w:rFonts w:eastAsia="Calibri" w:cs="Tahoma"/>
          <w:szCs w:val="18"/>
          <w:lang w:val="de-DE"/>
        </w:rPr>
        <w:t>Die angenommene Core-Lizenzäquivalenz der Kunden impliziert nicht, dass sie berechtigt sind, eine einzelne Prozessorlizenz Cores auf zwei oder mehr Prozessoren zuzuweisen</w:t>
      </w:r>
      <w:r w:rsidR="006257A7">
        <w:rPr>
          <w:rFonts w:eastAsia="Calibri" w:cs="Tahoma"/>
          <w:szCs w:val="18"/>
          <w:lang w:val="de-DE"/>
        </w:rPr>
        <w:t xml:space="preserve">. </w:t>
      </w:r>
    </w:p>
    <w:p w:rsidR="00E73313" w:rsidRDefault="00E73313" w:rsidP="00E73313">
      <w:pPr>
        <w:tabs>
          <w:tab w:val="left" w:pos="1440"/>
        </w:tabs>
        <w:ind w:left="1080"/>
        <w:rPr>
          <w:lang w:val="de-DE"/>
        </w:rPr>
      </w:pPr>
    </w:p>
    <w:p w:rsidR="00B56A92" w:rsidRDefault="00B56A92" w:rsidP="00E73313">
      <w:pPr>
        <w:tabs>
          <w:tab w:val="left" w:pos="1440"/>
        </w:tabs>
        <w:ind w:left="1080"/>
        <w:rPr>
          <w:lang w:val="de-DE"/>
        </w:rPr>
      </w:pPr>
    </w:p>
    <w:p w:rsidR="00B56A92" w:rsidRDefault="00B56A92" w:rsidP="00E73313">
      <w:pPr>
        <w:tabs>
          <w:tab w:val="left" w:pos="1440"/>
        </w:tabs>
        <w:ind w:left="1080"/>
        <w:rPr>
          <w:lang w:val="de-DE"/>
        </w:rPr>
      </w:pPr>
    </w:p>
    <w:p w:rsidR="00B56A92" w:rsidRDefault="00B56A92" w:rsidP="00E73313">
      <w:pPr>
        <w:tabs>
          <w:tab w:val="left" w:pos="1440"/>
        </w:tabs>
        <w:ind w:left="1080"/>
        <w:rPr>
          <w:lang w:val="de-DE"/>
        </w:rPr>
      </w:pPr>
    </w:p>
    <w:p w:rsidR="00B56A92" w:rsidRDefault="00B56A92" w:rsidP="00E73313">
      <w:pPr>
        <w:tabs>
          <w:tab w:val="left" w:pos="1440"/>
        </w:tabs>
        <w:ind w:left="1080"/>
        <w:rPr>
          <w:lang w:val="de-DE"/>
        </w:rPr>
      </w:pPr>
    </w:p>
    <w:p w:rsidR="00F25255" w:rsidRPr="003002D3" w:rsidRDefault="00F25255" w:rsidP="00E73313">
      <w:pPr>
        <w:tabs>
          <w:tab w:val="left" w:pos="1440"/>
        </w:tabs>
        <w:ind w:left="1080"/>
        <w:rPr>
          <w:lang w:val="de-DE"/>
        </w:rPr>
      </w:pPr>
    </w:p>
    <w:p w:rsidR="00E73313" w:rsidRPr="003002D3" w:rsidRDefault="00E73313" w:rsidP="00E73313">
      <w:pPr>
        <w:tabs>
          <w:tab w:val="left" w:pos="720"/>
        </w:tabs>
        <w:spacing w:after="60"/>
        <w:ind w:left="720"/>
        <w:rPr>
          <w:lang w:val="de-DE"/>
        </w:rPr>
      </w:pPr>
      <w:r w:rsidRPr="003002D3">
        <w:rPr>
          <w:rFonts w:eastAsia="Calibri" w:cs="Tahoma"/>
          <w:b/>
          <w:szCs w:val="18"/>
          <w:lang w:val="de-DE"/>
        </w:rPr>
        <w:t>Für Kunden mit Software Assurance, die am oder nach dem 1</w:t>
      </w:r>
      <w:r w:rsidR="006257A7">
        <w:rPr>
          <w:rFonts w:eastAsia="Calibri" w:cs="Tahoma"/>
          <w:b/>
          <w:szCs w:val="18"/>
          <w:lang w:val="de-DE"/>
        </w:rPr>
        <w:t xml:space="preserve">. </w:t>
      </w:r>
      <w:r w:rsidRPr="003002D3">
        <w:rPr>
          <w:rFonts w:eastAsia="Calibri" w:cs="Tahoma"/>
          <w:b/>
          <w:szCs w:val="18"/>
          <w:lang w:val="de-DE"/>
        </w:rPr>
        <w:t>April 2015 abläuft, die sich gegen eine Verlängerung entscheiden</w:t>
      </w:r>
    </w:p>
    <w:p w:rsidR="00E73313" w:rsidRPr="003002D3" w:rsidRDefault="00E73313" w:rsidP="00B56A92">
      <w:pPr>
        <w:tabs>
          <w:tab w:val="left" w:pos="720"/>
        </w:tabs>
        <w:ind w:left="720"/>
        <w:rPr>
          <w:lang w:val="de-DE"/>
        </w:rPr>
      </w:pPr>
      <w:r w:rsidRPr="003002D3">
        <w:rPr>
          <w:rFonts w:eastAsia="Calibri" w:cs="Tahoma"/>
          <w:color w:val="000000"/>
          <w:szCs w:val="18"/>
          <w:lang w:val="de-DE"/>
        </w:rPr>
        <w:t xml:space="preserve">Konzern-Abonnement- </w:t>
      </w:r>
      <w:r w:rsidRPr="003002D3">
        <w:rPr>
          <w:rFonts w:eastAsia="Calibri" w:cs="Tahoma"/>
          <w:szCs w:val="18"/>
          <w:lang w:val="de-DE"/>
        </w:rPr>
        <w:t>und Open Value Subscription-</w:t>
      </w:r>
      <w:r w:rsidRPr="003002D3">
        <w:rPr>
          <w:rFonts w:eastAsia="Calibri" w:cs="Tahoma"/>
          <w:color w:val="000000"/>
          <w:szCs w:val="18"/>
          <w:lang w:val="de-DE"/>
        </w:rPr>
        <w:t>Kunden mit Software Assurance, die am oder nach dem</w:t>
      </w:r>
      <w:r w:rsidR="00B56A92">
        <w:rPr>
          <w:rFonts w:eastAsia="Calibri" w:cs="Tahoma"/>
          <w:color w:val="000000"/>
          <w:szCs w:val="18"/>
          <w:lang w:val="de-DE"/>
        </w:rPr>
        <w:t> </w:t>
      </w:r>
      <w:r w:rsidRPr="003002D3">
        <w:rPr>
          <w:rFonts w:eastAsia="Calibri" w:cs="Tahoma"/>
          <w:color w:val="000000"/>
          <w:szCs w:val="18"/>
          <w:lang w:val="de-DE"/>
        </w:rPr>
        <w:t>1</w:t>
      </w:r>
      <w:r w:rsidR="006257A7">
        <w:rPr>
          <w:rFonts w:eastAsia="Calibri" w:cs="Tahoma"/>
          <w:color w:val="000000"/>
          <w:szCs w:val="18"/>
          <w:lang w:val="de-DE"/>
        </w:rPr>
        <w:t xml:space="preserve">. </w:t>
      </w:r>
      <w:r w:rsidRPr="003002D3">
        <w:rPr>
          <w:rFonts w:eastAsia="Calibri" w:cs="Tahoma"/>
          <w:color w:val="000000"/>
          <w:szCs w:val="18"/>
          <w:lang w:val="de-DE"/>
        </w:rPr>
        <w:t xml:space="preserve">April 2015 abläuft, die sich für ein Buy-Out von Prozessorlizenzen entscheiden, sowie sonstige Kunden, die zeitlich unbeschränkte Lizenzen unter ihrem Vertrag erwerben, haben folgende Optionen: </w:t>
      </w:r>
    </w:p>
    <w:p w:rsidR="00E73313" w:rsidRPr="003002D3" w:rsidRDefault="00E73313" w:rsidP="00E73313">
      <w:pPr>
        <w:tabs>
          <w:tab w:val="left" w:pos="720"/>
        </w:tabs>
        <w:ind w:left="720"/>
        <w:rPr>
          <w:lang w:val="de-DE"/>
        </w:rPr>
      </w:pPr>
    </w:p>
    <w:p w:rsidR="00E73313" w:rsidRPr="003002D3" w:rsidRDefault="00E73313" w:rsidP="00E73313">
      <w:pPr>
        <w:numPr>
          <w:ilvl w:val="2"/>
          <w:numId w:val="50"/>
        </w:numPr>
        <w:spacing w:after="60"/>
        <w:ind w:left="1440"/>
        <w:rPr>
          <w:lang w:val="de-DE"/>
        </w:rPr>
      </w:pPr>
      <w:r w:rsidRPr="003002D3">
        <w:rPr>
          <w:rFonts w:eastAsia="Calibri" w:cs="Tahoma"/>
          <w:szCs w:val="18"/>
          <w:lang w:val="de-DE"/>
        </w:rPr>
        <w:t>Wie im ersten Absatz dieses Produkthinweises dargelegt, sind vor dem 1</w:t>
      </w:r>
      <w:r w:rsidR="006257A7">
        <w:rPr>
          <w:rFonts w:eastAsia="Calibri" w:cs="Tahoma"/>
          <w:szCs w:val="18"/>
          <w:lang w:val="de-DE"/>
        </w:rPr>
        <w:t xml:space="preserve">. </w:t>
      </w:r>
      <w:r w:rsidRPr="003002D3">
        <w:rPr>
          <w:rFonts w:eastAsia="Calibri" w:cs="Tahoma"/>
          <w:szCs w:val="18"/>
          <w:lang w:val="de-DE"/>
        </w:rPr>
        <w:t>April 2015 erworbene Lizenzen qualifizierende Lizenzen, und Kunden sind berechtigt, SQL Server 2012 in Übereinstimmung mit den Bestimmungen im Abschnitt oben mit der Überschrift „Für Kunden mit Software Assurance, die vor dem 1</w:t>
      </w:r>
      <w:r w:rsidR="006257A7">
        <w:rPr>
          <w:rFonts w:eastAsia="Calibri" w:cs="Tahoma"/>
          <w:szCs w:val="18"/>
          <w:lang w:val="de-DE"/>
        </w:rPr>
        <w:t xml:space="preserve">. </w:t>
      </w:r>
      <w:r w:rsidRPr="003002D3">
        <w:rPr>
          <w:rFonts w:eastAsia="Calibri" w:cs="Tahoma"/>
          <w:szCs w:val="18"/>
          <w:lang w:val="de-DE"/>
        </w:rPr>
        <w:t xml:space="preserve">April 2015 abläuft, die sich gegen eine Verlängerung entscheiden“ weiterhin zu verwenden, und </w:t>
      </w:r>
    </w:p>
    <w:p w:rsidR="00E73313" w:rsidRPr="003002D3" w:rsidRDefault="00B56A92" w:rsidP="00E73313">
      <w:pPr>
        <w:numPr>
          <w:ilvl w:val="2"/>
          <w:numId w:val="50"/>
        </w:numPr>
        <w:spacing w:after="60"/>
        <w:ind w:left="1440"/>
        <w:rPr>
          <w:lang w:val="de-DE"/>
        </w:rPr>
      </w:pPr>
      <w:r>
        <w:rPr>
          <w:rFonts w:eastAsia="Calibri" w:cs="Tahoma"/>
          <w:szCs w:val="18"/>
          <w:lang w:val="de-DE"/>
        </w:rPr>
        <w:t>F</w:t>
      </w:r>
      <w:r w:rsidR="00E73313" w:rsidRPr="003002D3">
        <w:rPr>
          <w:rFonts w:eastAsia="Calibri" w:cs="Tahoma"/>
          <w:szCs w:val="18"/>
          <w:lang w:val="de-DE"/>
        </w:rPr>
        <w:t>ür Lizenzen, die nach dem 1</w:t>
      </w:r>
      <w:r w:rsidR="006257A7">
        <w:rPr>
          <w:rFonts w:eastAsia="Calibri" w:cs="Tahoma"/>
          <w:szCs w:val="18"/>
          <w:lang w:val="de-DE"/>
        </w:rPr>
        <w:t xml:space="preserve">. </w:t>
      </w:r>
      <w:r w:rsidR="00E73313" w:rsidRPr="003002D3">
        <w:rPr>
          <w:rFonts w:eastAsia="Calibri" w:cs="Tahoma"/>
          <w:szCs w:val="18"/>
          <w:lang w:val="de-DE"/>
        </w:rPr>
        <w:t>April 2015 erworben wurden, verfügt die Prozessorlizenz von Kunden über eine Core-Äquivalenz von vier Core-Lizenzen für SQL Server 2012 Standard</w:t>
      </w:r>
      <w:r w:rsidR="006257A7">
        <w:rPr>
          <w:rFonts w:eastAsia="Calibri" w:cs="Tahoma"/>
          <w:szCs w:val="18"/>
          <w:lang w:val="de-DE"/>
        </w:rPr>
        <w:t xml:space="preserve">. </w:t>
      </w:r>
      <w:r w:rsidR="00E73313" w:rsidRPr="003002D3">
        <w:rPr>
          <w:rFonts w:eastAsia="Calibri" w:cs="Tahoma"/>
          <w:szCs w:val="18"/>
          <w:lang w:val="de-DE"/>
        </w:rPr>
        <w:t>Für die kontinuierliche Verwendung von SQL Server 2012 auf Prozessoren, die mehr als vier Core-Lizenzen pro Prozessor erfordern, muss der Kunde die zusätzlichen Core-Lizenzen erwerben</w:t>
      </w:r>
      <w:r w:rsidR="006257A7">
        <w:rPr>
          <w:rFonts w:eastAsia="Calibri" w:cs="Tahoma"/>
          <w:szCs w:val="18"/>
          <w:lang w:val="de-DE"/>
        </w:rPr>
        <w:t xml:space="preserve">. </w:t>
      </w:r>
    </w:p>
    <w:p w:rsidR="00E73313" w:rsidRPr="003002D3" w:rsidRDefault="00E73313" w:rsidP="00E73313">
      <w:pPr>
        <w:ind w:left="1440"/>
        <w:rPr>
          <w:lang w:val="de-DE"/>
        </w:rPr>
      </w:pPr>
    </w:p>
    <w:p w:rsidR="00E73313" w:rsidRPr="003002D3" w:rsidRDefault="00E73313" w:rsidP="00E73313">
      <w:pPr>
        <w:spacing w:after="60"/>
        <w:ind w:left="720"/>
        <w:rPr>
          <w:lang w:val="de-DE"/>
        </w:rPr>
      </w:pPr>
      <w:r w:rsidRPr="003002D3">
        <w:rPr>
          <w:b/>
          <w:lang w:val="de-DE"/>
        </w:rPr>
        <w:t>Für Kunden in der Volksrepublik</w:t>
      </w:r>
      <w:r w:rsidRPr="003002D3">
        <w:rPr>
          <w:lang w:val="de-DE"/>
        </w:rPr>
        <w:t xml:space="preserve"> </w:t>
      </w:r>
      <w:r w:rsidRPr="003002D3">
        <w:rPr>
          <w:b/>
          <w:lang w:val="de-DE"/>
        </w:rPr>
        <w:t>China, die dort Prozessorlizenzen und Software Assurance für SQL Server 2008 R2 erwerben</w:t>
      </w:r>
    </w:p>
    <w:p w:rsidR="00E73313" w:rsidRPr="003002D3" w:rsidRDefault="00E73313" w:rsidP="00B56A92">
      <w:pPr>
        <w:ind w:left="720"/>
        <w:rPr>
          <w:lang w:val="de-DE"/>
        </w:rPr>
      </w:pPr>
      <w:r w:rsidRPr="003002D3">
        <w:rPr>
          <w:lang w:val="de-DE"/>
        </w:rPr>
        <w:t>Die Verweise auf den 1</w:t>
      </w:r>
      <w:r w:rsidR="006257A7">
        <w:rPr>
          <w:lang w:val="de-DE"/>
        </w:rPr>
        <w:t xml:space="preserve">. </w:t>
      </w:r>
      <w:r w:rsidRPr="003002D3">
        <w:rPr>
          <w:lang w:val="de-DE"/>
        </w:rPr>
        <w:t>April 2012 und den 1</w:t>
      </w:r>
      <w:r w:rsidR="006257A7">
        <w:rPr>
          <w:lang w:val="de-DE"/>
        </w:rPr>
        <w:t xml:space="preserve">. </w:t>
      </w:r>
      <w:r w:rsidRPr="003002D3">
        <w:rPr>
          <w:lang w:val="de-DE"/>
        </w:rPr>
        <w:t>April 2015 in dieser Produktliste sind nicht anwendbar</w:t>
      </w:r>
      <w:r w:rsidR="006257A7">
        <w:rPr>
          <w:lang w:val="de-DE"/>
        </w:rPr>
        <w:t xml:space="preserve">. </w:t>
      </w:r>
      <w:r w:rsidRPr="003002D3">
        <w:rPr>
          <w:lang w:val="de-DE"/>
        </w:rPr>
        <w:t>Die</w:t>
      </w:r>
      <w:r w:rsidR="00B56A92">
        <w:rPr>
          <w:lang w:val="de-DE"/>
        </w:rPr>
        <w:t> </w:t>
      </w:r>
      <w:r w:rsidRPr="003002D3">
        <w:rPr>
          <w:lang w:val="de-DE"/>
        </w:rPr>
        <w:t>anwendbaren Daten für diese Kunden sind der 1</w:t>
      </w:r>
      <w:r w:rsidR="006257A7">
        <w:rPr>
          <w:lang w:val="de-DE"/>
        </w:rPr>
        <w:t xml:space="preserve">. </w:t>
      </w:r>
      <w:r w:rsidRPr="003002D3">
        <w:rPr>
          <w:lang w:val="de-DE"/>
        </w:rPr>
        <w:t>Juli 2012 bzw</w:t>
      </w:r>
      <w:r w:rsidR="006257A7">
        <w:rPr>
          <w:lang w:val="de-DE"/>
        </w:rPr>
        <w:t xml:space="preserve">. </w:t>
      </w:r>
      <w:r w:rsidRPr="003002D3">
        <w:rPr>
          <w:lang w:val="de-DE"/>
        </w:rPr>
        <w:t>der 1</w:t>
      </w:r>
      <w:r w:rsidR="006257A7">
        <w:rPr>
          <w:lang w:val="de-DE"/>
        </w:rPr>
        <w:t xml:space="preserve">. </w:t>
      </w:r>
      <w:r w:rsidRPr="003002D3">
        <w:rPr>
          <w:lang w:val="de-DE"/>
        </w:rPr>
        <w:t>Juli 2015</w:t>
      </w:r>
      <w:r w:rsidR="006257A7">
        <w:rPr>
          <w:lang w:val="de-DE"/>
        </w:rPr>
        <w:t xml:space="preserve">. </w:t>
      </w:r>
      <w:bookmarkStart w:id="1505" w:name="_821_SQL_Server®"/>
      <w:bookmarkEnd w:id="1452"/>
      <w:bookmarkEnd w:id="1453"/>
      <w:bookmarkEnd w:id="1454"/>
      <w:bookmarkEnd w:id="1455"/>
      <w:bookmarkEnd w:id="1505"/>
    </w:p>
    <w:p w:rsidR="00E73313" w:rsidRPr="003002D3" w:rsidRDefault="00E73313" w:rsidP="00E73313">
      <w:pPr>
        <w:rPr>
          <w:lang w:val="de-DE"/>
        </w:rPr>
      </w:pPr>
    </w:p>
    <w:p w:rsidR="00E73313" w:rsidRPr="003002D3" w:rsidRDefault="00E73313" w:rsidP="00E73313">
      <w:pPr>
        <w:rPr>
          <w:lang w:val="de-DE"/>
        </w:rPr>
      </w:pPr>
      <w:bookmarkStart w:id="1506" w:name="Srv_82SysCtrDataProMgr07StdSvrMgmtML"/>
      <w:bookmarkStart w:id="1507" w:name="Srv_78SysCtrDataProMgr07StdSvrMgmtML"/>
      <w:bookmarkStart w:id="1508" w:name="Srv_79SysCtrDataProMgr07StdSvrMgmtML"/>
    </w:p>
    <w:p w:rsidR="00E73313" w:rsidRPr="003002D3" w:rsidRDefault="00E73313" w:rsidP="00E73313">
      <w:pPr>
        <w:pStyle w:val="Heading3"/>
        <w:rPr>
          <w:lang w:val="de-DE"/>
        </w:rPr>
      </w:pPr>
      <w:bookmarkStart w:id="1509" w:name="_79_System_Center"/>
      <w:bookmarkStart w:id="1510" w:name="_86_84_System"/>
      <w:bookmarkStart w:id="1511" w:name="_Toc336338351"/>
      <w:bookmarkStart w:id="1512" w:name="_Toc363999088"/>
      <w:bookmarkStart w:id="1513" w:name="Srv_79SystemCenterEssentials07"/>
      <w:bookmarkStart w:id="1514" w:name="Srv_80SystemCenterEssentials07"/>
      <w:bookmarkStart w:id="1515" w:name="Srv_83SystemCenterEssentials07"/>
      <w:bookmarkEnd w:id="1506"/>
      <w:bookmarkEnd w:id="1507"/>
      <w:bookmarkEnd w:id="1508"/>
      <w:bookmarkEnd w:id="1509"/>
      <w:bookmarkEnd w:id="1510"/>
      <w:r w:rsidRPr="003002D3">
        <w:rPr>
          <w:rFonts w:ascii="Tahoma" w:hAnsi="Tahoma"/>
          <w:caps/>
          <w:color w:val="F66400"/>
          <w:sz w:val="22"/>
          <w:vertAlign w:val="superscript"/>
          <w:lang w:val="de-DE"/>
        </w:rPr>
        <w:t>91</w:t>
      </w:r>
      <w:r w:rsidRPr="003002D3">
        <w:rPr>
          <w:rFonts w:ascii="Tahoma" w:hAnsi="Tahoma"/>
          <w:color w:val="F66400"/>
          <w:sz w:val="22"/>
          <w:lang w:val="de-DE"/>
        </w:rPr>
        <w:t xml:space="preserve"> System Center Essentials 2010</w:t>
      </w:r>
      <w:bookmarkEnd w:id="1511"/>
      <w:bookmarkEnd w:id="1512"/>
    </w:p>
    <w:bookmarkEnd w:id="1513"/>
    <w:bookmarkEnd w:id="1514"/>
    <w:bookmarkEnd w:id="1515"/>
    <w:p w:rsidR="00E73313" w:rsidRPr="003002D3" w:rsidRDefault="00E73313" w:rsidP="00E73313">
      <w:pPr>
        <w:spacing w:after="60"/>
        <w:ind w:left="720"/>
        <w:rPr>
          <w:lang w:val="de-DE"/>
        </w:rPr>
      </w:pPr>
    </w:p>
    <w:p w:rsidR="00E73313" w:rsidRPr="003002D3" w:rsidRDefault="00E73313" w:rsidP="00E73313">
      <w:pPr>
        <w:spacing w:after="60"/>
        <w:ind w:left="720"/>
        <w:rPr>
          <w:lang w:val="de-DE"/>
        </w:rPr>
      </w:pPr>
      <w:r w:rsidRPr="003002D3">
        <w:rPr>
          <w:rFonts w:cs="Tahoma"/>
          <w:b/>
          <w:color w:val="000000"/>
          <w:szCs w:val="20"/>
          <w:lang w:val="de-DE"/>
        </w:rPr>
        <w:t>Lizenzgewährung für System Center Essentials 2010 für Software Assurance-Kunden</w:t>
      </w:r>
    </w:p>
    <w:p w:rsidR="00E73313" w:rsidRPr="0062435A" w:rsidRDefault="00E73313" w:rsidP="00E73313">
      <w:pPr>
        <w:pStyle w:val="EndnoteText"/>
        <w:ind w:left="720"/>
      </w:pPr>
      <w:r w:rsidRPr="003002D3">
        <w:rPr>
          <w:rFonts w:ascii="Tahoma" w:hAnsi="Tahoma" w:cs="Tahoma"/>
          <w:sz w:val="18"/>
          <w:lang w:val="de-DE"/>
        </w:rPr>
        <w:t>Die Version 2010 von System Center Essentials (SCE) wird die letzte Freigabe des Produkts sein</w:t>
      </w:r>
      <w:r w:rsidR="006257A7">
        <w:rPr>
          <w:rFonts w:ascii="Tahoma" w:hAnsi="Tahoma" w:cs="Tahoma"/>
          <w:sz w:val="18"/>
          <w:lang w:val="de-DE"/>
        </w:rPr>
        <w:t xml:space="preserve">. </w:t>
      </w:r>
      <w:r w:rsidRPr="003002D3">
        <w:rPr>
          <w:rFonts w:ascii="Tahoma" w:hAnsi="Tahoma" w:cs="Tahoma"/>
          <w:sz w:val="18"/>
          <w:lang w:val="de-DE"/>
        </w:rPr>
        <w:t>Kunden mit Software Assurance für SCE bis zum 1</w:t>
      </w:r>
      <w:r w:rsidR="006257A7">
        <w:rPr>
          <w:rFonts w:ascii="Tahoma" w:hAnsi="Tahoma" w:cs="Tahoma"/>
          <w:sz w:val="18"/>
          <w:lang w:val="de-DE"/>
        </w:rPr>
        <w:t xml:space="preserve">. </w:t>
      </w:r>
      <w:r w:rsidRPr="003002D3">
        <w:rPr>
          <w:rFonts w:ascii="Tahoma" w:hAnsi="Tahoma" w:cs="Tahoma"/>
          <w:sz w:val="18"/>
          <w:lang w:val="de-DE"/>
        </w:rPr>
        <w:t>März 2013 wird eine Lizenz für System Center 2012 ohne zusätzliche Kosten abgesehen von den Medienkosten (sofern zutreffend) gewährt</w:t>
      </w:r>
      <w:r w:rsidR="006257A7">
        <w:rPr>
          <w:rFonts w:ascii="Tahoma" w:hAnsi="Tahoma" w:cs="Tahoma"/>
          <w:sz w:val="18"/>
          <w:lang w:val="de-DE"/>
        </w:rPr>
        <w:t xml:space="preserve">. </w:t>
      </w:r>
      <w:r w:rsidRPr="003002D3">
        <w:rPr>
          <w:rFonts w:ascii="Tahoma" w:hAnsi="Tahoma" w:cs="Tahoma"/>
          <w:sz w:val="18"/>
          <w:lang w:val="de-DE"/>
        </w:rPr>
        <w:t>Die Anzahl von System Center 2012-Lizenzen, auf die ein Kunde im Rahmen dieses Angebots Anspruch hat, variiert, da sie von der Anzahl und der Art der SCE-Lizenzen mit Software Assurance abhängt, die der Kunde erworben hat</w:t>
      </w:r>
      <w:r w:rsidR="006257A7">
        <w:rPr>
          <w:rFonts w:ascii="Tahoma" w:hAnsi="Tahoma" w:cs="Tahoma"/>
          <w:sz w:val="18"/>
          <w:lang w:val="de-DE"/>
        </w:rPr>
        <w:t xml:space="preserve">. </w:t>
      </w:r>
      <w:r>
        <w:rPr>
          <w:rFonts w:ascii="Tahoma" w:hAnsi="Tahoma" w:cs="Tahoma"/>
          <w:sz w:val="18"/>
        </w:rPr>
        <w:t>In der nachstehenden Tabelle finden Sie Einzelheiten</w:t>
      </w:r>
      <w:r w:rsidR="006257A7">
        <w:rPr>
          <w:rFonts w:ascii="Tahoma" w:hAnsi="Tahoma" w:cs="Tahoma"/>
          <w:sz w:val="18"/>
        </w:rPr>
        <w:t xml:space="preserve">. </w:t>
      </w:r>
    </w:p>
    <w:p w:rsidR="00E73313" w:rsidRPr="0062435A" w:rsidRDefault="00E73313" w:rsidP="00E73313">
      <w:pPr>
        <w:pStyle w:val="EndnoteText"/>
      </w:pPr>
    </w:p>
    <w:tbl>
      <w:tblPr>
        <w:tblStyle w:val="TableGrid1"/>
        <w:tblW w:w="8553" w:type="dxa"/>
        <w:tblInd w:w="824" w:type="dxa"/>
        <w:tblLook w:val="04A0" w:firstRow="1" w:lastRow="0" w:firstColumn="1" w:lastColumn="0" w:noHBand="0" w:noVBand="1"/>
      </w:tblPr>
      <w:tblGrid>
        <w:gridCol w:w="3960"/>
        <w:gridCol w:w="4593"/>
      </w:tblGrid>
      <w:tr w:rsidR="00E73313" w:rsidTr="00E328C3">
        <w:tc>
          <w:tcPr>
            <w:tcW w:w="3960" w:type="dxa"/>
            <w:shd w:val="clear" w:color="auto" w:fill="FABF8F"/>
            <w:hideMark/>
          </w:tcPr>
          <w:p w:rsidR="00E73313" w:rsidRPr="003002D3" w:rsidRDefault="00E73313" w:rsidP="00E328C3">
            <w:pPr>
              <w:ind w:left="162"/>
              <w:jc w:val="center"/>
              <w:rPr>
                <w:rFonts w:cs="Tahoma"/>
                <w:b/>
                <w:bCs/>
                <w:color w:val="000000"/>
                <w:szCs w:val="18"/>
                <w:lang w:val="de-DE"/>
              </w:rPr>
            </w:pPr>
            <w:r w:rsidRPr="003002D3">
              <w:rPr>
                <w:rFonts w:cs="Tahoma"/>
                <w:b/>
                <w:bCs/>
                <w:color w:val="000000"/>
                <w:szCs w:val="18"/>
                <w:lang w:val="de-DE"/>
              </w:rPr>
              <w:t>Qualifizierende Lizenzen mit Software Assurance</w:t>
            </w:r>
          </w:p>
        </w:tc>
        <w:tc>
          <w:tcPr>
            <w:tcW w:w="4593" w:type="dxa"/>
            <w:shd w:val="clear" w:color="auto" w:fill="FABF8F"/>
            <w:hideMark/>
          </w:tcPr>
          <w:p w:rsidR="00E73313" w:rsidRPr="00CE334A" w:rsidRDefault="00E73313" w:rsidP="00E328C3">
            <w:pPr>
              <w:ind w:left="162"/>
              <w:jc w:val="center"/>
              <w:rPr>
                <w:rFonts w:cs="Tahoma"/>
                <w:b/>
                <w:bCs/>
                <w:color w:val="000000"/>
                <w:szCs w:val="18"/>
              </w:rPr>
            </w:pPr>
            <w:r>
              <w:rPr>
                <w:rFonts w:cs="Tahoma"/>
                <w:b/>
                <w:bCs/>
                <w:color w:val="000000"/>
                <w:szCs w:val="18"/>
              </w:rPr>
              <w:t>System Center 2012-Lizenzgewährung</w:t>
            </w:r>
          </w:p>
        </w:tc>
      </w:tr>
      <w:tr w:rsidR="00E73313" w:rsidRPr="001B6F67" w:rsidTr="00E328C3">
        <w:tc>
          <w:tcPr>
            <w:tcW w:w="3960" w:type="dxa"/>
            <w:hideMark/>
          </w:tcPr>
          <w:p w:rsidR="00E73313" w:rsidRPr="00CE334A" w:rsidRDefault="00E73313" w:rsidP="00E328C3">
            <w:pPr>
              <w:ind w:left="162"/>
              <w:rPr>
                <w:rFonts w:cs="Tahoma"/>
                <w:bCs/>
                <w:color w:val="000000"/>
                <w:szCs w:val="18"/>
              </w:rPr>
            </w:pPr>
            <w:r>
              <w:rPr>
                <w:rFonts w:cs="Tahoma"/>
                <w:bCs/>
                <w:color w:val="000000"/>
                <w:szCs w:val="18"/>
              </w:rPr>
              <w:t>System Center Essentials 2010</w:t>
            </w:r>
          </w:p>
        </w:tc>
        <w:tc>
          <w:tcPr>
            <w:tcW w:w="4593" w:type="dxa"/>
            <w:hideMark/>
          </w:tcPr>
          <w:p w:rsidR="00E73313" w:rsidRPr="003002D3" w:rsidRDefault="00E73313" w:rsidP="00E328C3">
            <w:pPr>
              <w:ind w:left="162"/>
              <w:rPr>
                <w:rFonts w:cs="Tahoma"/>
                <w:bCs/>
                <w:color w:val="000000"/>
                <w:szCs w:val="18"/>
                <w:lang w:val="de-DE"/>
              </w:rPr>
            </w:pPr>
            <w:r w:rsidRPr="003002D3">
              <w:rPr>
                <w:rFonts w:cs="Tahoma"/>
                <w:bCs/>
                <w:color w:val="000000"/>
                <w:szCs w:val="18"/>
                <w:lang w:val="de-DE"/>
              </w:rPr>
              <w:t>eine Server Management-Lizenz für System Center 2012 Standard für alle acht* qualifizierenden Lizenzen</w:t>
            </w:r>
          </w:p>
        </w:tc>
      </w:tr>
      <w:tr w:rsidR="00E73313" w:rsidRPr="001B6F67" w:rsidTr="00E328C3">
        <w:tc>
          <w:tcPr>
            <w:tcW w:w="3960" w:type="dxa"/>
            <w:hideMark/>
          </w:tcPr>
          <w:p w:rsidR="00E73313" w:rsidRPr="003002D3" w:rsidRDefault="00E73313" w:rsidP="00E328C3">
            <w:pPr>
              <w:ind w:left="162"/>
              <w:rPr>
                <w:rFonts w:cs="Tahoma"/>
                <w:bCs/>
                <w:color w:val="000000"/>
                <w:szCs w:val="18"/>
                <w:lang w:val="de-DE"/>
              </w:rPr>
            </w:pPr>
            <w:r w:rsidRPr="003002D3">
              <w:rPr>
                <w:rFonts w:cs="Tahoma"/>
                <w:bCs/>
                <w:color w:val="000000"/>
                <w:szCs w:val="18"/>
                <w:lang w:val="de-DE"/>
              </w:rPr>
              <w:t>System Center Essentials 2010 mit SQL</w:t>
            </w:r>
          </w:p>
        </w:tc>
        <w:tc>
          <w:tcPr>
            <w:tcW w:w="4593" w:type="dxa"/>
            <w:hideMark/>
          </w:tcPr>
          <w:p w:rsidR="00E73313" w:rsidRPr="003002D3" w:rsidRDefault="00E73313" w:rsidP="00E328C3">
            <w:pPr>
              <w:ind w:left="162"/>
              <w:rPr>
                <w:rFonts w:cs="Tahoma"/>
                <w:bCs/>
                <w:color w:val="000000"/>
                <w:szCs w:val="18"/>
                <w:lang w:val="de-DE"/>
              </w:rPr>
            </w:pPr>
            <w:r w:rsidRPr="003002D3">
              <w:rPr>
                <w:rFonts w:cs="Tahoma"/>
                <w:bCs/>
                <w:color w:val="000000"/>
                <w:szCs w:val="18"/>
                <w:lang w:val="de-DE"/>
              </w:rPr>
              <w:t>eine Server Management-Lizenz für System Center 2012 Standard für jede qualifizierende Lizenz</w:t>
            </w:r>
          </w:p>
        </w:tc>
      </w:tr>
      <w:tr w:rsidR="00E73313" w:rsidRPr="001B6F67" w:rsidTr="00E328C3">
        <w:tc>
          <w:tcPr>
            <w:tcW w:w="3960" w:type="dxa"/>
            <w:hideMark/>
          </w:tcPr>
          <w:p w:rsidR="00E73313" w:rsidRPr="003002D3" w:rsidRDefault="00E73313" w:rsidP="00E328C3">
            <w:pPr>
              <w:ind w:left="162"/>
              <w:rPr>
                <w:rFonts w:cs="Tahoma"/>
                <w:bCs/>
                <w:color w:val="000000"/>
                <w:szCs w:val="18"/>
                <w:lang w:val="de-DE"/>
              </w:rPr>
            </w:pPr>
            <w:r w:rsidRPr="003002D3">
              <w:rPr>
                <w:rFonts w:cs="Tahoma"/>
                <w:bCs/>
                <w:color w:val="000000"/>
                <w:szCs w:val="18"/>
                <w:lang w:val="de-DE"/>
              </w:rPr>
              <w:t>Server-Management-Lizenz für System Center Essentials 2010</w:t>
            </w:r>
          </w:p>
        </w:tc>
        <w:tc>
          <w:tcPr>
            <w:tcW w:w="4593" w:type="dxa"/>
            <w:hideMark/>
          </w:tcPr>
          <w:p w:rsidR="00E73313" w:rsidRPr="003002D3" w:rsidRDefault="00E73313" w:rsidP="00E328C3">
            <w:pPr>
              <w:ind w:left="162"/>
              <w:rPr>
                <w:rFonts w:cs="Tahoma"/>
                <w:bCs/>
                <w:color w:val="000000"/>
                <w:szCs w:val="18"/>
                <w:lang w:val="de-DE"/>
              </w:rPr>
            </w:pPr>
            <w:r w:rsidRPr="003002D3">
              <w:rPr>
                <w:rFonts w:cs="Tahoma"/>
                <w:bCs/>
                <w:color w:val="000000"/>
                <w:szCs w:val="18"/>
                <w:lang w:val="de-DE"/>
              </w:rPr>
              <w:t>eine Server Management-Lizenz für System Center 2012 Standard für alle acht* qualifizierenden Lizenzen</w:t>
            </w:r>
          </w:p>
        </w:tc>
      </w:tr>
      <w:tr w:rsidR="00E73313" w:rsidRPr="001B6F67" w:rsidTr="00E328C3">
        <w:tc>
          <w:tcPr>
            <w:tcW w:w="3960" w:type="dxa"/>
            <w:hideMark/>
          </w:tcPr>
          <w:p w:rsidR="00E73313" w:rsidRPr="003002D3" w:rsidRDefault="00E73313" w:rsidP="00E328C3">
            <w:pPr>
              <w:ind w:left="162"/>
              <w:rPr>
                <w:lang w:val="fr-FR"/>
              </w:rPr>
            </w:pPr>
            <w:r w:rsidRPr="003002D3">
              <w:rPr>
                <w:rFonts w:cs="Tahoma"/>
                <w:bCs/>
                <w:color w:val="000000"/>
                <w:szCs w:val="18"/>
                <w:lang w:val="fr-FR"/>
              </w:rPr>
              <w:t>System Center Essentials 2010 Plus</w:t>
            </w:r>
          </w:p>
          <w:p w:rsidR="00E73313" w:rsidRPr="003002D3" w:rsidRDefault="00E73313" w:rsidP="00E328C3">
            <w:pPr>
              <w:ind w:left="162"/>
              <w:rPr>
                <w:rFonts w:cs="Tahoma"/>
                <w:bCs/>
                <w:color w:val="000000"/>
                <w:szCs w:val="18"/>
                <w:lang w:val="fr-FR"/>
              </w:rPr>
            </w:pPr>
            <w:r w:rsidRPr="003002D3">
              <w:rPr>
                <w:rFonts w:cs="Tahoma"/>
                <w:bCs/>
                <w:color w:val="000000"/>
                <w:szCs w:val="18"/>
                <w:lang w:val="fr-FR"/>
              </w:rPr>
              <w:t>Server-Management-Lizenz-Suite</w:t>
            </w:r>
          </w:p>
        </w:tc>
        <w:tc>
          <w:tcPr>
            <w:tcW w:w="4593" w:type="dxa"/>
            <w:hideMark/>
          </w:tcPr>
          <w:p w:rsidR="00E73313" w:rsidRPr="003002D3" w:rsidRDefault="00E73313" w:rsidP="00E328C3">
            <w:pPr>
              <w:ind w:left="162"/>
              <w:rPr>
                <w:rFonts w:cs="Tahoma"/>
                <w:bCs/>
                <w:color w:val="000000"/>
                <w:szCs w:val="18"/>
                <w:lang w:val="de-DE"/>
              </w:rPr>
            </w:pPr>
            <w:r w:rsidRPr="003002D3">
              <w:rPr>
                <w:rFonts w:cs="Tahoma"/>
                <w:bCs/>
                <w:color w:val="000000"/>
                <w:szCs w:val="18"/>
                <w:lang w:val="de-DE"/>
              </w:rPr>
              <w:t>eine Server Management-Lizenz für System Center 2012 Standard für alle zwei** qualifizierenden Lizenzen</w:t>
            </w:r>
          </w:p>
        </w:tc>
      </w:tr>
      <w:tr w:rsidR="00E73313" w:rsidRPr="001B6F67" w:rsidTr="00E328C3">
        <w:tc>
          <w:tcPr>
            <w:tcW w:w="3960" w:type="dxa"/>
            <w:hideMark/>
          </w:tcPr>
          <w:p w:rsidR="00E73313" w:rsidRPr="003002D3" w:rsidRDefault="00E73313" w:rsidP="00E328C3">
            <w:pPr>
              <w:ind w:left="162"/>
              <w:rPr>
                <w:rFonts w:cs="Tahoma"/>
                <w:bCs/>
                <w:color w:val="000000"/>
                <w:szCs w:val="18"/>
                <w:lang w:val="de-DE"/>
              </w:rPr>
            </w:pPr>
            <w:r w:rsidRPr="003002D3">
              <w:rPr>
                <w:rFonts w:cs="Tahoma"/>
                <w:bCs/>
                <w:color w:val="000000"/>
                <w:szCs w:val="18"/>
                <w:lang w:val="de-DE"/>
              </w:rPr>
              <w:t>Client-Management-Lizenz für System Center Essentials 2010</w:t>
            </w:r>
          </w:p>
        </w:tc>
        <w:tc>
          <w:tcPr>
            <w:tcW w:w="4593" w:type="dxa"/>
            <w:hideMark/>
          </w:tcPr>
          <w:p w:rsidR="00E73313" w:rsidRPr="003002D3" w:rsidRDefault="00E73313" w:rsidP="00E328C3">
            <w:pPr>
              <w:ind w:left="162"/>
              <w:rPr>
                <w:rFonts w:cs="Tahoma"/>
                <w:bCs/>
                <w:color w:val="000000"/>
                <w:szCs w:val="18"/>
                <w:lang w:val="de-DE"/>
              </w:rPr>
            </w:pPr>
            <w:r w:rsidRPr="003002D3">
              <w:rPr>
                <w:rFonts w:cs="Tahoma"/>
                <w:bCs/>
                <w:color w:val="000000"/>
                <w:szCs w:val="18"/>
                <w:lang w:val="de-DE"/>
              </w:rPr>
              <w:t>eine Client-Management-Lizenz für System Center 2012 Configuration Manager für jede qualifizierende Lizenz</w:t>
            </w:r>
          </w:p>
        </w:tc>
      </w:tr>
      <w:tr w:rsidR="00E73313" w:rsidRPr="001B6F67" w:rsidTr="00E328C3">
        <w:tc>
          <w:tcPr>
            <w:tcW w:w="3960" w:type="dxa"/>
            <w:hideMark/>
          </w:tcPr>
          <w:p w:rsidR="00E73313" w:rsidRPr="00CE334A" w:rsidRDefault="00E73313" w:rsidP="00E328C3">
            <w:pPr>
              <w:ind w:left="162"/>
              <w:rPr>
                <w:rFonts w:cs="Tahoma"/>
                <w:bCs/>
                <w:color w:val="000000"/>
                <w:szCs w:val="18"/>
              </w:rPr>
            </w:pPr>
            <w:r>
              <w:rPr>
                <w:rFonts w:cs="Tahoma"/>
                <w:bCs/>
                <w:color w:val="000000"/>
                <w:szCs w:val="18"/>
              </w:rPr>
              <w:t>Client-Management-Lizenz für System Center Essentials 2010 Plus</w:t>
            </w:r>
          </w:p>
        </w:tc>
        <w:tc>
          <w:tcPr>
            <w:tcW w:w="4593" w:type="dxa"/>
            <w:hideMark/>
          </w:tcPr>
          <w:p w:rsidR="00E73313" w:rsidRPr="003002D3" w:rsidRDefault="00E73313" w:rsidP="00E328C3">
            <w:pPr>
              <w:ind w:left="162"/>
              <w:rPr>
                <w:rFonts w:cs="Tahoma"/>
                <w:bCs/>
                <w:color w:val="000000"/>
                <w:szCs w:val="18"/>
                <w:lang w:val="de-DE"/>
              </w:rPr>
            </w:pPr>
            <w:r w:rsidRPr="003002D3">
              <w:rPr>
                <w:rFonts w:cs="Tahoma"/>
                <w:bCs/>
                <w:color w:val="000000"/>
                <w:szCs w:val="18"/>
                <w:lang w:val="de-DE"/>
              </w:rPr>
              <w:t>eine Client-Management-Lizenz für System Center 2012 Configuration Manager für jede qualifizierende Lizenz</w:t>
            </w:r>
          </w:p>
        </w:tc>
      </w:tr>
      <w:tr w:rsidR="00E73313" w:rsidRPr="001B6F67" w:rsidTr="00E328C3">
        <w:tc>
          <w:tcPr>
            <w:tcW w:w="3960" w:type="dxa"/>
            <w:hideMark/>
          </w:tcPr>
          <w:p w:rsidR="00E73313" w:rsidRPr="00CE334A" w:rsidRDefault="00E73313" w:rsidP="00E328C3">
            <w:pPr>
              <w:ind w:left="162"/>
              <w:rPr>
                <w:rFonts w:cs="Tahoma"/>
                <w:bCs/>
                <w:color w:val="000000"/>
                <w:szCs w:val="18"/>
              </w:rPr>
            </w:pPr>
            <w:r>
              <w:rPr>
                <w:rFonts w:cs="Tahoma"/>
                <w:bCs/>
                <w:color w:val="000000"/>
                <w:szCs w:val="18"/>
              </w:rPr>
              <w:t>Serverlizenz für Virtual Machine Manager Workgroup Edition</w:t>
            </w:r>
          </w:p>
        </w:tc>
        <w:tc>
          <w:tcPr>
            <w:tcW w:w="4593" w:type="dxa"/>
            <w:hideMark/>
          </w:tcPr>
          <w:p w:rsidR="00E73313" w:rsidRPr="003002D3" w:rsidRDefault="00E73313" w:rsidP="00E328C3">
            <w:pPr>
              <w:ind w:left="162"/>
              <w:rPr>
                <w:rFonts w:cs="Tahoma"/>
                <w:bCs/>
                <w:color w:val="000000"/>
                <w:szCs w:val="18"/>
                <w:lang w:val="de-DE"/>
              </w:rPr>
            </w:pPr>
            <w:r w:rsidRPr="003002D3">
              <w:rPr>
                <w:rFonts w:cs="Tahoma"/>
                <w:bCs/>
                <w:color w:val="000000"/>
                <w:szCs w:val="18"/>
                <w:lang w:val="de-DE"/>
              </w:rPr>
              <w:t>eine Server Management-Lizenz für System Center 2012 Standard für alle zwei** qualifizierenden Lizenzen</w:t>
            </w:r>
          </w:p>
        </w:tc>
      </w:tr>
    </w:tbl>
    <w:p w:rsidR="00B56A92" w:rsidRDefault="00B56A92" w:rsidP="00E73313">
      <w:pPr>
        <w:pStyle w:val="EndnoteText"/>
        <w:rPr>
          <w:rFonts w:ascii="Tahoma" w:hAnsi="Tahoma" w:cs="Tahoma"/>
          <w:i/>
          <w:sz w:val="16"/>
          <w:szCs w:val="16"/>
          <w:lang w:val="de-DE"/>
        </w:rPr>
      </w:pPr>
    </w:p>
    <w:p w:rsidR="00B56A92" w:rsidRDefault="00B56A92" w:rsidP="00E73313">
      <w:pPr>
        <w:pStyle w:val="EndnoteText"/>
        <w:rPr>
          <w:rFonts w:ascii="Tahoma" w:hAnsi="Tahoma" w:cs="Tahoma"/>
          <w:i/>
          <w:sz w:val="16"/>
          <w:szCs w:val="16"/>
          <w:lang w:val="de-DE"/>
        </w:rPr>
      </w:pPr>
    </w:p>
    <w:p w:rsidR="00F25255" w:rsidRDefault="00F25255" w:rsidP="00E73313">
      <w:pPr>
        <w:pStyle w:val="EndnoteText"/>
        <w:rPr>
          <w:rFonts w:ascii="Tahoma" w:hAnsi="Tahoma" w:cs="Tahoma"/>
          <w:i/>
          <w:sz w:val="16"/>
          <w:szCs w:val="16"/>
          <w:lang w:val="de-DE"/>
        </w:rPr>
      </w:pPr>
    </w:p>
    <w:p w:rsidR="00E73313" w:rsidRPr="003002D3" w:rsidRDefault="00E73313" w:rsidP="00E73313">
      <w:pPr>
        <w:pStyle w:val="EndnoteText"/>
        <w:rPr>
          <w:lang w:val="de-DE"/>
        </w:rPr>
      </w:pPr>
      <w:r w:rsidRPr="003002D3">
        <w:rPr>
          <w:rFonts w:ascii="Tahoma" w:hAnsi="Tahoma" w:cs="Tahoma"/>
          <w:i/>
          <w:sz w:val="16"/>
          <w:szCs w:val="16"/>
          <w:lang w:val="de-DE"/>
        </w:rPr>
        <w:t>*Bei Kunden mit weniger als acht qualifizierenden Lizenzen wird die Lizenzanzahl auf acht aufgerundet, damit die Lizenzgewährung der Kunden gemäß diesem Angebot festgelegt werden kann</w:t>
      </w:r>
      <w:r w:rsidR="006257A7">
        <w:rPr>
          <w:rFonts w:ascii="Tahoma" w:hAnsi="Tahoma" w:cs="Tahoma"/>
          <w:i/>
          <w:sz w:val="16"/>
          <w:szCs w:val="16"/>
          <w:lang w:val="de-DE"/>
        </w:rPr>
        <w:t xml:space="preserve">. </w:t>
      </w:r>
      <w:r w:rsidRPr="003002D3">
        <w:rPr>
          <w:rFonts w:ascii="Tahoma" w:hAnsi="Tahoma" w:cs="Tahoma"/>
          <w:i/>
          <w:sz w:val="16"/>
          <w:szCs w:val="16"/>
          <w:lang w:val="de-DE"/>
        </w:rPr>
        <w:t>Gleichermaßen wird bei Kunden mit mehr als acht qualifizierenden Lizenzen die Lizenzanzahl auf das nächste Vielfache von acht aufgerundet, damit die Lizenzgewährung der Kunden gemäß diesem Angebot festgelegt werden kann</w:t>
      </w:r>
      <w:r w:rsidR="006257A7">
        <w:rPr>
          <w:rFonts w:ascii="Tahoma" w:hAnsi="Tahoma" w:cs="Tahoma"/>
          <w:i/>
          <w:sz w:val="16"/>
          <w:szCs w:val="16"/>
          <w:lang w:val="de-DE"/>
        </w:rPr>
        <w:t xml:space="preserve">. </w:t>
      </w:r>
    </w:p>
    <w:p w:rsidR="00E73313" w:rsidRPr="003002D3" w:rsidRDefault="00E73313" w:rsidP="00E73313">
      <w:pPr>
        <w:pStyle w:val="EndnoteText"/>
        <w:rPr>
          <w:lang w:val="de-DE"/>
        </w:rPr>
      </w:pPr>
    </w:p>
    <w:p w:rsidR="00E73313" w:rsidRPr="003002D3" w:rsidRDefault="00E73313" w:rsidP="00E73313">
      <w:pPr>
        <w:pStyle w:val="EndnoteText"/>
        <w:rPr>
          <w:lang w:val="de-DE"/>
        </w:rPr>
      </w:pPr>
      <w:r w:rsidRPr="003002D3">
        <w:rPr>
          <w:rFonts w:ascii="Tahoma" w:hAnsi="Tahoma" w:cs="Tahoma"/>
          <w:i/>
          <w:sz w:val="16"/>
          <w:szCs w:val="16"/>
          <w:lang w:val="de-DE"/>
        </w:rPr>
        <w:t>**Bei Kunden mit weniger als zwei qualifizierenden Lizenzen wird die Lizenzanzahl auf zwei aufgerundet, damit die Lizenzgewährung der Kunden gemäß diesem Angebot festgelegt werden kann</w:t>
      </w:r>
      <w:r w:rsidR="006257A7">
        <w:rPr>
          <w:rFonts w:ascii="Tahoma" w:hAnsi="Tahoma" w:cs="Tahoma"/>
          <w:i/>
          <w:sz w:val="16"/>
          <w:szCs w:val="16"/>
          <w:lang w:val="de-DE"/>
        </w:rPr>
        <w:t xml:space="preserve">. </w:t>
      </w:r>
      <w:r w:rsidRPr="003002D3">
        <w:rPr>
          <w:rFonts w:ascii="Tahoma" w:hAnsi="Tahoma" w:cs="Tahoma"/>
          <w:i/>
          <w:sz w:val="16"/>
          <w:szCs w:val="16"/>
          <w:lang w:val="de-DE"/>
        </w:rPr>
        <w:t>Gleichermaßen wird bei Kunden mit mehr als zwei qualifizierenden Lizenzen die Lizenzanzahl auf das nächste Vielfache von zwei aufgerundet, damit die Lizenzgewährung der Kunden gemäß diesem Angebot festgelegt werden kann</w:t>
      </w:r>
      <w:r w:rsidR="006257A7">
        <w:rPr>
          <w:rFonts w:ascii="Tahoma" w:hAnsi="Tahoma" w:cs="Tahoma"/>
          <w:i/>
          <w:sz w:val="16"/>
          <w:szCs w:val="16"/>
          <w:lang w:val="de-DE"/>
        </w:rPr>
        <w:t xml:space="preserve">. </w:t>
      </w:r>
    </w:p>
    <w:p w:rsidR="00E73313" w:rsidRPr="003002D3" w:rsidRDefault="00E73313" w:rsidP="00E73313">
      <w:pPr>
        <w:spacing w:line="276" w:lineRule="auto"/>
        <w:rPr>
          <w:lang w:val="de-DE"/>
        </w:rPr>
      </w:pPr>
    </w:p>
    <w:p w:rsidR="00E73313" w:rsidRPr="003002D3" w:rsidRDefault="00E73313" w:rsidP="00B56A92">
      <w:pPr>
        <w:pStyle w:val="EndnoteText"/>
        <w:ind w:left="720"/>
        <w:rPr>
          <w:lang w:val="de-DE"/>
        </w:rPr>
      </w:pPr>
      <w:r w:rsidRPr="003002D3">
        <w:rPr>
          <w:rFonts w:ascii="Tahoma" w:hAnsi="Tahoma" w:cs="Tahoma"/>
          <w:sz w:val="18"/>
          <w:szCs w:val="18"/>
          <w:lang w:val="de-DE"/>
        </w:rPr>
        <w:t>Alle im Rahmen dieses Angebots gewährten Lizenzen umfassen Software Assurance</w:t>
      </w:r>
      <w:r w:rsidR="006257A7">
        <w:rPr>
          <w:rFonts w:ascii="Tahoma" w:hAnsi="Tahoma" w:cs="Tahoma"/>
          <w:sz w:val="18"/>
          <w:szCs w:val="18"/>
          <w:lang w:val="de-DE"/>
        </w:rPr>
        <w:t xml:space="preserve">. </w:t>
      </w:r>
      <w:r w:rsidRPr="003002D3">
        <w:rPr>
          <w:rFonts w:ascii="Tahoma" w:hAnsi="Tahoma" w:cs="Tahoma"/>
          <w:sz w:val="18"/>
          <w:szCs w:val="18"/>
          <w:lang w:val="de-DE"/>
        </w:rPr>
        <w:t>Diese gilt bis zum Ablauf von Software Assurance für die qualifizierenden SCE-Lizenzen</w:t>
      </w:r>
      <w:r w:rsidR="006257A7">
        <w:rPr>
          <w:rFonts w:ascii="Tahoma" w:hAnsi="Tahoma" w:cs="Tahoma"/>
          <w:sz w:val="18"/>
          <w:szCs w:val="18"/>
          <w:lang w:val="de-DE"/>
        </w:rPr>
        <w:t xml:space="preserve">. </w:t>
      </w:r>
      <w:r w:rsidRPr="003002D3">
        <w:rPr>
          <w:rFonts w:ascii="Tahoma" w:hAnsi="Tahoma" w:cs="Tahoma"/>
          <w:sz w:val="18"/>
          <w:szCs w:val="18"/>
          <w:lang w:val="de-DE"/>
        </w:rPr>
        <w:t>Danach können die Kunden Software</w:t>
      </w:r>
      <w:r w:rsidR="00B56A92">
        <w:rPr>
          <w:rFonts w:ascii="Tahoma" w:hAnsi="Tahoma" w:cs="Tahoma"/>
          <w:sz w:val="18"/>
          <w:szCs w:val="18"/>
          <w:lang w:val="de-DE"/>
        </w:rPr>
        <w:t> </w:t>
      </w:r>
      <w:r w:rsidRPr="003002D3">
        <w:rPr>
          <w:rFonts w:ascii="Tahoma" w:hAnsi="Tahoma" w:cs="Tahoma"/>
          <w:sz w:val="18"/>
          <w:szCs w:val="18"/>
          <w:lang w:val="de-DE"/>
        </w:rPr>
        <w:t>Assurance für die System Center 2012-Lizenz verlängern</w:t>
      </w:r>
      <w:r w:rsidR="006257A7">
        <w:rPr>
          <w:rFonts w:ascii="Tahoma" w:hAnsi="Tahoma" w:cs="Tahoma"/>
          <w:sz w:val="18"/>
          <w:szCs w:val="18"/>
          <w:lang w:val="de-DE"/>
        </w:rPr>
        <w:t xml:space="preserve">. </w:t>
      </w:r>
    </w:p>
    <w:p w:rsidR="00E73313" w:rsidRPr="003002D3" w:rsidRDefault="00E73313" w:rsidP="00E73313">
      <w:pPr>
        <w:spacing w:line="276" w:lineRule="auto"/>
        <w:rPr>
          <w:lang w:val="de-DE"/>
        </w:rPr>
      </w:pPr>
    </w:p>
    <w:p w:rsidR="00E73313" w:rsidRPr="003002D3" w:rsidRDefault="00E73313" w:rsidP="00B56A92">
      <w:pPr>
        <w:pStyle w:val="EndnoteText"/>
        <w:ind w:left="720"/>
        <w:rPr>
          <w:lang w:val="de-DE"/>
        </w:rPr>
      </w:pPr>
      <w:r w:rsidRPr="003002D3">
        <w:rPr>
          <w:rFonts w:ascii="Tahoma" w:hAnsi="Tahoma" w:cs="Tahoma"/>
          <w:sz w:val="18"/>
          <w:szCs w:val="18"/>
          <w:lang w:val="de-DE"/>
        </w:rPr>
        <w:t>Die Nutzung der laut diesem Angebot gewährten Software unterliegt den Bestimmungen des Lizenzvertrages des Kunden sowie den Produktbenutzungsrechten der Software</w:t>
      </w:r>
      <w:r w:rsidR="006257A7">
        <w:rPr>
          <w:rFonts w:ascii="Tahoma" w:hAnsi="Tahoma" w:cs="Tahoma"/>
          <w:sz w:val="18"/>
          <w:szCs w:val="18"/>
          <w:lang w:val="de-DE"/>
        </w:rPr>
        <w:t xml:space="preserve">. </w:t>
      </w:r>
      <w:r w:rsidRPr="003002D3">
        <w:rPr>
          <w:rFonts w:ascii="Tahoma" w:hAnsi="Tahoma" w:cs="Tahoma"/>
          <w:sz w:val="18"/>
          <w:szCs w:val="18"/>
          <w:lang w:val="de-DE"/>
        </w:rPr>
        <w:t>Das Recht zur Verwendung der gewährten Software gilt bis zum Ablauf des Rechts zur Verwendung der qualifizierenden SCE-Lizenz</w:t>
      </w:r>
      <w:r w:rsidR="006257A7">
        <w:rPr>
          <w:rFonts w:ascii="Tahoma" w:hAnsi="Tahoma" w:cs="Tahoma"/>
          <w:sz w:val="18"/>
          <w:szCs w:val="18"/>
          <w:lang w:val="de-DE"/>
        </w:rPr>
        <w:t xml:space="preserve">. </w:t>
      </w:r>
      <w:r w:rsidRPr="003002D3">
        <w:rPr>
          <w:rFonts w:ascii="Tahoma" w:hAnsi="Tahoma" w:cs="Tahoma"/>
          <w:sz w:val="18"/>
          <w:szCs w:val="18"/>
          <w:lang w:val="de-DE"/>
        </w:rPr>
        <w:t>Im</w:t>
      </w:r>
      <w:r w:rsidR="00B56A92">
        <w:rPr>
          <w:rFonts w:ascii="Tahoma" w:hAnsi="Tahoma" w:cs="Tahoma"/>
          <w:sz w:val="18"/>
          <w:szCs w:val="18"/>
          <w:lang w:val="de-DE"/>
        </w:rPr>
        <w:t> </w:t>
      </w:r>
      <w:r w:rsidRPr="003002D3">
        <w:rPr>
          <w:rFonts w:ascii="Tahoma" w:hAnsi="Tahoma" w:cs="Tahoma"/>
          <w:sz w:val="18"/>
          <w:szCs w:val="18"/>
          <w:lang w:val="de-DE"/>
        </w:rPr>
        <w:t>Rahmen dieses Angebots gewährte Lizenzen dürfen nicht getrennt von den zugehörigen qualifizierenden SCE-Lizenzen übertragen werden</w:t>
      </w:r>
      <w:r w:rsidR="006257A7">
        <w:rPr>
          <w:rFonts w:ascii="Tahoma" w:hAnsi="Tahoma" w:cs="Tahoma"/>
          <w:sz w:val="18"/>
          <w:szCs w:val="18"/>
          <w:lang w:val="de-DE"/>
        </w:rPr>
        <w:t xml:space="preserve">. </w:t>
      </w:r>
    </w:p>
    <w:p w:rsidR="00E73313" w:rsidRPr="003002D3" w:rsidRDefault="00E73313" w:rsidP="00E73313">
      <w:pPr>
        <w:pStyle w:val="EndnoteText"/>
        <w:ind w:left="720"/>
        <w:rPr>
          <w:lang w:val="de-DE"/>
        </w:rPr>
      </w:pPr>
    </w:p>
    <w:p w:rsidR="00E73313" w:rsidRPr="003002D3" w:rsidRDefault="00E73313" w:rsidP="00E73313">
      <w:pPr>
        <w:ind w:left="720"/>
        <w:rPr>
          <w:lang w:val="de-DE"/>
        </w:rPr>
      </w:pPr>
      <w:r w:rsidRPr="003002D3">
        <w:rPr>
          <w:lang w:val="de-DE"/>
        </w:rPr>
        <w:t>Auch nach dem 1</w:t>
      </w:r>
      <w:r w:rsidR="006257A7">
        <w:rPr>
          <w:lang w:val="de-DE"/>
        </w:rPr>
        <w:t xml:space="preserve">. </w:t>
      </w:r>
      <w:r w:rsidRPr="003002D3">
        <w:rPr>
          <w:lang w:val="de-DE"/>
        </w:rPr>
        <w:t xml:space="preserve">März 2013 erworbene </w:t>
      </w:r>
      <w:r w:rsidRPr="003002D3">
        <w:rPr>
          <w:rFonts w:eastAsia="Calibri" w:cs="Tahoma"/>
          <w:color w:val="000000"/>
          <w:szCs w:val="18"/>
          <w:lang w:val="de-DE"/>
        </w:rPr>
        <w:t>SCE</w:t>
      </w:r>
      <w:r w:rsidRPr="003002D3">
        <w:rPr>
          <w:rFonts w:cs="Tahoma"/>
          <w:bCs/>
          <w:szCs w:val="18"/>
          <w:lang w:val="de-DE"/>
        </w:rPr>
        <w:t xml:space="preserve"> -Lizenzen, die im Rahmen des jährlichen True Up-Prozesses für Konzernbeitritte oder Beitritte für Bildungslösungen, bei dem Lizenzen für </w:t>
      </w:r>
      <w:r w:rsidRPr="003002D3">
        <w:rPr>
          <w:rFonts w:eastAsia="Calibri" w:cs="Tahoma"/>
          <w:color w:val="000000"/>
          <w:szCs w:val="18"/>
          <w:lang w:val="de-DE"/>
        </w:rPr>
        <w:t>SCE</w:t>
      </w:r>
      <w:r w:rsidRPr="003002D3">
        <w:rPr>
          <w:rFonts w:cs="Tahoma"/>
          <w:bCs/>
          <w:szCs w:val="18"/>
          <w:lang w:val="de-DE"/>
        </w:rPr>
        <w:t xml:space="preserve"> vor dem 1</w:t>
      </w:r>
      <w:r w:rsidR="006257A7">
        <w:rPr>
          <w:rFonts w:cs="Tahoma"/>
          <w:bCs/>
          <w:szCs w:val="18"/>
          <w:lang w:val="de-DE"/>
        </w:rPr>
        <w:t xml:space="preserve">. </w:t>
      </w:r>
      <w:r w:rsidRPr="003002D3">
        <w:rPr>
          <w:rFonts w:cs="Tahoma"/>
          <w:bCs/>
          <w:szCs w:val="18"/>
          <w:lang w:val="de-DE"/>
        </w:rPr>
        <w:t>März 2013 erworben wurden, sind im Sinne dieses Angebots ebenfalls qualifizierende SCE-Lizenzen</w:t>
      </w:r>
      <w:r w:rsidR="006257A7">
        <w:rPr>
          <w:rFonts w:cs="Tahoma"/>
          <w:bCs/>
          <w:szCs w:val="18"/>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r w:rsidRPr="003002D3">
        <w:rPr>
          <w:rFonts w:cs="Tahoma"/>
          <w:bCs/>
          <w:szCs w:val="18"/>
          <w:lang w:val="de-DE"/>
        </w:rPr>
        <w:t>Für den Beitritt für Bildungslösungen, Konzern-Abonnement-Verträge, Campus- und School-Verträge und Open Value Subscription-Vertragskunden werden vorübergehend bis zum Ende der Lizenz-Beitrittslaufzeit die gleichen Rechte gewährt, sofern die Lizenzen und die Software Assurance während des Gewährungszeitraums gültig sind und der Kunde das Abonnement ununterbrochen aufrechterhält</w:t>
      </w:r>
      <w:r w:rsidR="006257A7">
        <w:rPr>
          <w:rFonts w:cs="Tahoma"/>
          <w:bCs/>
          <w:szCs w:val="18"/>
          <w:lang w:val="de-DE"/>
        </w:rPr>
        <w:t xml:space="preserve">. </w:t>
      </w:r>
      <w:r w:rsidRPr="003002D3">
        <w:rPr>
          <w:rFonts w:cs="Tahoma"/>
          <w:bCs/>
          <w:szCs w:val="18"/>
          <w:lang w:val="de-DE"/>
        </w:rPr>
        <w:t>Diese Rechte werden erst nach Ausübung der Buy-Out-Option zeitlich unbeschränkt und unterliegen weiterhin allen Bestimmungen des Lizenzvertrages des Kunden</w:t>
      </w:r>
      <w:r w:rsidR="006257A7">
        <w:rPr>
          <w:rFonts w:cs="Tahoma"/>
          <w:bCs/>
          <w:szCs w:val="18"/>
          <w:lang w:val="de-DE"/>
        </w:rPr>
        <w:t xml:space="preserve">. </w:t>
      </w:r>
    </w:p>
    <w:p w:rsidR="00E73313" w:rsidRPr="003002D3" w:rsidRDefault="00E73313" w:rsidP="00E73313">
      <w:pPr>
        <w:spacing w:after="60"/>
        <w:ind w:left="720"/>
        <w:rPr>
          <w:lang w:val="de-DE"/>
        </w:rPr>
      </w:pPr>
    </w:p>
    <w:p w:rsidR="00E73313" w:rsidRPr="003002D3" w:rsidRDefault="00E73313" w:rsidP="00E73313">
      <w:pPr>
        <w:spacing w:after="60"/>
        <w:ind w:left="720"/>
        <w:rPr>
          <w:lang w:val="de-DE"/>
        </w:rPr>
      </w:pPr>
      <w:r w:rsidRPr="003002D3">
        <w:rPr>
          <w:rFonts w:cs="Tahoma"/>
          <w:b/>
          <w:color w:val="000000"/>
          <w:szCs w:val="20"/>
          <w:lang w:val="de-DE"/>
        </w:rPr>
        <w:t>Migrationspfad von System Center Essentials 2007 (SCE 2007) auf System Center Essentials 2010 (SCE 2010)</w:t>
      </w:r>
    </w:p>
    <w:p w:rsidR="00E73313" w:rsidRPr="003002D3" w:rsidRDefault="00E73313" w:rsidP="00B56A92">
      <w:pPr>
        <w:ind w:left="720"/>
        <w:rPr>
          <w:lang w:val="de-DE"/>
        </w:rPr>
      </w:pPr>
      <w:r w:rsidRPr="003002D3">
        <w:rPr>
          <w:rFonts w:cs="Tahoma"/>
          <w:color w:val="000000"/>
          <w:szCs w:val="20"/>
          <w:lang w:val="de-DE"/>
        </w:rPr>
        <w:t>Die Bestimmungen, die das Recht der Kunden auf ein Upgrade von SCE 2007 auf SCE 2010 gemäß Software</w:t>
      </w:r>
      <w:r w:rsidR="00B56A92">
        <w:rPr>
          <w:rFonts w:cs="Tahoma"/>
          <w:color w:val="000000"/>
          <w:szCs w:val="20"/>
          <w:lang w:val="de-DE"/>
        </w:rPr>
        <w:t> </w:t>
      </w:r>
      <w:r w:rsidRPr="003002D3">
        <w:rPr>
          <w:rFonts w:cs="Tahoma"/>
          <w:color w:val="000000"/>
          <w:szCs w:val="20"/>
          <w:lang w:val="de-DE"/>
        </w:rPr>
        <w:t>Assurance regeln, finden Sie in der Produktliste vom Februar 2013</w:t>
      </w:r>
      <w:r w:rsidR="006257A7">
        <w:rPr>
          <w:rFonts w:cs="Tahoma"/>
          <w:color w:val="000000"/>
          <w:szCs w:val="20"/>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p>
    <w:p w:rsidR="00E73313" w:rsidRPr="003002D3" w:rsidRDefault="00E73313" w:rsidP="00E73313">
      <w:pPr>
        <w:pStyle w:val="Heading3"/>
        <w:rPr>
          <w:lang w:val="de-DE"/>
        </w:rPr>
      </w:pPr>
      <w:bookmarkStart w:id="1516" w:name="_80_System_Center"/>
      <w:bookmarkStart w:id="1517" w:name="_95_System_Center"/>
      <w:bookmarkStart w:id="1518" w:name="_81_System_Center"/>
      <w:bookmarkStart w:id="1519" w:name="_82_System_Center"/>
      <w:bookmarkStart w:id="1520" w:name="_83_System_Center"/>
      <w:bookmarkStart w:id="1521" w:name="_84__System"/>
      <w:bookmarkStart w:id="1522" w:name="_87_85_System"/>
      <w:bookmarkStart w:id="1523" w:name="_92_System_Center"/>
      <w:bookmarkStart w:id="1524" w:name="_Toc336338353"/>
      <w:bookmarkStart w:id="1525" w:name="_Toc363999089"/>
      <w:bookmarkStart w:id="1526" w:name="Srv_88SystemCtrReportMgr2006"/>
      <w:bookmarkStart w:id="1527" w:name="Srv_89SysCtrSvrMgmtSuiteEnterprise"/>
      <w:bookmarkEnd w:id="1516"/>
      <w:bookmarkEnd w:id="1517"/>
      <w:bookmarkEnd w:id="1518"/>
      <w:bookmarkEnd w:id="1519"/>
      <w:bookmarkEnd w:id="1520"/>
      <w:bookmarkEnd w:id="1521"/>
      <w:bookmarkEnd w:id="1522"/>
      <w:bookmarkEnd w:id="1523"/>
      <w:r w:rsidRPr="003002D3">
        <w:rPr>
          <w:rFonts w:ascii="Tahoma" w:hAnsi="Tahoma"/>
          <w:caps/>
          <w:color w:val="F66400"/>
          <w:sz w:val="22"/>
          <w:vertAlign w:val="superscript"/>
          <w:lang w:val="de-DE"/>
        </w:rPr>
        <w:t>92</w:t>
      </w:r>
      <w:r w:rsidRPr="003002D3">
        <w:rPr>
          <w:rFonts w:ascii="Tahoma" w:hAnsi="Tahoma"/>
          <w:color w:val="F66400"/>
          <w:sz w:val="22"/>
          <w:lang w:val="de-DE"/>
        </w:rPr>
        <w:t xml:space="preserve"> System Center Reporting Manager 2006</w:t>
      </w:r>
      <w:bookmarkEnd w:id="1524"/>
      <w:bookmarkEnd w:id="1525"/>
    </w:p>
    <w:bookmarkEnd w:id="1526"/>
    <w:p w:rsidR="00E73313" w:rsidRPr="003002D3" w:rsidRDefault="00E73313" w:rsidP="00E73313">
      <w:pPr>
        <w:pStyle w:val="EndnoteText"/>
        <w:ind w:left="0"/>
        <w:rPr>
          <w:lang w:val="de-DE"/>
        </w:rPr>
      </w:pPr>
    </w:p>
    <w:p w:rsidR="00E73313" w:rsidRPr="003002D3" w:rsidRDefault="00E73313" w:rsidP="00E73313">
      <w:pPr>
        <w:pStyle w:val="EndnoteText"/>
        <w:ind w:left="720"/>
        <w:rPr>
          <w:lang w:val="de-DE"/>
        </w:rPr>
      </w:pPr>
      <w:r w:rsidRPr="003002D3">
        <w:rPr>
          <w:rFonts w:ascii="Tahoma" w:hAnsi="Tahoma" w:cs="Tahoma"/>
          <w:sz w:val="18"/>
          <w:lang w:val="de-DE"/>
        </w:rPr>
        <w:t>Dieses Produkt hat den Status End-Of-Life (EOL) und wird nicht mehr angeboten</w:t>
      </w:r>
      <w:r w:rsidR="006257A7">
        <w:rPr>
          <w:rFonts w:ascii="Tahoma" w:hAnsi="Tahoma" w:cs="Tahoma"/>
          <w:sz w:val="18"/>
          <w:lang w:val="de-DE"/>
        </w:rPr>
        <w:t xml:space="preserve">. </w:t>
      </w:r>
    </w:p>
    <w:p w:rsidR="00E73313" w:rsidRPr="003002D3" w:rsidRDefault="00E73313" w:rsidP="00E73313">
      <w:pPr>
        <w:pStyle w:val="EndnoteText"/>
        <w:ind w:left="720"/>
        <w:rPr>
          <w:lang w:val="de-DE"/>
        </w:rPr>
      </w:pPr>
    </w:p>
    <w:p w:rsidR="00E73313" w:rsidRPr="003002D3" w:rsidRDefault="00E73313" w:rsidP="00B56A92">
      <w:pPr>
        <w:pStyle w:val="EndnoteText"/>
        <w:spacing w:after="60"/>
        <w:ind w:left="720"/>
        <w:rPr>
          <w:lang w:val="de-DE"/>
        </w:rPr>
      </w:pPr>
      <w:r w:rsidRPr="003002D3">
        <w:rPr>
          <w:rFonts w:ascii="Tahoma" w:hAnsi="Tahoma" w:cs="Tahoma"/>
          <w:b/>
          <w:sz w:val="18"/>
          <w:lang w:val="de-DE"/>
        </w:rPr>
        <w:t>Einmalige Lizenzgewährung für Inhaber von Lizenzen für System Center Reporting Manager</w:t>
      </w:r>
      <w:r w:rsidR="00B56A92">
        <w:rPr>
          <w:rFonts w:ascii="Tahoma" w:hAnsi="Tahoma" w:cs="Tahoma"/>
          <w:b/>
          <w:sz w:val="18"/>
          <w:lang w:val="de-DE"/>
        </w:rPr>
        <w:t> </w:t>
      </w:r>
      <w:r w:rsidRPr="003002D3">
        <w:rPr>
          <w:rFonts w:ascii="Tahoma" w:hAnsi="Tahoma" w:cs="Tahoma"/>
          <w:b/>
          <w:sz w:val="18"/>
          <w:lang w:val="de-DE"/>
        </w:rPr>
        <w:t>2006</w:t>
      </w:r>
    </w:p>
    <w:p w:rsidR="00E73313" w:rsidRPr="003002D3" w:rsidRDefault="00E73313" w:rsidP="00E73313">
      <w:pPr>
        <w:pStyle w:val="EndnoteText"/>
        <w:ind w:left="720"/>
        <w:rPr>
          <w:lang w:val="de-DE"/>
        </w:rPr>
      </w:pPr>
      <w:r w:rsidRPr="003002D3">
        <w:rPr>
          <w:rFonts w:ascii="Tahoma" w:hAnsi="Tahoma" w:cs="Tahoma"/>
          <w:sz w:val="18"/>
          <w:lang w:val="de-DE"/>
        </w:rPr>
        <w:t>Als einmalige Ausnahme im Zusammenhang mit der Einstellung von System Center Reporting Manager 2006 gewähren wir Select-, Konzern-, Open-Lizenz- und Open Value-Kunden sowie Kunden mit Campus- und School-Vertrag mit aktiver Software Assurance für jede Lizenz für System Center Reporting Manager 2006 ab dem 31</w:t>
      </w:r>
      <w:r w:rsidR="006257A7">
        <w:rPr>
          <w:rFonts w:ascii="Tahoma" w:hAnsi="Tahoma" w:cs="Tahoma"/>
          <w:sz w:val="18"/>
          <w:lang w:val="de-DE"/>
        </w:rPr>
        <w:t xml:space="preserve">. </w:t>
      </w:r>
      <w:r w:rsidRPr="003002D3">
        <w:rPr>
          <w:rFonts w:ascii="Tahoma" w:hAnsi="Tahoma" w:cs="Tahoma"/>
          <w:sz w:val="18"/>
          <w:lang w:val="de-DE"/>
        </w:rPr>
        <w:t>Mai 2010 die folgenden Lizenzen ohne zusätzliche Kosten abgesehen von den Medienkosten (sofern zutreffend)</w:t>
      </w:r>
      <w:r w:rsidRPr="003002D3">
        <w:rPr>
          <w:rFonts w:ascii="Tahoma" w:hAnsi="Tahoma" w:cs="Tahoma"/>
          <w:color w:val="000000"/>
          <w:sz w:val="18"/>
          <w:szCs w:val="20"/>
          <w:lang w:val="de-DE"/>
        </w:rPr>
        <w:t>:</w:t>
      </w:r>
    </w:p>
    <w:p w:rsidR="00E73313" w:rsidRPr="003002D3" w:rsidRDefault="00E73313" w:rsidP="00E73313">
      <w:pPr>
        <w:pStyle w:val="EndnoteText"/>
        <w:rPr>
          <w:lang w:val="de-DE"/>
        </w:rPr>
      </w:pPr>
    </w:p>
    <w:p w:rsidR="00E73313" w:rsidRPr="003002D3" w:rsidRDefault="00E73313" w:rsidP="00E73313">
      <w:pPr>
        <w:pStyle w:val="EndnoteText"/>
        <w:numPr>
          <w:ilvl w:val="0"/>
          <w:numId w:val="7"/>
        </w:numPr>
        <w:tabs>
          <w:tab w:val="left" w:pos="1440"/>
        </w:tabs>
        <w:spacing w:after="60"/>
        <w:ind w:left="1440"/>
        <w:rPr>
          <w:lang w:val="de-DE"/>
        </w:rPr>
      </w:pPr>
      <w:r w:rsidRPr="003002D3">
        <w:rPr>
          <w:rFonts w:ascii="Tahoma" w:hAnsi="Tahoma" w:cs="Tahoma"/>
          <w:sz w:val="18"/>
          <w:lang w:val="de-DE"/>
        </w:rPr>
        <w:t>Eine Lizenz für System Center Service Manager 2010 Management Server (ohne SQL-Technologie)</w:t>
      </w:r>
    </w:p>
    <w:p w:rsidR="00E73313" w:rsidRPr="003002D3" w:rsidRDefault="00E73313" w:rsidP="00E73313">
      <w:pPr>
        <w:pStyle w:val="EndnoteText"/>
        <w:numPr>
          <w:ilvl w:val="0"/>
          <w:numId w:val="7"/>
        </w:numPr>
        <w:spacing w:after="60"/>
        <w:ind w:left="1440"/>
        <w:rPr>
          <w:lang w:val="de-DE"/>
        </w:rPr>
      </w:pPr>
      <w:r w:rsidRPr="003002D3">
        <w:rPr>
          <w:rFonts w:ascii="Tahoma" w:hAnsi="Tahoma" w:cs="Tahoma"/>
          <w:sz w:val="18"/>
          <w:lang w:val="de-DE"/>
        </w:rPr>
        <w:t>Fünf Server-Management-Lizenzen für System Center Service Manager 2010</w:t>
      </w:r>
    </w:p>
    <w:p w:rsidR="00E73313" w:rsidRPr="003002D3" w:rsidRDefault="00E73313" w:rsidP="00E73313">
      <w:pPr>
        <w:pStyle w:val="EndnoteText"/>
        <w:numPr>
          <w:ilvl w:val="0"/>
          <w:numId w:val="7"/>
        </w:numPr>
        <w:spacing w:after="60"/>
        <w:ind w:left="1440"/>
        <w:rPr>
          <w:lang w:val="de-DE"/>
        </w:rPr>
      </w:pPr>
      <w:r w:rsidRPr="003002D3">
        <w:rPr>
          <w:rFonts w:ascii="Tahoma" w:hAnsi="Tahoma" w:cs="Tahoma"/>
          <w:sz w:val="18"/>
          <w:lang w:val="de-DE"/>
        </w:rPr>
        <w:t>Dreißig Client-Management-Lizenzen für System Center Service Manager 2010</w:t>
      </w:r>
    </w:p>
    <w:p w:rsidR="00E73313" w:rsidRPr="003002D3" w:rsidRDefault="00E73313" w:rsidP="00E73313">
      <w:pPr>
        <w:pStyle w:val="EndnoteText"/>
        <w:ind w:left="0"/>
        <w:rPr>
          <w:lang w:val="de-DE"/>
        </w:rPr>
      </w:pPr>
    </w:p>
    <w:p w:rsidR="00E73313" w:rsidRPr="003002D3" w:rsidRDefault="00E73313" w:rsidP="00E73313">
      <w:pPr>
        <w:pStyle w:val="EndnoteText"/>
        <w:ind w:left="720"/>
        <w:rPr>
          <w:lang w:val="de-DE"/>
        </w:rPr>
      </w:pPr>
      <w:r w:rsidRPr="003002D3">
        <w:rPr>
          <w:rFonts w:ascii="Tahoma" w:hAnsi="Tahoma" w:cs="Tahoma"/>
          <w:sz w:val="18"/>
          <w:lang w:val="de-DE"/>
        </w:rPr>
        <w:t>Alle im Rahmen dieses Angebots gewährten Lizenzen umfassen Software Assurance</w:t>
      </w:r>
      <w:r w:rsidR="006257A7">
        <w:rPr>
          <w:rFonts w:ascii="Tahoma" w:hAnsi="Tahoma" w:cs="Tahoma"/>
          <w:sz w:val="18"/>
          <w:lang w:val="de-DE"/>
        </w:rPr>
        <w:t xml:space="preserve">. </w:t>
      </w:r>
      <w:r w:rsidRPr="003002D3">
        <w:rPr>
          <w:rFonts w:ascii="Tahoma" w:hAnsi="Tahoma" w:cs="Tahoma"/>
          <w:sz w:val="18"/>
          <w:lang w:val="de-DE"/>
        </w:rPr>
        <w:t>Diese gilt bis zum Ablauf von Software Assurance für System Center Reporting Manager 2006</w:t>
      </w:r>
      <w:r w:rsidR="006257A7">
        <w:rPr>
          <w:rFonts w:ascii="Tahoma" w:hAnsi="Tahoma" w:cs="Tahoma"/>
          <w:sz w:val="18"/>
          <w:lang w:val="de-DE"/>
        </w:rPr>
        <w:t xml:space="preserve">. </w:t>
      </w:r>
      <w:r w:rsidRPr="003002D3">
        <w:rPr>
          <w:rFonts w:ascii="Tahoma" w:hAnsi="Tahoma" w:cs="Tahoma"/>
          <w:sz w:val="18"/>
          <w:lang w:val="de-DE"/>
        </w:rPr>
        <w:t>Danach können die Kunden Software Assurance für die gewährten Lizenzen verlängern</w:t>
      </w:r>
      <w:r w:rsidR="006257A7">
        <w:rPr>
          <w:rFonts w:ascii="Tahoma" w:hAnsi="Tahoma" w:cs="Tahoma"/>
          <w:sz w:val="18"/>
          <w:lang w:val="de-DE"/>
        </w:rPr>
        <w:t xml:space="preserve">. </w:t>
      </w:r>
    </w:p>
    <w:p w:rsidR="00E73313" w:rsidRDefault="00E73313" w:rsidP="00E73313">
      <w:pPr>
        <w:pStyle w:val="EndnoteText"/>
        <w:ind w:left="720"/>
        <w:rPr>
          <w:lang w:val="de-DE"/>
        </w:rPr>
      </w:pPr>
    </w:p>
    <w:p w:rsidR="00E73313" w:rsidRPr="003002D3" w:rsidRDefault="00E73313" w:rsidP="00B56A92">
      <w:pPr>
        <w:pStyle w:val="EndnoteText"/>
        <w:ind w:left="720"/>
        <w:rPr>
          <w:lang w:val="de-DE"/>
        </w:rPr>
      </w:pPr>
      <w:r w:rsidRPr="003002D3">
        <w:rPr>
          <w:rFonts w:ascii="Tahoma" w:hAnsi="Tahoma" w:cs="Tahoma"/>
          <w:sz w:val="18"/>
          <w:lang w:val="de-DE"/>
        </w:rPr>
        <w:t>Die Nutzung der laut diesem Angebot gewährten Software unterliegt den Bestimmungen des Lizenzvertrages des Kunden sowie den Produktbenutzungsrechten der Software</w:t>
      </w:r>
      <w:r w:rsidR="006257A7">
        <w:rPr>
          <w:rFonts w:ascii="Tahoma" w:hAnsi="Tahoma" w:cs="Tahoma"/>
          <w:sz w:val="18"/>
          <w:lang w:val="de-DE"/>
        </w:rPr>
        <w:t xml:space="preserve">. </w:t>
      </w:r>
      <w:r w:rsidRPr="003002D3">
        <w:rPr>
          <w:rFonts w:ascii="Tahoma" w:hAnsi="Tahoma" w:cs="Tahoma"/>
          <w:sz w:val="18"/>
          <w:lang w:val="de-DE"/>
        </w:rPr>
        <w:t>Das Recht zur Nutzung der</w:t>
      </w:r>
      <w:r w:rsidR="00B56A92">
        <w:rPr>
          <w:rFonts w:ascii="Tahoma" w:hAnsi="Tahoma" w:cs="Tahoma"/>
          <w:sz w:val="18"/>
          <w:lang w:val="de-DE"/>
        </w:rPr>
        <w:t> </w:t>
      </w:r>
      <w:r w:rsidRPr="003002D3">
        <w:rPr>
          <w:rFonts w:ascii="Tahoma" w:hAnsi="Tahoma" w:cs="Tahoma"/>
          <w:sz w:val="18"/>
          <w:lang w:val="de-DE"/>
        </w:rPr>
        <w:t>gewährten Software gilt bis zum Ablauf des Rechts zur Nutzung der qualifizierenden Lizenz für System Center Reporting Manager 2006</w:t>
      </w:r>
      <w:r w:rsidR="006257A7">
        <w:rPr>
          <w:rFonts w:ascii="Tahoma" w:hAnsi="Tahoma" w:cs="Tahoma"/>
          <w:sz w:val="18"/>
          <w:lang w:val="de-DE"/>
        </w:rPr>
        <w:t xml:space="preserve">. </w:t>
      </w:r>
      <w:r w:rsidRPr="003002D3">
        <w:rPr>
          <w:rFonts w:ascii="Tahoma" w:hAnsi="Tahoma" w:cs="Tahoma"/>
          <w:sz w:val="18"/>
          <w:lang w:val="de-DE"/>
        </w:rPr>
        <w:t>Im Rahmen dieses Angebots gewährte Lizenzen dürfen nicht getrennt von</w:t>
      </w:r>
      <w:r w:rsidR="00B56A92">
        <w:rPr>
          <w:rFonts w:ascii="Tahoma" w:hAnsi="Tahoma" w:cs="Tahoma"/>
          <w:sz w:val="18"/>
          <w:lang w:val="de-DE"/>
        </w:rPr>
        <w:t> </w:t>
      </w:r>
      <w:r w:rsidRPr="003002D3">
        <w:rPr>
          <w:rFonts w:ascii="Tahoma" w:hAnsi="Tahoma" w:cs="Tahoma"/>
          <w:sz w:val="18"/>
          <w:lang w:val="de-DE"/>
        </w:rPr>
        <w:t>den zugehörigen qualifizierenden Lizenzen übertragen werden</w:t>
      </w:r>
      <w:r w:rsidR="006257A7">
        <w:rPr>
          <w:rFonts w:ascii="Tahoma" w:hAnsi="Tahoma" w:cs="Tahoma"/>
          <w:sz w:val="18"/>
          <w:lang w:val="de-DE"/>
        </w:rPr>
        <w:t xml:space="preserve">. </w:t>
      </w:r>
    </w:p>
    <w:p w:rsidR="00E73313" w:rsidRPr="003002D3" w:rsidRDefault="00E73313" w:rsidP="00E73313">
      <w:pPr>
        <w:pStyle w:val="EndnoteText"/>
        <w:ind w:left="720"/>
        <w:rPr>
          <w:lang w:val="de-DE"/>
        </w:rPr>
      </w:pPr>
    </w:p>
    <w:p w:rsidR="00E73313" w:rsidRPr="003002D3" w:rsidRDefault="00E73313" w:rsidP="00E73313">
      <w:pPr>
        <w:ind w:left="720"/>
        <w:rPr>
          <w:lang w:val="de-DE"/>
        </w:rPr>
      </w:pPr>
      <w:r w:rsidRPr="003002D3">
        <w:rPr>
          <w:rFonts w:eastAsia="Calibri" w:cs="Tahoma"/>
          <w:color w:val="000000"/>
          <w:szCs w:val="18"/>
          <w:lang w:val="de-DE"/>
        </w:rPr>
        <w:t>System Center Reporting Manager 2006-</w:t>
      </w:r>
      <w:r w:rsidRPr="003002D3">
        <w:rPr>
          <w:rFonts w:cs="Tahoma"/>
          <w:bCs/>
          <w:szCs w:val="18"/>
          <w:lang w:val="de-DE"/>
        </w:rPr>
        <w:t xml:space="preserve"> Lizenzen, die nach dem 31</w:t>
      </w:r>
      <w:r w:rsidR="006257A7">
        <w:rPr>
          <w:rFonts w:cs="Tahoma"/>
          <w:bCs/>
          <w:szCs w:val="18"/>
          <w:lang w:val="de-DE"/>
        </w:rPr>
        <w:t xml:space="preserve">. </w:t>
      </w:r>
      <w:r w:rsidRPr="003002D3">
        <w:rPr>
          <w:rFonts w:cs="Tahoma"/>
          <w:bCs/>
          <w:szCs w:val="18"/>
          <w:lang w:val="de-DE"/>
        </w:rPr>
        <w:t xml:space="preserve">Mai 2010 im Rahmen des jährlichen True Up-Prozesses für Konzernbeitritte erworben wurden, bei dem Lizenzen für </w:t>
      </w:r>
      <w:r w:rsidRPr="003002D3">
        <w:rPr>
          <w:rFonts w:eastAsia="Calibri" w:cs="Tahoma"/>
          <w:color w:val="000000"/>
          <w:szCs w:val="18"/>
          <w:lang w:val="de-DE"/>
        </w:rPr>
        <w:t>System Center Reporting Manager 2006</w:t>
      </w:r>
      <w:r w:rsidRPr="003002D3">
        <w:rPr>
          <w:rFonts w:cs="Tahoma"/>
          <w:bCs/>
          <w:szCs w:val="18"/>
          <w:lang w:val="de-DE"/>
        </w:rPr>
        <w:t xml:space="preserve"> erstmals vor dem 31</w:t>
      </w:r>
      <w:r w:rsidR="006257A7">
        <w:rPr>
          <w:rFonts w:cs="Tahoma"/>
          <w:bCs/>
          <w:szCs w:val="18"/>
          <w:lang w:val="de-DE"/>
        </w:rPr>
        <w:t xml:space="preserve">. </w:t>
      </w:r>
      <w:r w:rsidRPr="003002D3">
        <w:rPr>
          <w:rFonts w:cs="Tahoma"/>
          <w:bCs/>
          <w:szCs w:val="18"/>
          <w:lang w:val="de-DE"/>
        </w:rPr>
        <w:t>Mai 2010 erworben wurden, berechtigen im Rahmen dieses Angebots zu Lizenzen für System Center Service Manager 2010 Management Server und Server-/Client-Management-Lizenzen</w:t>
      </w:r>
      <w:r w:rsidR="006257A7">
        <w:rPr>
          <w:rFonts w:cs="Tahoma"/>
          <w:bCs/>
          <w:szCs w:val="18"/>
          <w:lang w:val="de-DE"/>
        </w:rPr>
        <w:t xml:space="preserve">. </w:t>
      </w:r>
    </w:p>
    <w:p w:rsidR="00E73313" w:rsidRPr="003002D3" w:rsidRDefault="00E73313" w:rsidP="00E73313">
      <w:pPr>
        <w:ind w:left="720"/>
        <w:rPr>
          <w:lang w:val="de-DE"/>
        </w:rPr>
      </w:pPr>
    </w:p>
    <w:p w:rsidR="00E73313" w:rsidRPr="003002D3" w:rsidRDefault="00E73313" w:rsidP="00E73313">
      <w:pPr>
        <w:pStyle w:val="EndnoteText"/>
        <w:ind w:left="720"/>
        <w:rPr>
          <w:lang w:val="de-DE"/>
        </w:rPr>
      </w:pPr>
      <w:r w:rsidRPr="003002D3">
        <w:rPr>
          <w:rFonts w:ascii="Tahoma" w:hAnsi="Tahoma" w:cs="Tahoma"/>
          <w:bCs/>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6257A7">
        <w:rPr>
          <w:rFonts w:ascii="Tahoma" w:hAnsi="Tahoma" w:cs="Tahoma"/>
          <w:bCs/>
          <w:sz w:val="18"/>
          <w:szCs w:val="18"/>
          <w:lang w:val="de-DE"/>
        </w:rPr>
        <w:t xml:space="preserve">. </w:t>
      </w:r>
      <w:r w:rsidRPr="003002D3">
        <w:rPr>
          <w:rFonts w:ascii="Tahoma" w:hAnsi="Tahoma" w:cs="Tahoma"/>
          <w:bCs/>
          <w:sz w:val="18"/>
          <w:szCs w:val="18"/>
          <w:lang w:val="de-DE"/>
        </w:rPr>
        <w:t>Diese Rechte werden erst nach Ausübung der Buy-Out-Option zeitlich unbeschränkt und unterliegen weiterhin allen Bestimmungen des Lizenzvertrages des Kunden</w:t>
      </w:r>
      <w:r w:rsidR="006257A7">
        <w:rPr>
          <w:rFonts w:ascii="Tahoma" w:hAnsi="Tahoma" w:cs="Tahoma"/>
          <w:bCs/>
          <w:sz w:val="18"/>
          <w:szCs w:val="18"/>
          <w:lang w:val="de-DE"/>
        </w:rPr>
        <w:t xml:space="preserve">. </w:t>
      </w:r>
    </w:p>
    <w:p w:rsidR="00E73313" w:rsidRPr="003002D3" w:rsidRDefault="00E73313" w:rsidP="00E73313">
      <w:pPr>
        <w:pStyle w:val="EndnoteText"/>
        <w:rPr>
          <w:lang w:val="de-DE"/>
        </w:rPr>
      </w:pPr>
    </w:p>
    <w:p w:rsidR="00E73313" w:rsidRPr="003002D3" w:rsidRDefault="00E73313" w:rsidP="00E73313">
      <w:pPr>
        <w:pStyle w:val="EndnoteText"/>
        <w:rPr>
          <w:lang w:val="de-DE"/>
        </w:rPr>
      </w:pPr>
    </w:p>
    <w:p w:rsidR="00E73313" w:rsidRPr="003002D3" w:rsidRDefault="00E73313" w:rsidP="00E73313">
      <w:pPr>
        <w:pStyle w:val="Heading3"/>
        <w:rPr>
          <w:lang w:val="de-DE"/>
        </w:rPr>
      </w:pPr>
      <w:bookmarkStart w:id="1528" w:name="Srv_85SysCtrSvrMgmtSuiteEnterprise"/>
      <w:bookmarkStart w:id="1529" w:name="_85_System_Center"/>
      <w:bookmarkStart w:id="1530" w:name="_98_System_Center"/>
      <w:bookmarkStart w:id="1531" w:name="_93_System_Center"/>
      <w:bookmarkStart w:id="1532" w:name="_Toc336338354"/>
      <w:bookmarkStart w:id="1533" w:name="_Toc363999090"/>
      <w:bookmarkEnd w:id="1528"/>
      <w:bookmarkEnd w:id="1529"/>
      <w:bookmarkEnd w:id="1530"/>
      <w:bookmarkEnd w:id="1531"/>
      <w:r w:rsidRPr="003002D3">
        <w:rPr>
          <w:rFonts w:ascii="Tahoma" w:hAnsi="Tahoma"/>
          <w:caps/>
          <w:color w:val="F66400"/>
          <w:sz w:val="22"/>
          <w:vertAlign w:val="superscript"/>
          <w:lang w:val="de-DE"/>
        </w:rPr>
        <w:t>93</w:t>
      </w:r>
      <w:r w:rsidRPr="00B56A92">
        <w:rPr>
          <w:rFonts w:ascii="Tahoma" w:hAnsi="Tahoma"/>
          <w:caps/>
          <w:color w:val="F66400"/>
          <w:sz w:val="22"/>
          <w:lang w:val="de-DE"/>
        </w:rPr>
        <w:t xml:space="preserve"> </w:t>
      </w:r>
      <w:r w:rsidRPr="003002D3">
        <w:rPr>
          <w:rFonts w:ascii="Tahoma" w:hAnsi="Tahoma"/>
          <w:color w:val="F66400"/>
          <w:sz w:val="22"/>
          <w:lang w:val="de-DE"/>
        </w:rPr>
        <w:t>System Center Server Management Suite Enterprise</w:t>
      </w:r>
      <w:bookmarkEnd w:id="1532"/>
      <w:bookmarkEnd w:id="1533"/>
    </w:p>
    <w:bookmarkEnd w:id="1527"/>
    <w:p w:rsidR="00E73313" w:rsidRPr="003002D3" w:rsidRDefault="00E73313" w:rsidP="00E73313">
      <w:pPr>
        <w:pStyle w:val="EndnoteText"/>
        <w:ind w:left="720"/>
        <w:rPr>
          <w:lang w:val="de-DE"/>
        </w:rPr>
      </w:pPr>
    </w:p>
    <w:p w:rsidR="00E73313" w:rsidRPr="003002D3" w:rsidRDefault="00E73313" w:rsidP="00E73313">
      <w:pPr>
        <w:pStyle w:val="EndnoteText"/>
        <w:ind w:left="720"/>
        <w:rPr>
          <w:lang w:val="de-DE"/>
        </w:rPr>
      </w:pPr>
      <w:r w:rsidRPr="003002D3">
        <w:rPr>
          <w:rFonts w:ascii="Tahoma" w:hAnsi="Tahoma" w:cs="Tahoma"/>
          <w:color w:val="000000"/>
          <w:sz w:val="18"/>
          <w:lang w:val="de-DE"/>
        </w:rPr>
        <w:t>Dieses Produkt hat den Status End-Of-Life (EOL) und wird nicht mehr angeboten</w:t>
      </w:r>
      <w:r w:rsidR="006257A7">
        <w:rPr>
          <w:rFonts w:ascii="Tahoma" w:hAnsi="Tahoma" w:cs="Tahoma"/>
          <w:color w:val="000000"/>
          <w:sz w:val="18"/>
          <w:lang w:val="de-DE"/>
        </w:rPr>
        <w:t xml:space="preserve">. </w:t>
      </w:r>
    </w:p>
    <w:p w:rsidR="00E73313" w:rsidRPr="003002D3" w:rsidRDefault="00E73313" w:rsidP="00E73313">
      <w:pPr>
        <w:pStyle w:val="EndnoteText"/>
        <w:ind w:left="720"/>
        <w:rPr>
          <w:lang w:val="de-DE"/>
        </w:rPr>
      </w:pPr>
    </w:p>
    <w:p w:rsidR="00E73313" w:rsidRPr="003002D3" w:rsidRDefault="00E73313" w:rsidP="00E73313">
      <w:pPr>
        <w:pStyle w:val="FootnoteBulletLevel1"/>
        <w:tabs>
          <w:tab w:val="clear" w:pos="900"/>
        </w:tabs>
        <w:spacing w:before="0" w:after="60"/>
        <w:ind w:left="720" w:firstLine="0"/>
        <w:rPr>
          <w:lang w:val="de-DE"/>
        </w:rPr>
      </w:pPr>
      <w:r w:rsidRPr="003002D3">
        <w:rPr>
          <w:rFonts w:ascii="Tahoma" w:hAnsi="Tahoma" w:cs="Tahoma"/>
          <w:b/>
          <w:sz w:val="18"/>
          <w:lang w:val="de-DE"/>
        </w:rPr>
        <w:t>Details zur einmaligen Gewährung von Übergangslizenzen für System Center 2012</w:t>
      </w:r>
    </w:p>
    <w:p w:rsidR="00E73313" w:rsidRPr="003002D3" w:rsidRDefault="00E73313" w:rsidP="00E73313">
      <w:pPr>
        <w:ind w:left="720"/>
        <w:rPr>
          <w:lang w:val="de-DE"/>
        </w:rPr>
      </w:pPr>
      <w:r w:rsidRPr="003002D3">
        <w:rPr>
          <w:lang w:val="de-DE"/>
        </w:rPr>
        <w:t>Weitere Informationen zur Gewährung von Übergangslizenzen finden Sie im Produkthinweis zu System Center 2012-Angeboten</w:t>
      </w:r>
      <w:r w:rsidR="006257A7">
        <w:rPr>
          <w:lang w:val="de-DE"/>
        </w:rPr>
        <w:t xml:space="preserve">. </w:t>
      </w:r>
    </w:p>
    <w:p w:rsidR="00E73313" w:rsidRPr="003002D3" w:rsidRDefault="00E73313" w:rsidP="00E73313">
      <w:pPr>
        <w:ind w:left="720"/>
        <w:rPr>
          <w:lang w:val="de-DE"/>
        </w:rPr>
      </w:pPr>
    </w:p>
    <w:p w:rsidR="00E73313" w:rsidRPr="003002D3" w:rsidRDefault="00E73313" w:rsidP="00B56A92">
      <w:pPr>
        <w:ind w:left="720"/>
        <w:rPr>
          <w:lang w:val="de-DE"/>
        </w:rPr>
      </w:pPr>
      <w:r w:rsidRPr="003002D3">
        <w:rPr>
          <w:rFonts w:cs="Tahoma"/>
          <w:szCs w:val="20"/>
          <w:lang w:val="de-DE"/>
        </w:rPr>
        <w:t xml:space="preserve">System Center Server Management Suite Enterprise hat </w:t>
      </w:r>
      <w:r w:rsidRPr="003002D3">
        <w:rPr>
          <w:rFonts w:cs="Tahoma"/>
          <w:color w:val="000000"/>
          <w:szCs w:val="20"/>
          <w:lang w:val="de-DE"/>
        </w:rPr>
        <w:t>keine Versionsnummer, und die Produktbenutzungsrechte hängen vom Status der Software Assurance für System Center Server Management Suite Enterprise ab</w:t>
      </w:r>
      <w:r w:rsidR="006257A7">
        <w:rPr>
          <w:rFonts w:cs="Tahoma"/>
          <w:color w:val="000000"/>
          <w:szCs w:val="20"/>
          <w:lang w:val="de-DE"/>
        </w:rPr>
        <w:t xml:space="preserve">. </w:t>
      </w:r>
      <w:r w:rsidRPr="003002D3">
        <w:rPr>
          <w:rFonts w:cs="Tahoma"/>
          <w:color w:val="000000"/>
          <w:szCs w:val="20"/>
          <w:lang w:val="de-DE"/>
        </w:rPr>
        <w:t>Falls Software Assurance unterbrochen wird, hängen die Zugriffsrechte im</w:t>
      </w:r>
      <w:r w:rsidR="00B56A92">
        <w:rPr>
          <w:rFonts w:cs="Tahoma"/>
          <w:color w:val="000000"/>
          <w:szCs w:val="20"/>
          <w:lang w:val="de-DE"/>
        </w:rPr>
        <w:t> </w:t>
      </w:r>
      <w:r w:rsidRPr="003002D3">
        <w:rPr>
          <w:rFonts w:cs="Tahoma"/>
          <w:color w:val="000000"/>
          <w:szCs w:val="20"/>
          <w:lang w:val="de-DE"/>
        </w:rPr>
        <w:t>Rahmen zeitlich unbeschränkter Lizenzen von den Produktbenutzungsrechten ab, die vor der Unterbrechung galten</w:t>
      </w:r>
      <w:r w:rsidR="006257A7">
        <w:rPr>
          <w:rFonts w:cs="Tahoma"/>
          <w:color w:val="000000"/>
          <w:szCs w:val="20"/>
          <w:lang w:val="de-DE"/>
        </w:rPr>
        <w:t xml:space="preserve">. </w:t>
      </w:r>
    </w:p>
    <w:p w:rsidR="00E73313" w:rsidRPr="003002D3" w:rsidRDefault="00E73313" w:rsidP="00E73313">
      <w:pPr>
        <w:ind w:left="720"/>
        <w:rPr>
          <w:lang w:val="de-DE"/>
        </w:rPr>
      </w:pPr>
    </w:p>
    <w:p w:rsidR="00E73313" w:rsidRPr="003002D3" w:rsidRDefault="00E73313" w:rsidP="00E73313">
      <w:pPr>
        <w:ind w:left="720"/>
        <w:jc w:val="both"/>
        <w:rPr>
          <w:lang w:val="de-DE"/>
        </w:rPr>
      </w:pPr>
      <w:r w:rsidRPr="003002D3">
        <w:rPr>
          <w:rFonts w:cs="Tahoma"/>
          <w:color w:val="000000"/>
          <w:szCs w:val="18"/>
          <w:lang w:val="de-DE"/>
        </w:rPr>
        <w:t>Ab dem 1</w:t>
      </w:r>
      <w:r w:rsidR="006257A7">
        <w:rPr>
          <w:rFonts w:cs="Tahoma"/>
          <w:color w:val="000000"/>
          <w:szCs w:val="18"/>
          <w:lang w:val="de-DE"/>
        </w:rPr>
        <w:t xml:space="preserve">. </w:t>
      </w:r>
      <w:r w:rsidRPr="003002D3">
        <w:rPr>
          <w:rFonts w:cs="Tahoma"/>
          <w:color w:val="000000"/>
          <w:szCs w:val="18"/>
          <w:lang w:val="de-DE"/>
        </w:rPr>
        <w:t>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w:t>
      </w:r>
      <w:r w:rsidR="006257A7">
        <w:rPr>
          <w:rFonts w:cs="Tahoma"/>
          <w:color w:val="000000"/>
          <w:szCs w:val="18"/>
          <w:lang w:val="de-DE"/>
        </w:rPr>
        <w:t xml:space="preserve">. </w:t>
      </w:r>
      <w:r w:rsidRPr="003002D3">
        <w:rPr>
          <w:rFonts w:cs="Tahoma"/>
          <w:color w:val="000000"/>
          <w:szCs w:val="18"/>
          <w:lang w:val="de-DE"/>
        </w:rPr>
        <w:t>Darüber hinaus ist die Serverlizenz für Virtual Machine Manager 2008 R2 und Data Protection Manager 2010 enthalten</w:t>
      </w:r>
      <w:r w:rsidR="006257A7">
        <w:rPr>
          <w:rFonts w:cs="Tahoma"/>
          <w:color w:val="000000"/>
          <w:szCs w:val="18"/>
          <w:lang w:val="de-DE"/>
        </w:rPr>
        <w:t xml:space="preserve">. </w:t>
      </w:r>
      <w:r w:rsidRPr="003002D3">
        <w:rPr>
          <w:rFonts w:cs="Tahoma"/>
          <w:color w:val="000000"/>
          <w:szCs w:val="18"/>
          <w:lang w:val="de-DE"/>
        </w:rPr>
        <w:t>Informationen zu den Nutzungsrechten finden Sie in den PUR</w:t>
      </w:r>
      <w:r w:rsidR="006257A7">
        <w:rPr>
          <w:rFonts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cs="Tahoma"/>
          <w:b/>
          <w:szCs w:val="20"/>
          <w:lang w:val="de-DE"/>
        </w:rPr>
        <w:t>Lizenzgewährung</w:t>
      </w:r>
    </w:p>
    <w:p w:rsidR="00E73313" w:rsidRPr="003002D3" w:rsidRDefault="00E73313" w:rsidP="00E73313">
      <w:pPr>
        <w:pStyle w:val="FootnoteBulletLevel1"/>
        <w:tabs>
          <w:tab w:val="left" w:pos="900"/>
        </w:tabs>
        <w:spacing w:before="0" w:after="0"/>
        <w:ind w:left="720" w:firstLine="0"/>
        <w:rPr>
          <w:lang w:val="de-DE"/>
        </w:rPr>
      </w:pPr>
      <w:r w:rsidRPr="003002D3">
        <w:rPr>
          <w:rFonts w:ascii="Tahoma" w:hAnsi="Tahoma" w:cs="Tahoma"/>
          <w:sz w:val="18"/>
          <w:lang w:val="de-DE"/>
        </w:rPr>
        <w:t>Einmalige Lizenzgewährung für System Center Server Management Suite Datacenter (SMSD) an Lizenzinhaber von System Center Server Management Suite Enterprise (SMSE)</w:t>
      </w:r>
      <w:r w:rsidR="006257A7">
        <w:rPr>
          <w:rFonts w:ascii="Tahoma" w:hAnsi="Tahoma" w:cs="Tahoma"/>
          <w:sz w:val="18"/>
          <w:lang w:val="de-DE"/>
        </w:rPr>
        <w:t xml:space="preserve">. </w:t>
      </w:r>
    </w:p>
    <w:p w:rsidR="00E73313" w:rsidRPr="003002D3" w:rsidRDefault="00E73313" w:rsidP="00E73313">
      <w:pPr>
        <w:pStyle w:val="FootnoteBulletLevel1"/>
        <w:tabs>
          <w:tab w:val="left" w:pos="900"/>
        </w:tabs>
        <w:spacing w:before="0" w:after="0"/>
        <w:ind w:left="720" w:firstLine="0"/>
        <w:rPr>
          <w:lang w:val="de-DE"/>
        </w:rPr>
      </w:pPr>
    </w:p>
    <w:p w:rsidR="00E73313" w:rsidRPr="00B56A92" w:rsidRDefault="00E73313" w:rsidP="00B56A92">
      <w:pPr>
        <w:pStyle w:val="FootnoteBulletLevel1"/>
        <w:tabs>
          <w:tab w:val="clear" w:pos="900"/>
          <w:tab w:val="left" w:pos="720"/>
        </w:tabs>
        <w:spacing w:before="0" w:after="0"/>
        <w:ind w:left="720" w:firstLine="0"/>
        <w:rPr>
          <w:lang w:val="de-DE"/>
        </w:rPr>
      </w:pPr>
      <w:r w:rsidRPr="003002D3">
        <w:rPr>
          <w:rFonts w:ascii="Tahoma" w:hAnsi="Tahoma" w:cs="Tahoma"/>
          <w:sz w:val="18"/>
          <w:lang w:val="de-DE"/>
        </w:rPr>
        <w:t>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w:t>
      </w:r>
      <w:r w:rsidR="00B56A92">
        <w:rPr>
          <w:rFonts w:ascii="Tahoma" w:hAnsi="Tahoma" w:cs="Tahoma"/>
          <w:sz w:val="18"/>
          <w:lang w:val="de-DE"/>
        </w:rPr>
        <w:t> </w:t>
      </w:r>
      <w:r w:rsidRPr="003002D3">
        <w:rPr>
          <w:rFonts w:ascii="Tahoma" w:hAnsi="Tahoma" w:cs="Tahoma"/>
          <w:sz w:val="18"/>
          <w:lang w:val="de-DE"/>
        </w:rPr>
        <w:t>Assurance für SMSE ab dem 1</w:t>
      </w:r>
      <w:r w:rsidR="006257A7">
        <w:rPr>
          <w:rFonts w:ascii="Tahoma" w:hAnsi="Tahoma" w:cs="Tahoma"/>
          <w:sz w:val="18"/>
          <w:lang w:val="de-DE"/>
        </w:rPr>
        <w:t xml:space="preserve">. </w:t>
      </w:r>
      <w:r w:rsidRPr="00B56A92">
        <w:rPr>
          <w:rFonts w:ascii="Tahoma" w:hAnsi="Tahoma" w:cs="Tahoma"/>
          <w:sz w:val="18"/>
          <w:lang w:val="de-DE"/>
        </w:rPr>
        <w:t>Juli 2009 Folgendes:</w:t>
      </w:r>
      <w:r w:rsidRPr="00B56A92">
        <w:rPr>
          <w:rFonts w:ascii="Tahoma" w:hAnsi="Tahoma" w:cs="Tahoma"/>
          <w:color w:val="000000"/>
          <w:sz w:val="18"/>
          <w:lang w:val="de-DE"/>
        </w:rPr>
        <w:t>:</w:t>
      </w:r>
    </w:p>
    <w:p w:rsidR="00E73313" w:rsidRPr="00B56A92" w:rsidRDefault="00E73313" w:rsidP="00E73313">
      <w:pPr>
        <w:pStyle w:val="FootnoteBulletLevel1"/>
        <w:tabs>
          <w:tab w:val="clear" w:pos="900"/>
          <w:tab w:val="left" w:pos="720"/>
        </w:tabs>
        <w:spacing w:before="0" w:after="0"/>
        <w:ind w:left="720" w:firstLine="0"/>
        <w:rPr>
          <w:lang w:val="de-DE"/>
        </w:rPr>
      </w:pPr>
    </w:p>
    <w:p w:rsidR="00E73313" w:rsidRPr="003002D3" w:rsidRDefault="00E73313" w:rsidP="00E73313">
      <w:pPr>
        <w:numPr>
          <w:ilvl w:val="0"/>
          <w:numId w:val="3"/>
        </w:numPr>
        <w:ind w:left="1440"/>
        <w:rPr>
          <w:lang w:val="de-DE"/>
        </w:rPr>
      </w:pPr>
      <w:r w:rsidRPr="003002D3">
        <w:rPr>
          <w:rFonts w:cs="Tahoma"/>
          <w:color w:val="000000"/>
          <w:szCs w:val="20"/>
          <w:lang w:val="de-DE"/>
        </w:rPr>
        <w:t>Vier zusätzliche SMSD-Lizenzen für jede qualifizierende SMSE-Lizenz des Kunden mit aktiver Software Assurance ab dem 1</w:t>
      </w:r>
      <w:r w:rsidR="006257A7">
        <w:rPr>
          <w:rFonts w:cs="Tahoma"/>
          <w:color w:val="000000"/>
          <w:szCs w:val="20"/>
          <w:lang w:val="de-DE"/>
        </w:rPr>
        <w:t xml:space="preserve">. </w:t>
      </w:r>
      <w:r w:rsidRPr="003002D3">
        <w:rPr>
          <w:rFonts w:cs="Tahoma"/>
          <w:color w:val="000000"/>
          <w:szCs w:val="20"/>
          <w:lang w:val="de-DE"/>
        </w:rPr>
        <w:t>Juli 2009</w:t>
      </w:r>
      <w:r w:rsidR="006257A7">
        <w:rPr>
          <w:rFonts w:cs="Tahoma"/>
          <w:color w:val="000000"/>
          <w:szCs w:val="20"/>
          <w:lang w:val="de-DE"/>
        </w:rPr>
        <w:t xml:space="preserve">. </w:t>
      </w:r>
      <w:r w:rsidRPr="003002D3">
        <w:rPr>
          <w:rFonts w:cs="Tahoma"/>
          <w:color w:val="000000"/>
          <w:szCs w:val="20"/>
          <w:lang w:val="de-DE"/>
        </w:rPr>
        <w:t>Diese vier gewährten SMSD-Lizenzen müssen einem Gerät zugewiesen werden und dürfen nicht zur Nutzung auf zwei oder mehr Geräten getrennt werden</w:t>
      </w:r>
      <w:r w:rsidR="006257A7">
        <w:rPr>
          <w:rFonts w:cs="Tahoma"/>
          <w:color w:val="000000"/>
          <w:szCs w:val="20"/>
          <w:lang w:val="de-DE"/>
        </w:rPr>
        <w:t xml:space="preserve">. </w:t>
      </w:r>
    </w:p>
    <w:p w:rsidR="00E73313" w:rsidRPr="003002D3" w:rsidRDefault="00E73313" w:rsidP="00E73313">
      <w:pPr>
        <w:rPr>
          <w:lang w:val="de-DE"/>
        </w:rPr>
      </w:pPr>
    </w:p>
    <w:p w:rsidR="00E73313" w:rsidRPr="003002D3" w:rsidRDefault="00E73313" w:rsidP="00E73313">
      <w:pPr>
        <w:pStyle w:val="FootnoteBulletLevel1"/>
        <w:tabs>
          <w:tab w:val="clear" w:pos="900"/>
        </w:tabs>
        <w:spacing w:before="0" w:after="0"/>
        <w:ind w:left="720" w:firstLine="0"/>
        <w:rPr>
          <w:lang w:val="de-DE"/>
        </w:rPr>
      </w:pPr>
      <w:r w:rsidRPr="003002D3">
        <w:rPr>
          <w:rFonts w:ascii="Tahoma" w:hAnsi="Tahoma" w:cs="Tahoma"/>
          <w:sz w:val="18"/>
          <w:lang w:val="de-DE"/>
        </w:rPr>
        <w:t>Die Verwaltungsrechte im Zusammenhang mit den zusätzlichen SMSD-Lizenzen werden statt der Verwaltungsrechte für die qualifizierende SMSE-Lizenz gewährt</w:t>
      </w:r>
      <w:r w:rsidR="006257A7">
        <w:rPr>
          <w:rFonts w:ascii="Tahoma" w:hAnsi="Tahoma" w:cs="Tahoma"/>
          <w:sz w:val="18"/>
          <w:lang w:val="de-DE"/>
        </w:rPr>
        <w:t xml:space="preserve">. </w:t>
      </w:r>
      <w:r w:rsidRPr="003002D3">
        <w:rPr>
          <w:rFonts w:ascii="Tahoma" w:hAnsi="Tahoma" w:cs="Tahoma"/>
          <w:sz w:val="18"/>
          <w:lang w:val="de-DE"/>
        </w:rPr>
        <w:t>Durch Zuweisung der gewährten SMSD-Lizenzen verzichtet der Kunde auf seine Verwaltungsrechte im Rahmen der zugehörigen SMSE-Lizenz</w:t>
      </w:r>
      <w:r w:rsidR="006257A7">
        <w:rPr>
          <w:rFonts w:ascii="Tahoma" w:hAnsi="Tahoma" w:cs="Tahoma"/>
          <w:sz w:val="18"/>
          <w:lang w:val="de-DE"/>
        </w:rPr>
        <w:t xml:space="preserve">. </w:t>
      </w:r>
    </w:p>
    <w:p w:rsidR="00E73313" w:rsidRPr="003002D3" w:rsidRDefault="00E73313" w:rsidP="00E73313">
      <w:pPr>
        <w:pStyle w:val="FootnoteBulletLevel1"/>
        <w:tabs>
          <w:tab w:val="clear" w:pos="900"/>
        </w:tabs>
        <w:spacing w:before="0" w:after="0"/>
        <w:ind w:left="720" w:firstLine="0"/>
        <w:rPr>
          <w:lang w:val="de-DE"/>
        </w:rPr>
      </w:pPr>
      <w:r w:rsidRPr="003002D3">
        <w:rPr>
          <w:rFonts w:ascii="Tahoma" w:hAnsi="Tahoma" w:cs="Tahoma"/>
          <w:sz w:val="18"/>
          <w:lang w:val="de-DE"/>
        </w:rPr>
        <w:t>Laut diesem Angebot gewährte Lizenzen unterliegen der folgenden Einschränkung:</w:t>
      </w:r>
      <w:r w:rsidRPr="003002D3">
        <w:rPr>
          <w:rFonts w:ascii="Tahoma" w:hAnsi="Tahoma" w:cs="Tahoma"/>
          <w:color w:val="000000"/>
          <w:sz w:val="18"/>
          <w:lang w:val="de-DE"/>
        </w:rPr>
        <w:t xml:space="preserve"> Ein Satz gewährter SMSD-Lizenzen muss einem einzigen Gerät zugewiesen werden</w:t>
      </w:r>
      <w:r w:rsidR="006257A7">
        <w:rPr>
          <w:rFonts w:ascii="Tahoma" w:hAnsi="Tahoma" w:cs="Tahoma"/>
          <w:sz w:val="18"/>
          <w:lang w:val="de-DE"/>
        </w:rPr>
        <w:t xml:space="preserve">. </w:t>
      </w:r>
    </w:p>
    <w:p w:rsidR="00E73313" w:rsidRPr="003002D3" w:rsidRDefault="00E73313" w:rsidP="00E73313">
      <w:pPr>
        <w:pStyle w:val="FootnoteBulletLevel1"/>
        <w:tabs>
          <w:tab w:val="clear" w:pos="900"/>
        </w:tabs>
        <w:spacing w:before="0" w:after="0"/>
        <w:ind w:left="720" w:firstLine="0"/>
        <w:rPr>
          <w:lang w:val="de-DE"/>
        </w:rPr>
      </w:pPr>
    </w:p>
    <w:p w:rsidR="00E73313" w:rsidRPr="003002D3" w:rsidRDefault="00E73313" w:rsidP="00E73313">
      <w:pPr>
        <w:pStyle w:val="FootnoteBulletLevel1"/>
        <w:tabs>
          <w:tab w:val="clear" w:pos="900"/>
        </w:tabs>
        <w:spacing w:before="0" w:after="60"/>
        <w:ind w:left="720" w:firstLine="0"/>
        <w:rPr>
          <w:lang w:val="de-DE"/>
        </w:rPr>
      </w:pPr>
      <w:r w:rsidRPr="003002D3">
        <w:rPr>
          <w:rFonts w:ascii="Tahoma" w:hAnsi="Tahoma" w:cs="Tahoma"/>
          <w:b/>
          <w:color w:val="000000"/>
          <w:sz w:val="18"/>
          <w:lang w:val="de-DE"/>
        </w:rPr>
        <w:t>Optionen bei der Verlängerung von Software Assurance</w:t>
      </w:r>
      <w:r w:rsidR="003002D3" w:rsidRPr="003002D3">
        <w:rPr>
          <w:rFonts w:ascii="Tahoma" w:hAnsi="Tahoma" w:cs="Tahoma"/>
          <w:b/>
          <w:color w:val="000000"/>
          <w:sz w:val="18"/>
          <w:lang w:val="de-DE"/>
        </w:rPr>
        <w:t xml:space="preserve"> </w:t>
      </w:r>
    </w:p>
    <w:p w:rsidR="00E73313" w:rsidRPr="00B56A92" w:rsidRDefault="00E73313" w:rsidP="00B56A92">
      <w:pPr>
        <w:pStyle w:val="FootnoteBulletLevel1"/>
        <w:tabs>
          <w:tab w:val="clear" w:pos="900"/>
        </w:tabs>
        <w:spacing w:before="0" w:after="0"/>
        <w:ind w:left="720" w:firstLine="0"/>
        <w:rPr>
          <w:lang w:val="de-DE"/>
        </w:rPr>
      </w:pPr>
      <w:r w:rsidRPr="003002D3">
        <w:rPr>
          <w:rFonts w:ascii="Tahoma" w:hAnsi="Tahoma" w:cs="Tahoma"/>
          <w:color w:val="000000"/>
          <w:sz w:val="18"/>
          <w:lang w:val="de-DE"/>
        </w:rPr>
        <w:t>Im Rahmen dieses Angebots gewährte Lizenzen umfassen Software Assurance bis zum Ablauf von Software</w:t>
      </w:r>
      <w:r w:rsidR="00B56A92">
        <w:rPr>
          <w:rFonts w:ascii="Tahoma" w:hAnsi="Tahoma" w:cs="Tahoma"/>
          <w:color w:val="000000"/>
          <w:sz w:val="18"/>
          <w:lang w:val="de-DE"/>
        </w:rPr>
        <w:t> </w:t>
      </w:r>
      <w:r w:rsidRPr="003002D3">
        <w:rPr>
          <w:rFonts w:ascii="Tahoma" w:hAnsi="Tahoma" w:cs="Tahoma"/>
          <w:color w:val="000000"/>
          <w:sz w:val="18"/>
          <w:lang w:val="de-DE"/>
        </w:rPr>
        <w:t>Assurance für die zugehörigen qualifizierenden Lizenzen</w:t>
      </w:r>
      <w:r w:rsidR="006257A7">
        <w:rPr>
          <w:rFonts w:ascii="Tahoma" w:hAnsi="Tahoma" w:cs="Tahoma"/>
          <w:color w:val="000000"/>
          <w:sz w:val="18"/>
          <w:lang w:val="de-DE"/>
        </w:rPr>
        <w:t xml:space="preserve">. </w:t>
      </w:r>
      <w:r w:rsidRPr="00B56A92">
        <w:rPr>
          <w:rFonts w:ascii="Tahoma" w:hAnsi="Tahoma" w:cs="Tahoma"/>
          <w:sz w:val="18"/>
          <w:lang w:val="de-DE"/>
        </w:rPr>
        <w:t>Danach können die Kunden Software</w:t>
      </w:r>
      <w:r w:rsidR="00B56A92">
        <w:rPr>
          <w:rFonts w:ascii="Tahoma" w:hAnsi="Tahoma" w:cs="Tahoma"/>
          <w:sz w:val="18"/>
          <w:lang w:val="de-DE"/>
        </w:rPr>
        <w:t> </w:t>
      </w:r>
      <w:r w:rsidRPr="00B56A92">
        <w:rPr>
          <w:rFonts w:ascii="Tahoma" w:hAnsi="Tahoma" w:cs="Tahoma"/>
          <w:sz w:val="18"/>
          <w:lang w:val="de-DE"/>
        </w:rPr>
        <w:t>Assurance folgendermaßen verlängern:</w:t>
      </w:r>
    </w:p>
    <w:p w:rsidR="00E73313" w:rsidRPr="00B56A92" w:rsidRDefault="00E73313" w:rsidP="00E73313">
      <w:pPr>
        <w:pStyle w:val="FootnoteBulletLevel1"/>
        <w:tabs>
          <w:tab w:val="clear" w:pos="900"/>
        </w:tabs>
        <w:spacing w:before="0" w:after="0"/>
        <w:ind w:left="720" w:firstLine="0"/>
        <w:rPr>
          <w:lang w:val="de-DE"/>
        </w:rPr>
      </w:pPr>
    </w:p>
    <w:p w:rsidR="00E73313" w:rsidRPr="003002D3" w:rsidRDefault="00E73313" w:rsidP="00B56A92">
      <w:pPr>
        <w:pStyle w:val="FootnoteBulletLevel1"/>
        <w:numPr>
          <w:ilvl w:val="0"/>
          <w:numId w:val="13"/>
        </w:numPr>
        <w:tabs>
          <w:tab w:val="left" w:pos="720"/>
        </w:tabs>
        <w:spacing w:before="0" w:after="60"/>
        <w:ind w:left="1440"/>
        <w:rPr>
          <w:lang w:val="de-DE"/>
        </w:rPr>
      </w:pPr>
      <w:r w:rsidRPr="003002D3">
        <w:rPr>
          <w:rFonts w:ascii="Tahoma" w:hAnsi="Tahoma" w:cs="Tahoma"/>
          <w:sz w:val="18"/>
          <w:lang w:val="de-DE"/>
        </w:rPr>
        <w:t>Sie können Software Assurance für die ursprüngliche SMSE-Lizenz verlängern</w:t>
      </w:r>
      <w:r w:rsidR="006257A7">
        <w:rPr>
          <w:rFonts w:ascii="Tahoma" w:hAnsi="Tahoma" w:cs="Tahoma"/>
          <w:sz w:val="18"/>
          <w:lang w:val="de-DE"/>
        </w:rPr>
        <w:t xml:space="preserve">. </w:t>
      </w:r>
      <w:r w:rsidRPr="003002D3">
        <w:rPr>
          <w:rFonts w:ascii="Tahoma" w:hAnsi="Tahoma" w:cs="Tahoma"/>
          <w:sz w:val="18"/>
          <w:lang w:val="de-DE"/>
        </w:rPr>
        <w:t>Die Verwaltungsrechte im Rahmen der SMSE-Software Assurance hängen von den zum Zeitpunkt der</w:t>
      </w:r>
      <w:r w:rsidR="00B56A92">
        <w:rPr>
          <w:rFonts w:ascii="Tahoma" w:hAnsi="Tahoma" w:cs="Tahoma"/>
          <w:sz w:val="18"/>
          <w:lang w:val="de-DE"/>
        </w:rPr>
        <w:t> </w:t>
      </w:r>
      <w:r w:rsidRPr="003002D3">
        <w:rPr>
          <w:rFonts w:ascii="Tahoma" w:hAnsi="Tahoma" w:cs="Tahoma"/>
          <w:sz w:val="18"/>
          <w:lang w:val="de-DE"/>
        </w:rPr>
        <w:t>Verlängerung geltenden Rechten ab</w:t>
      </w:r>
      <w:r w:rsidR="006257A7">
        <w:rPr>
          <w:rFonts w:ascii="Tahoma" w:hAnsi="Tahoma" w:cs="Tahoma"/>
          <w:sz w:val="18"/>
          <w:lang w:val="de-DE"/>
        </w:rPr>
        <w:t xml:space="preserve">. </w:t>
      </w:r>
      <w:r w:rsidRPr="003002D3">
        <w:rPr>
          <w:rFonts w:ascii="Tahoma" w:hAnsi="Tahoma" w:cs="Tahoma"/>
          <w:sz w:val="18"/>
          <w:lang w:val="de-DE"/>
        </w:rPr>
        <w:t>Durch die Verlängerung des Upgrade-Programms für die</w:t>
      </w:r>
      <w:r w:rsidR="00B56A92">
        <w:rPr>
          <w:rFonts w:ascii="Tahoma" w:hAnsi="Tahoma" w:cs="Tahoma"/>
          <w:sz w:val="18"/>
          <w:lang w:val="de-DE"/>
        </w:rPr>
        <w:t> </w:t>
      </w:r>
      <w:r w:rsidRPr="003002D3">
        <w:rPr>
          <w:rFonts w:ascii="Tahoma" w:hAnsi="Tahoma" w:cs="Tahoma"/>
          <w:sz w:val="18"/>
          <w:lang w:val="de-DE"/>
        </w:rPr>
        <w:t>ursprüngliche SMSE-Lizenz verzichtet der Kunde auf seine Rechte an den vier zusätzlichen SMSD-Lizenzen</w:t>
      </w:r>
      <w:r w:rsidR="006257A7">
        <w:rPr>
          <w:rFonts w:ascii="Tahoma" w:hAnsi="Tahoma" w:cs="Tahoma"/>
          <w:sz w:val="18"/>
          <w:lang w:val="de-DE"/>
        </w:rPr>
        <w:t xml:space="preserve">. </w:t>
      </w:r>
    </w:p>
    <w:p w:rsidR="00E73313" w:rsidRPr="003002D3" w:rsidRDefault="00E73313" w:rsidP="00E73313">
      <w:pPr>
        <w:pStyle w:val="FootnoteBulletLevel1"/>
        <w:numPr>
          <w:ilvl w:val="0"/>
          <w:numId w:val="14"/>
        </w:numPr>
        <w:tabs>
          <w:tab w:val="left" w:pos="720"/>
        </w:tabs>
        <w:spacing w:before="0" w:after="60"/>
        <w:ind w:left="1440"/>
        <w:rPr>
          <w:lang w:val="de-DE"/>
        </w:rPr>
      </w:pPr>
      <w:r w:rsidRPr="003002D3">
        <w:rPr>
          <w:rFonts w:ascii="Tahoma" w:hAnsi="Tahoma" w:cs="Tahoma"/>
          <w:sz w:val="18"/>
          <w:lang w:val="de-DE"/>
        </w:rPr>
        <w:t>Die Kunden können Software Assurance für die zusätzlichen SMSD-Lizenzen verlängern</w:t>
      </w:r>
      <w:r w:rsidR="006257A7">
        <w:rPr>
          <w:rFonts w:ascii="Tahoma" w:hAnsi="Tahoma" w:cs="Tahoma"/>
          <w:sz w:val="18"/>
          <w:lang w:val="de-DE"/>
        </w:rPr>
        <w:t xml:space="preserve">. </w:t>
      </w:r>
    </w:p>
    <w:p w:rsidR="00E73313" w:rsidRPr="003002D3" w:rsidRDefault="00E73313" w:rsidP="00B56A92">
      <w:pPr>
        <w:pStyle w:val="FootnoteBulletLevel1"/>
        <w:numPr>
          <w:ilvl w:val="2"/>
          <w:numId w:val="15"/>
        </w:numPr>
        <w:tabs>
          <w:tab w:val="left" w:pos="720"/>
        </w:tabs>
        <w:spacing w:before="0" w:after="60"/>
        <w:ind w:left="1980"/>
        <w:rPr>
          <w:lang w:val="de-DE"/>
        </w:rPr>
      </w:pPr>
      <w:r w:rsidRPr="003002D3">
        <w:rPr>
          <w:rFonts w:ascii="Tahoma" w:hAnsi="Tahoma" w:cs="Tahoma"/>
          <w:sz w:val="18"/>
          <w:lang w:val="de-DE"/>
        </w:rPr>
        <w:t>Dabei haben sie die Möglichkeit, Software Assurance für alle vier zusätzlichen SMSD-Lizenzen, die bei diesem Angebot gewährt werden, zu verlängern</w:t>
      </w:r>
      <w:r w:rsidR="006257A7">
        <w:rPr>
          <w:rFonts w:ascii="Tahoma" w:hAnsi="Tahoma" w:cs="Tahoma"/>
          <w:sz w:val="18"/>
          <w:lang w:val="de-DE"/>
        </w:rPr>
        <w:t xml:space="preserve">. </w:t>
      </w:r>
      <w:r w:rsidRPr="003002D3">
        <w:rPr>
          <w:rFonts w:ascii="Tahoma" w:hAnsi="Tahoma" w:cs="Tahoma"/>
          <w:sz w:val="18"/>
          <w:lang w:val="de-DE"/>
        </w:rPr>
        <w:t>Bei dieser Option fällt die</w:t>
      </w:r>
      <w:r w:rsidR="00B56A92">
        <w:rPr>
          <w:rFonts w:ascii="Tahoma" w:hAnsi="Tahoma" w:cs="Tahoma"/>
          <w:sz w:val="18"/>
          <w:lang w:val="de-DE"/>
        </w:rPr>
        <w:t> </w:t>
      </w:r>
      <w:r w:rsidRPr="003002D3">
        <w:rPr>
          <w:rFonts w:ascii="Tahoma" w:hAnsi="Tahoma" w:cs="Tahoma"/>
          <w:sz w:val="18"/>
          <w:lang w:val="de-DE"/>
        </w:rPr>
        <w:t>Verpflichtung, die vier Lizenzen einem Gerät zuzuweisen, weg</w:t>
      </w:r>
      <w:r w:rsidR="006257A7">
        <w:rPr>
          <w:rFonts w:ascii="Tahoma" w:hAnsi="Tahoma" w:cs="Tahoma"/>
          <w:sz w:val="18"/>
          <w:lang w:val="de-DE"/>
        </w:rPr>
        <w:t xml:space="preserve">. </w:t>
      </w:r>
    </w:p>
    <w:p w:rsidR="00E73313" w:rsidRPr="003002D3" w:rsidRDefault="00E73313" w:rsidP="00B56A92">
      <w:pPr>
        <w:pStyle w:val="FootnoteBulletLevel1"/>
        <w:numPr>
          <w:ilvl w:val="2"/>
          <w:numId w:val="15"/>
        </w:numPr>
        <w:tabs>
          <w:tab w:val="left" w:pos="720"/>
        </w:tabs>
        <w:spacing w:before="0" w:after="60"/>
        <w:ind w:left="1980"/>
        <w:rPr>
          <w:lang w:val="de-DE"/>
        </w:rPr>
      </w:pPr>
      <w:r w:rsidRPr="003002D3">
        <w:rPr>
          <w:rFonts w:ascii="Tahoma" w:hAnsi="Tahoma" w:cs="Tahoma"/>
          <w:sz w:val="18"/>
          <w:lang w:val="de-DE"/>
        </w:rPr>
        <w:t>Kunden, die Software Assurance vor dem 1</w:t>
      </w:r>
      <w:r w:rsidR="006257A7">
        <w:rPr>
          <w:rFonts w:ascii="Tahoma" w:hAnsi="Tahoma" w:cs="Tahoma"/>
          <w:sz w:val="18"/>
          <w:lang w:val="de-DE"/>
        </w:rPr>
        <w:t xml:space="preserve">. </w:t>
      </w:r>
      <w:r w:rsidRPr="003002D3">
        <w:rPr>
          <w:rFonts w:ascii="Tahoma" w:hAnsi="Tahoma" w:cs="Tahoma"/>
          <w:sz w:val="18"/>
          <w:lang w:val="de-DE"/>
        </w:rPr>
        <w:t>Juli 2011 verlängern, können dies für zwei der vier zusätzlichen SMSD-Lizenzen tun, die bei diesem Angebot gewährt werden</w:t>
      </w:r>
      <w:r w:rsidR="006257A7">
        <w:rPr>
          <w:rFonts w:ascii="Tahoma" w:hAnsi="Tahoma" w:cs="Tahoma"/>
          <w:sz w:val="18"/>
          <w:lang w:val="de-DE"/>
        </w:rPr>
        <w:t xml:space="preserve">. </w:t>
      </w:r>
      <w:r w:rsidRPr="003002D3">
        <w:rPr>
          <w:rFonts w:ascii="Tahoma" w:hAnsi="Tahoma" w:cs="Tahoma"/>
          <w:sz w:val="18"/>
          <w:lang w:val="de-DE"/>
        </w:rPr>
        <w:t>In diesem Fall gilt Software Assurance für alle vier SMSD-Lizenzen als verlängert</w:t>
      </w:r>
      <w:r w:rsidR="006257A7">
        <w:rPr>
          <w:rFonts w:ascii="Tahoma" w:hAnsi="Tahoma" w:cs="Tahoma"/>
          <w:sz w:val="18"/>
          <w:lang w:val="de-DE"/>
        </w:rPr>
        <w:t xml:space="preserve">. </w:t>
      </w:r>
      <w:r w:rsidRPr="003002D3">
        <w:rPr>
          <w:rFonts w:ascii="Tahoma" w:hAnsi="Tahoma" w:cs="Tahoma"/>
          <w:sz w:val="18"/>
          <w:lang w:val="de-DE"/>
        </w:rPr>
        <w:t>Bei dieser Option gilt</w:t>
      </w:r>
      <w:r w:rsidR="00B56A92">
        <w:rPr>
          <w:rFonts w:ascii="Tahoma" w:hAnsi="Tahoma" w:cs="Tahoma"/>
          <w:sz w:val="18"/>
          <w:lang w:val="de-DE"/>
        </w:rPr>
        <w:t> </w:t>
      </w:r>
      <w:r w:rsidRPr="003002D3">
        <w:rPr>
          <w:rFonts w:ascii="Tahoma" w:hAnsi="Tahoma" w:cs="Tahoma"/>
          <w:sz w:val="18"/>
          <w:lang w:val="de-DE"/>
        </w:rPr>
        <w:t>die Verpflichtung, die vier Lizenzen bei Verlängerung einem Gerät zuzuweisen, auch weiterhin</w:t>
      </w:r>
      <w:r w:rsidR="006257A7">
        <w:rPr>
          <w:rFonts w:ascii="Tahoma" w:hAnsi="Tahoma" w:cs="Tahoma"/>
          <w:sz w:val="18"/>
          <w:lang w:val="de-DE"/>
        </w:rPr>
        <w:t xml:space="preserve">. </w:t>
      </w:r>
      <w:r w:rsidRPr="003002D3">
        <w:rPr>
          <w:rFonts w:ascii="Tahoma" w:hAnsi="Tahoma" w:cs="Tahoma"/>
          <w:sz w:val="18"/>
          <w:lang w:val="de-DE"/>
        </w:rPr>
        <w:t>Bei der nächsten Verlängerung von Software Assurance können die Kunden diese auch nur für die SMSD-Lizenzen des Satzes aus vier Lizenzen verlängern, die sie tatsächlich benötigen</w:t>
      </w:r>
      <w:r w:rsidR="006257A7">
        <w:rPr>
          <w:rFonts w:ascii="Tahoma" w:hAnsi="Tahoma" w:cs="Tahoma"/>
          <w:sz w:val="18"/>
          <w:lang w:val="de-DE"/>
        </w:rPr>
        <w:t xml:space="preserve">. </w:t>
      </w:r>
      <w:r w:rsidRPr="003002D3">
        <w:rPr>
          <w:rFonts w:ascii="Tahoma" w:hAnsi="Tahoma" w:cs="Tahoma"/>
          <w:sz w:val="18"/>
          <w:lang w:val="de-DE"/>
        </w:rPr>
        <w:t>Zu diesem Zeitpunkt gilt anders als bei der ersten Verlängerung, dass SMSD-Lizenzen, für die Software Assurance nicht verlängert wurde, nicht mehr an diesem Programm teilnehmen</w:t>
      </w:r>
      <w:r w:rsidR="006257A7">
        <w:rPr>
          <w:rFonts w:ascii="Tahoma" w:hAnsi="Tahoma" w:cs="Tahoma"/>
          <w:sz w:val="18"/>
          <w:lang w:val="de-DE"/>
        </w:rPr>
        <w:t xml:space="preserve">. </w:t>
      </w:r>
      <w:r w:rsidRPr="003002D3">
        <w:rPr>
          <w:rFonts w:ascii="Tahoma" w:hAnsi="Tahoma" w:cs="Tahoma"/>
          <w:sz w:val="18"/>
          <w:lang w:val="de-DE"/>
        </w:rPr>
        <w:t>Die Pflicht, alle vier zusätzlichen SMSD-Lizenzen einem Gerät zuzuweisen, fällt bei dieser Verlängerung nur weg, wenn Software Assurance für alle vier Lizenzen verlängert wird</w:t>
      </w:r>
      <w:r w:rsidR="006257A7">
        <w:rPr>
          <w:rFonts w:ascii="Tahoma" w:hAnsi="Tahoma" w:cs="Tahoma"/>
          <w:sz w:val="18"/>
          <w:lang w:val="de-DE"/>
        </w:rPr>
        <w:t xml:space="preserve">. </w:t>
      </w:r>
    </w:p>
    <w:p w:rsidR="00E73313" w:rsidRPr="003002D3" w:rsidRDefault="00E73313" w:rsidP="00E73313">
      <w:pPr>
        <w:pStyle w:val="FootnoteBulletLevel1"/>
        <w:tabs>
          <w:tab w:val="clear" w:pos="900"/>
          <w:tab w:val="left" w:pos="720"/>
        </w:tabs>
        <w:spacing w:before="0" w:after="0"/>
        <w:ind w:firstLine="0"/>
        <w:rPr>
          <w:lang w:val="de-DE"/>
        </w:rPr>
      </w:pPr>
    </w:p>
    <w:p w:rsidR="00E73313" w:rsidRPr="003002D3" w:rsidRDefault="00E73313" w:rsidP="00B56A92">
      <w:pPr>
        <w:pStyle w:val="FootnoteBulletLevel1"/>
        <w:tabs>
          <w:tab w:val="clear" w:pos="900"/>
          <w:tab w:val="left" w:pos="720"/>
        </w:tabs>
        <w:spacing w:before="0" w:after="60"/>
        <w:ind w:left="720" w:firstLine="0"/>
        <w:rPr>
          <w:lang w:val="de-DE"/>
        </w:rPr>
      </w:pPr>
      <w:r w:rsidRPr="003002D3">
        <w:rPr>
          <w:rFonts w:ascii="Tahoma" w:hAnsi="Tahoma" w:cs="Tahoma"/>
          <w:b/>
          <w:sz w:val="18"/>
          <w:lang w:val="de-DE"/>
        </w:rPr>
        <w:t>Aufheben der Einschränkung, ein</w:t>
      </w:r>
      <w:r w:rsidRPr="003002D3">
        <w:rPr>
          <w:rFonts w:ascii="Tahoma" w:hAnsi="Tahoma" w:cs="Tahoma"/>
          <w:b/>
          <w:color w:val="000000"/>
          <w:sz w:val="18"/>
          <w:lang w:val="de-DE"/>
        </w:rPr>
        <w:t>en Satz gewährter SMSD-Lizenzen einem Gerät zuweisen zu</w:t>
      </w:r>
      <w:r w:rsidR="00B56A92">
        <w:rPr>
          <w:rFonts w:ascii="Tahoma" w:hAnsi="Tahoma" w:cs="Tahoma"/>
          <w:b/>
          <w:color w:val="000000"/>
          <w:sz w:val="18"/>
          <w:lang w:val="de-DE"/>
        </w:rPr>
        <w:t> </w:t>
      </w:r>
      <w:r w:rsidRPr="003002D3">
        <w:rPr>
          <w:rFonts w:ascii="Tahoma" w:hAnsi="Tahoma" w:cs="Tahoma"/>
          <w:b/>
          <w:color w:val="000000"/>
          <w:sz w:val="18"/>
          <w:lang w:val="de-DE"/>
        </w:rPr>
        <w:t>müssen</w:t>
      </w:r>
    </w:p>
    <w:p w:rsidR="00E73313" w:rsidRPr="003002D3" w:rsidRDefault="00E73313" w:rsidP="00E73313">
      <w:pPr>
        <w:pStyle w:val="FootnoteBulletLevel1"/>
        <w:tabs>
          <w:tab w:val="clear" w:pos="900"/>
          <w:tab w:val="left" w:pos="720"/>
        </w:tabs>
        <w:spacing w:before="0" w:after="0"/>
        <w:ind w:left="720" w:firstLine="0"/>
        <w:rPr>
          <w:lang w:val="de-DE"/>
        </w:rPr>
      </w:pPr>
      <w:r w:rsidRPr="003002D3">
        <w:rPr>
          <w:rFonts w:ascii="Tahoma" w:hAnsi="Tahoma" w:cs="Tahoma"/>
          <w:sz w:val="18"/>
          <w:lang w:val="de-DE"/>
        </w:rPr>
        <w:t xml:space="preserve">Vor der ersten Verlängerung von Software Assurance nach dieser Lizenzgewährung können Kunden zu einem beliebigen Zeitpunkt die Einschränkung, </w:t>
      </w:r>
      <w:r w:rsidRPr="003002D3">
        <w:rPr>
          <w:rFonts w:ascii="Tahoma" w:hAnsi="Tahoma" w:cs="Tahoma"/>
          <w:color w:val="000000"/>
          <w:sz w:val="18"/>
          <w:lang w:val="de-DE"/>
        </w:rPr>
        <w:t>einen Satz gewährter SMSD-Lizenzen einem Gerät zuweisen zu müssen, aufheben</w:t>
      </w:r>
      <w:r w:rsidR="006257A7">
        <w:rPr>
          <w:rFonts w:ascii="Tahoma" w:hAnsi="Tahoma" w:cs="Tahoma"/>
          <w:color w:val="000000"/>
          <w:sz w:val="18"/>
          <w:lang w:val="de-DE"/>
        </w:rPr>
        <w:t xml:space="preserve">. </w:t>
      </w:r>
      <w:r w:rsidRPr="003002D3">
        <w:rPr>
          <w:rFonts w:ascii="Tahoma" w:hAnsi="Tahoma" w:cs="Tahoma"/>
          <w:color w:val="000000"/>
          <w:sz w:val="18"/>
          <w:lang w:val="de-DE"/>
        </w:rPr>
        <w:t>Dazu</w:t>
      </w:r>
      <w:r w:rsidRPr="003002D3">
        <w:rPr>
          <w:rFonts w:ascii="Tahoma" w:hAnsi="Tahoma" w:cs="Tahoma"/>
          <w:sz w:val="18"/>
          <w:lang w:val="de-DE"/>
        </w:rPr>
        <w:t xml:space="preserve"> müssen sie nur Software Assurance für zwei der SMSD-Lizenzen eines Satzes zusätzlicher Lizenzen erwerben</w:t>
      </w:r>
      <w:r w:rsidR="006257A7">
        <w:rPr>
          <w:rFonts w:ascii="Tahoma" w:hAnsi="Tahoma" w:cs="Tahoma"/>
          <w:sz w:val="18"/>
          <w:lang w:val="de-DE"/>
        </w:rPr>
        <w:t xml:space="preserve">. </w:t>
      </w:r>
    </w:p>
    <w:p w:rsidR="00E73313" w:rsidRPr="003002D3" w:rsidRDefault="00E73313" w:rsidP="00E73313">
      <w:pPr>
        <w:pStyle w:val="FootnoteBulletLevel1"/>
        <w:tabs>
          <w:tab w:val="clear" w:pos="900"/>
          <w:tab w:val="left" w:pos="720"/>
        </w:tabs>
        <w:spacing w:before="0" w:after="0"/>
        <w:ind w:left="720" w:firstLine="0"/>
        <w:rPr>
          <w:lang w:val="de-DE"/>
        </w:rPr>
      </w:pPr>
    </w:p>
    <w:p w:rsidR="00E73313" w:rsidRPr="003002D3" w:rsidRDefault="00E73313" w:rsidP="00E73313">
      <w:pPr>
        <w:pStyle w:val="FootnoteBulletLevel1"/>
        <w:tabs>
          <w:tab w:val="clear" w:pos="900"/>
          <w:tab w:val="left" w:pos="720"/>
        </w:tabs>
        <w:spacing w:before="0" w:after="0"/>
        <w:ind w:left="720" w:firstLine="0"/>
        <w:rPr>
          <w:lang w:val="de-DE"/>
        </w:rPr>
      </w:pPr>
      <w:r w:rsidRPr="003002D3">
        <w:rPr>
          <w:rFonts w:ascii="Tahoma" w:hAnsi="Tahoma" w:cs="Tahoma"/>
          <w:sz w:val="18"/>
          <w:lang w:val="de-DE"/>
        </w:rPr>
        <w:t>Das Recht von Kunden zur Nutzung der Software im Rahmen der zusätzlichen SMSD-Lizenzen wird durch diesen Hinweis auf die Produktbedingungen sowie den Nachweis der zugehörigen qualifizierenden Lizenzen belegt</w:t>
      </w:r>
      <w:r w:rsidR="006257A7">
        <w:rPr>
          <w:rFonts w:ascii="Tahoma" w:hAnsi="Tahoma" w:cs="Tahoma"/>
          <w:sz w:val="18"/>
          <w:lang w:val="de-DE"/>
        </w:rPr>
        <w:t xml:space="preserve">. </w:t>
      </w:r>
      <w:r w:rsidRPr="003002D3">
        <w:rPr>
          <w:rFonts w:ascii="Tahoma" w:hAnsi="Tahoma" w:cs="Tahoma"/>
          <w:sz w:val="18"/>
          <w:lang w:val="de-DE"/>
        </w:rPr>
        <w:t>Die Nutzung der Software laut diesem Angebot unterliegt den Bestimmungen des Lizenzvertrages des Kunden sowie den Produktbenutzungsrechten der Software</w:t>
      </w:r>
      <w:r w:rsidR="006257A7">
        <w:rPr>
          <w:rFonts w:ascii="Tahoma" w:hAnsi="Tahoma" w:cs="Tahoma"/>
          <w:sz w:val="18"/>
          <w:lang w:val="de-DE"/>
        </w:rPr>
        <w:t xml:space="preserve">. </w:t>
      </w:r>
      <w:r w:rsidRPr="003002D3">
        <w:rPr>
          <w:rFonts w:ascii="Tahoma" w:hAnsi="Tahoma" w:cs="Tahoma"/>
          <w:sz w:val="18"/>
          <w:lang w:val="de-DE"/>
        </w:rPr>
        <w:t>Das Recht zur Nutzung der Software im Rahmen der zusätzlichen Lizenz gilt bis zum Ablauf des Rechts zur Nutzung der Software gemäß den zugehörigen qualifizierenden Lizenzen</w:t>
      </w:r>
      <w:r w:rsidR="006257A7">
        <w:rPr>
          <w:rFonts w:ascii="Tahoma" w:hAnsi="Tahoma" w:cs="Tahoma"/>
          <w:sz w:val="18"/>
          <w:lang w:val="de-DE"/>
        </w:rPr>
        <w:t xml:space="preserve">. </w:t>
      </w:r>
      <w:r w:rsidRPr="003002D3">
        <w:rPr>
          <w:rFonts w:ascii="Tahoma" w:hAnsi="Tahoma" w:cs="Tahoma"/>
          <w:sz w:val="18"/>
          <w:lang w:val="de-DE"/>
        </w:rPr>
        <w:t>Im Rahmen dieses Angebots gewährte Lizenzen dürfen nicht getrennt von den zugehörigen qualifizierenden Lizenzen übertragen werden</w:t>
      </w:r>
      <w:r w:rsidR="006257A7">
        <w:rPr>
          <w:rFonts w:ascii="Tahoma" w:hAnsi="Tahoma" w:cs="Tahoma"/>
          <w:sz w:val="18"/>
          <w:lang w:val="de-DE"/>
        </w:rPr>
        <w:t xml:space="preserve">. </w:t>
      </w:r>
    </w:p>
    <w:p w:rsidR="00E73313" w:rsidRPr="003002D3" w:rsidRDefault="00E73313" w:rsidP="00E73313">
      <w:pPr>
        <w:pStyle w:val="FootnoteBulletLevel1"/>
        <w:tabs>
          <w:tab w:val="clear" w:pos="900"/>
          <w:tab w:val="left" w:pos="720"/>
        </w:tabs>
        <w:spacing w:before="0" w:after="0"/>
        <w:ind w:left="720" w:firstLine="0"/>
        <w:rPr>
          <w:lang w:val="de-DE"/>
        </w:rPr>
      </w:pPr>
    </w:p>
    <w:p w:rsidR="00E73313" w:rsidRPr="003002D3" w:rsidRDefault="00E73313" w:rsidP="00B56A92">
      <w:pPr>
        <w:pStyle w:val="FootnoteBulletLevel1"/>
        <w:tabs>
          <w:tab w:val="clear" w:pos="900"/>
          <w:tab w:val="left" w:pos="720"/>
        </w:tabs>
        <w:spacing w:before="0" w:after="0"/>
        <w:ind w:left="720" w:firstLine="0"/>
        <w:rPr>
          <w:lang w:val="de-DE"/>
        </w:rPr>
      </w:pPr>
      <w:r w:rsidRPr="003002D3">
        <w:rPr>
          <w:rFonts w:ascii="Tahoma" w:hAnsi="Tahoma" w:cs="Tahoma"/>
          <w:sz w:val="18"/>
          <w:lang w:val="de-DE"/>
        </w:rPr>
        <w:t>*Die geänderte SMSE-Lizenzierung gilt für System Center Operations Manager 2007 R2 sowie für neue Versionen der anderen Produkte, die zu System Center Server Management Suite Enterprise gehören (z</w:t>
      </w:r>
      <w:r w:rsidR="006257A7">
        <w:rPr>
          <w:rFonts w:ascii="Tahoma" w:hAnsi="Tahoma" w:cs="Tahoma"/>
          <w:sz w:val="18"/>
          <w:lang w:val="de-DE"/>
        </w:rPr>
        <w:t xml:space="preserve">. </w:t>
      </w:r>
      <w:r w:rsidRPr="003002D3">
        <w:rPr>
          <w:rFonts w:ascii="Tahoma" w:hAnsi="Tahoma" w:cs="Tahoma"/>
          <w:sz w:val="18"/>
          <w:lang w:val="de-DE"/>
        </w:rPr>
        <w:t>B</w:t>
      </w:r>
      <w:r w:rsidR="006257A7">
        <w:rPr>
          <w:rFonts w:ascii="Tahoma" w:hAnsi="Tahoma" w:cs="Tahoma"/>
          <w:sz w:val="18"/>
          <w:lang w:val="de-DE"/>
        </w:rPr>
        <w:t xml:space="preserve">. </w:t>
      </w:r>
      <w:r w:rsidRPr="003002D3">
        <w:rPr>
          <w:rFonts w:ascii="Tahoma" w:hAnsi="Tahoma" w:cs="Tahoma"/>
          <w:sz w:val="18"/>
          <w:lang w:val="de-DE"/>
        </w:rPr>
        <w:t>System Center Virtual Machine Manager 2008 R2)</w:t>
      </w:r>
      <w:r w:rsidR="006257A7">
        <w:rPr>
          <w:rFonts w:ascii="Tahoma" w:hAnsi="Tahoma" w:cs="Tahoma"/>
          <w:sz w:val="18"/>
          <w:lang w:val="de-DE"/>
        </w:rPr>
        <w:t xml:space="preserve">. </w:t>
      </w:r>
    </w:p>
    <w:p w:rsidR="00B56A92" w:rsidRDefault="00B56A92" w:rsidP="00E73313">
      <w:pPr>
        <w:pStyle w:val="FootnoteBulletLevel1"/>
        <w:tabs>
          <w:tab w:val="clear" w:pos="900"/>
          <w:tab w:val="left" w:pos="720"/>
        </w:tabs>
        <w:spacing w:before="0" w:after="0"/>
        <w:rPr>
          <w:lang w:val="de-DE"/>
        </w:rPr>
      </w:pPr>
    </w:p>
    <w:p w:rsidR="00DD788F" w:rsidRDefault="00DD788F" w:rsidP="00E73313">
      <w:pPr>
        <w:pStyle w:val="FootnoteBulletLevel1"/>
        <w:tabs>
          <w:tab w:val="clear" w:pos="900"/>
          <w:tab w:val="left" w:pos="720"/>
        </w:tabs>
        <w:spacing w:before="0" w:after="0"/>
        <w:rPr>
          <w:lang w:val="de-DE"/>
        </w:rPr>
      </w:pPr>
    </w:p>
    <w:p w:rsidR="00DD788F" w:rsidRDefault="00DD788F" w:rsidP="00E73313">
      <w:pPr>
        <w:pStyle w:val="FootnoteBulletLevel1"/>
        <w:tabs>
          <w:tab w:val="clear" w:pos="900"/>
          <w:tab w:val="left" w:pos="720"/>
        </w:tabs>
        <w:spacing w:before="0" w:after="0"/>
        <w:rPr>
          <w:lang w:val="de-DE"/>
        </w:rPr>
      </w:pPr>
    </w:p>
    <w:p w:rsidR="00DD788F" w:rsidRDefault="00DD788F" w:rsidP="00E73313">
      <w:pPr>
        <w:pStyle w:val="FootnoteBulletLevel1"/>
        <w:tabs>
          <w:tab w:val="clear" w:pos="900"/>
          <w:tab w:val="left" w:pos="720"/>
        </w:tabs>
        <w:spacing w:before="0" w:after="0"/>
        <w:rPr>
          <w:lang w:val="de-DE"/>
        </w:rPr>
      </w:pPr>
    </w:p>
    <w:p w:rsidR="00DD788F" w:rsidRDefault="00DD788F" w:rsidP="00E73313">
      <w:pPr>
        <w:pStyle w:val="FootnoteBulletLevel1"/>
        <w:tabs>
          <w:tab w:val="clear" w:pos="900"/>
          <w:tab w:val="left" w:pos="720"/>
        </w:tabs>
        <w:spacing w:before="0" w:after="0"/>
        <w:rPr>
          <w:lang w:val="de-DE"/>
        </w:rPr>
      </w:pPr>
    </w:p>
    <w:p w:rsidR="00B56A92" w:rsidRPr="003002D3" w:rsidRDefault="00B56A92" w:rsidP="00E73313">
      <w:pPr>
        <w:pStyle w:val="FootnoteBulletLevel1"/>
        <w:tabs>
          <w:tab w:val="clear" w:pos="900"/>
          <w:tab w:val="left" w:pos="720"/>
        </w:tabs>
        <w:spacing w:before="0" w:after="0"/>
        <w:rPr>
          <w:lang w:val="de-DE"/>
        </w:rPr>
      </w:pPr>
    </w:p>
    <w:p w:rsidR="00E73313" w:rsidRPr="003002D3" w:rsidRDefault="00E73313" w:rsidP="00E73313">
      <w:pPr>
        <w:pStyle w:val="Heading3"/>
        <w:rPr>
          <w:lang w:val="de-DE"/>
        </w:rPr>
      </w:pPr>
      <w:bookmarkStart w:id="1534" w:name="_86_System_Center"/>
      <w:bookmarkStart w:id="1535" w:name="_94_System_Center"/>
      <w:bookmarkStart w:id="1536" w:name="_Toc336338355"/>
      <w:bookmarkStart w:id="1537" w:name="_Toc363999091"/>
      <w:bookmarkStart w:id="1538" w:name="Srv_90SysCtrSvrMgmtSuiteDatacenter"/>
      <w:bookmarkEnd w:id="1534"/>
      <w:bookmarkEnd w:id="1535"/>
      <w:r w:rsidRPr="003002D3">
        <w:rPr>
          <w:rFonts w:ascii="Tahoma" w:hAnsi="Tahoma" w:cs="Tahoma"/>
          <w:caps/>
          <w:color w:val="FF7415"/>
          <w:sz w:val="22"/>
          <w:szCs w:val="22"/>
          <w:vertAlign w:val="superscript"/>
          <w:lang w:val="de-DE"/>
        </w:rPr>
        <w:t>94</w:t>
      </w:r>
      <w:r w:rsidRPr="00B56A92">
        <w:rPr>
          <w:rFonts w:ascii="Tahoma" w:hAnsi="Tahoma" w:cs="Tahoma"/>
          <w:caps/>
          <w:color w:val="FF7415"/>
          <w:sz w:val="22"/>
          <w:szCs w:val="22"/>
          <w:lang w:val="de-DE"/>
        </w:rPr>
        <w:t xml:space="preserve"> </w:t>
      </w:r>
      <w:r w:rsidRPr="003002D3">
        <w:rPr>
          <w:rFonts w:ascii="Tahoma" w:hAnsi="Tahoma" w:cs="Tahoma"/>
          <w:color w:val="FF7415"/>
          <w:sz w:val="22"/>
          <w:szCs w:val="22"/>
          <w:lang w:val="de-DE"/>
        </w:rPr>
        <w:t>System Center Server Management Suite Datacenter</w:t>
      </w:r>
      <w:bookmarkEnd w:id="1536"/>
      <w:bookmarkEnd w:id="1537"/>
    </w:p>
    <w:bookmarkEnd w:id="1538"/>
    <w:p w:rsidR="00E73313" w:rsidRPr="00B56A92" w:rsidRDefault="00E73313" w:rsidP="00B56A92">
      <w:pPr>
        <w:spacing w:line="204" w:lineRule="auto"/>
        <w:ind w:left="360"/>
        <w:rPr>
          <w:szCs w:val="18"/>
          <w:lang w:val="de-DE"/>
        </w:rPr>
      </w:pPr>
    </w:p>
    <w:p w:rsidR="00E73313" w:rsidRPr="003002D3" w:rsidRDefault="00E73313" w:rsidP="00E73313">
      <w:pPr>
        <w:pStyle w:val="EndnoteText"/>
        <w:ind w:left="720"/>
        <w:rPr>
          <w:lang w:val="de-DE"/>
        </w:rPr>
      </w:pPr>
      <w:r w:rsidRPr="003002D3">
        <w:rPr>
          <w:rFonts w:ascii="Tahoma" w:hAnsi="Tahoma" w:cs="Tahoma"/>
          <w:color w:val="000000"/>
          <w:sz w:val="18"/>
          <w:lang w:val="de-DE"/>
        </w:rPr>
        <w:t>Dieses Produkt hat den Status End-Of-Life (EOL) und wird nicht mehr angeboten</w:t>
      </w:r>
      <w:r w:rsidR="006257A7">
        <w:rPr>
          <w:rFonts w:ascii="Tahoma" w:hAnsi="Tahoma" w:cs="Tahoma"/>
          <w:color w:val="000000"/>
          <w:sz w:val="18"/>
          <w:lang w:val="de-DE"/>
        </w:rPr>
        <w:t xml:space="preserve">. </w:t>
      </w:r>
    </w:p>
    <w:p w:rsidR="00E73313" w:rsidRPr="00B56A92" w:rsidRDefault="00E73313" w:rsidP="00B56A92">
      <w:pPr>
        <w:pStyle w:val="EndnoteText"/>
        <w:spacing w:line="204" w:lineRule="auto"/>
        <w:ind w:left="720"/>
        <w:rPr>
          <w:sz w:val="18"/>
          <w:szCs w:val="18"/>
          <w:lang w:val="de-DE"/>
        </w:rPr>
      </w:pPr>
    </w:p>
    <w:p w:rsidR="00E73313" w:rsidRPr="003002D3" w:rsidRDefault="00E73313" w:rsidP="00E73313">
      <w:pPr>
        <w:pStyle w:val="FootnoteBulletLevel1"/>
        <w:tabs>
          <w:tab w:val="clear" w:pos="900"/>
        </w:tabs>
        <w:spacing w:before="0" w:after="60"/>
        <w:ind w:left="720" w:firstLine="0"/>
        <w:rPr>
          <w:lang w:val="de-DE"/>
        </w:rPr>
      </w:pPr>
      <w:r w:rsidRPr="003002D3">
        <w:rPr>
          <w:rFonts w:ascii="Tahoma" w:hAnsi="Tahoma" w:cs="Tahoma"/>
          <w:b/>
          <w:sz w:val="18"/>
          <w:lang w:val="de-DE"/>
        </w:rPr>
        <w:t>Details zur einmaligen Gewährung von Übergangslizenzen für System Center 2012</w:t>
      </w:r>
    </w:p>
    <w:p w:rsidR="00E73313" w:rsidRPr="003002D3" w:rsidRDefault="00E73313" w:rsidP="00E73313">
      <w:pPr>
        <w:ind w:left="720"/>
        <w:rPr>
          <w:lang w:val="de-DE"/>
        </w:rPr>
      </w:pPr>
      <w:r w:rsidRPr="003002D3">
        <w:rPr>
          <w:lang w:val="de-DE"/>
        </w:rPr>
        <w:t>Weitere Informationen zur Gewährung von Übergangslizenzen finden Sie im Produkthinweis zu System Center 2012-Angeboten</w:t>
      </w:r>
      <w:r w:rsidR="006257A7">
        <w:rPr>
          <w:lang w:val="de-DE"/>
        </w:rPr>
        <w:t xml:space="preserve">. </w:t>
      </w:r>
    </w:p>
    <w:p w:rsidR="00E73313" w:rsidRPr="00B56A92" w:rsidRDefault="00E73313" w:rsidP="00B56A92">
      <w:pPr>
        <w:spacing w:line="204" w:lineRule="auto"/>
        <w:ind w:left="720"/>
        <w:rPr>
          <w:szCs w:val="18"/>
          <w:lang w:val="de-DE"/>
        </w:rPr>
      </w:pPr>
    </w:p>
    <w:p w:rsidR="00E73313" w:rsidRPr="003002D3" w:rsidRDefault="00E73313" w:rsidP="00E73313">
      <w:pPr>
        <w:ind w:left="720"/>
        <w:rPr>
          <w:lang w:val="de-DE"/>
        </w:rPr>
      </w:pPr>
      <w:r w:rsidRPr="003002D3">
        <w:rPr>
          <w:rFonts w:cs="Tahoma"/>
          <w:szCs w:val="20"/>
          <w:lang w:val="de-DE"/>
        </w:rPr>
        <w:t>System Center Server Management Suite Datacenter hat keine Versionsnummer, und die Produktbenutzungsrechte hängen vom Status der Software Assurance für System Center Server Management Suite Datacenter ab</w:t>
      </w:r>
      <w:r w:rsidR="006257A7">
        <w:rPr>
          <w:rFonts w:cs="Tahoma"/>
          <w:szCs w:val="20"/>
          <w:lang w:val="de-DE"/>
        </w:rPr>
        <w:t xml:space="preserve">. </w:t>
      </w:r>
      <w:r w:rsidRPr="003002D3">
        <w:rPr>
          <w:rFonts w:cs="Tahoma"/>
          <w:szCs w:val="20"/>
          <w:lang w:val="de-DE"/>
        </w:rPr>
        <w:t>Falls Software Assurance unterbrochen wird, hängen die Zugriffsrechte im Rahmen zeitlich unbeschränkter Lizenzen von den Produktbenutzungsrechten ab, die vor der Unterbrechung galten</w:t>
      </w:r>
      <w:r w:rsidR="006257A7">
        <w:rPr>
          <w:rFonts w:cs="Tahoma"/>
          <w:szCs w:val="20"/>
          <w:lang w:val="de-DE"/>
        </w:rPr>
        <w:t xml:space="preserve">. </w:t>
      </w:r>
    </w:p>
    <w:p w:rsidR="00E73313" w:rsidRPr="00B56A92" w:rsidRDefault="00E73313" w:rsidP="00B56A92">
      <w:pPr>
        <w:spacing w:line="204" w:lineRule="auto"/>
        <w:ind w:left="720"/>
        <w:rPr>
          <w:szCs w:val="18"/>
          <w:lang w:val="de-DE"/>
        </w:rPr>
      </w:pPr>
    </w:p>
    <w:p w:rsidR="00E73313" w:rsidRPr="003002D3" w:rsidRDefault="00E73313" w:rsidP="00E73313">
      <w:pPr>
        <w:ind w:left="720"/>
        <w:rPr>
          <w:lang w:val="de-DE"/>
        </w:rPr>
      </w:pPr>
      <w:r w:rsidRPr="003002D3">
        <w:rPr>
          <w:rFonts w:cs="Tahoma"/>
          <w:color w:val="000000"/>
          <w:szCs w:val="18"/>
          <w:lang w:val="de-DE"/>
        </w:rPr>
        <w:t>Ab dem 1</w:t>
      </w:r>
      <w:r w:rsidR="006257A7">
        <w:rPr>
          <w:rFonts w:cs="Tahoma"/>
          <w:color w:val="000000"/>
          <w:szCs w:val="18"/>
          <w:lang w:val="de-DE"/>
        </w:rPr>
        <w:t xml:space="preserve">. </w:t>
      </w:r>
      <w:r w:rsidRPr="003002D3">
        <w:rPr>
          <w:rFonts w:cs="Tahoma"/>
          <w:color w:val="000000"/>
          <w:szCs w:val="18"/>
          <w:lang w:val="de-DE"/>
        </w:rPr>
        <w:t>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w:t>
      </w:r>
      <w:r w:rsidR="006257A7">
        <w:rPr>
          <w:rFonts w:cs="Tahoma"/>
          <w:color w:val="000000"/>
          <w:szCs w:val="18"/>
          <w:lang w:val="de-DE"/>
        </w:rPr>
        <w:t xml:space="preserve">. </w:t>
      </w:r>
      <w:r w:rsidRPr="003002D3">
        <w:rPr>
          <w:rFonts w:cs="Tahoma"/>
          <w:color w:val="000000"/>
          <w:szCs w:val="18"/>
          <w:lang w:val="de-DE"/>
        </w:rPr>
        <w:t>Darüber hinaus ist die Serverlizenz für Virtual Machine Manager 2008 R2 und Data Protection Manager 2010 enthalten</w:t>
      </w:r>
      <w:r w:rsidR="006257A7">
        <w:rPr>
          <w:rFonts w:cs="Tahoma"/>
          <w:color w:val="000000"/>
          <w:szCs w:val="18"/>
          <w:lang w:val="de-DE"/>
        </w:rPr>
        <w:t xml:space="preserve">. </w:t>
      </w:r>
      <w:r w:rsidRPr="003002D3">
        <w:rPr>
          <w:rFonts w:cs="Tahoma"/>
          <w:color w:val="000000"/>
          <w:szCs w:val="18"/>
          <w:lang w:val="de-DE"/>
        </w:rPr>
        <w:t>Informationen zu den Nutzungsrechten finden Sie in den PUR</w:t>
      </w:r>
      <w:r w:rsidR="006257A7">
        <w:rPr>
          <w:rFonts w:cs="Tahoma"/>
          <w:color w:val="000000"/>
          <w:szCs w:val="18"/>
          <w:lang w:val="de-DE"/>
        </w:rPr>
        <w:t xml:space="preserve">. </w:t>
      </w:r>
      <w:bookmarkStart w:id="1539" w:name="_90_System_Center"/>
      <w:bookmarkEnd w:id="1539"/>
    </w:p>
    <w:p w:rsidR="00E73313" w:rsidRPr="00B56A92" w:rsidRDefault="00E73313" w:rsidP="00B56A92">
      <w:pPr>
        <w:spacing w:line="204" w:lineRule="auto"/>
        <w:rPr>
          <w:szCs w:val="18"/>
          <w:lang w:val="de-DE"/>
        </w:rPr>
      </w:pPr>
      <w:bookmarkStart w:id="1540" w:name="Srv_92TechNetPlusSingleUser"/>
    </w:p>
    <w:p w:rsidR="00E73313" w:rsidRPr="00B56A92" w:rsidRDefault="00E73313" w:rsidP="00B56A92">
      <w:pPr>
        <w:spacing w:line="204" w:lineRule="auto"/>
        <w:rPr>
          <w:szCs w:val="18"/>
          <w:lang w:val="de-DE"/>
        </w:rPr>
      </w:pPr>
    </w:p>
    <w:p w:rsidR="00E73313" w:rsidRPr="003002D3" w:rsidRDefault="00E73313" w:rsidP="00E73313">
      <w:pPr>
        <w:pStyle w:val="Heading3"/>
        <w:ind w:left="270" w:hanging="270"/>
        <w:rPr>
          <w:lang w:val="de-DE"/>
        </w:rPr>
      </w:pPr>
      <w:bookmarkStart w:id="1541" w:name="_87_System_Center"/>
      <w:bookmarkStart w:id="1542" w:name="_Toc336338357"/>
      <w:bookmarkStart w:id="1543" w:name="_Toc363999092"/>
      <w:bookmarkStart w:id="1544" w:name="Srv_100SysCenterVMM2008R2"/>
      <w:bookmarkEnd w:id="1541"/>
      <w:r w:rsidRPr="003002D3">
        <w:rPr>
          <w:rFonts w:ascii="Tahoma" w:hAnsi="Tahoma" w:cs="Tahoma"/>
          <w:caps/>
          <w:color w:val="FF6F0D"/>
          <w:sz w:val="22"/>
          <w:szCs w:val="22"/>
          <w:vertAlign w:val="superscript"/>
          <w:lang w:val="de-DE"/>
        </w:rPr>
        <w:t>95</w:t>
      </w:r>
      <w:r w:rsidRPr="003002D3">
        <w:rPr>
          <w:rFonts w:ascii="Tahoma" w:hAnsi="Tahoma" w:cs="Tahoma"/>
          <w:color w:val="FF6F0D"/>
          <w:sz w:val="22"/>
          <w:szCs w:val="22"/>
          <w:lang w:val="de-DE"/>
        </w:rPr>
        <w:t xml:space="preserve"> System Center Virtual Machine Manager 2008 R2 – Client- und Server-Management-Lizenzen</w:t>
      </w:r>
      <w:bookmarkEnd w:id="1542"/>
      <w:bookmarkEnd w:id="1543"/>
    </w:p>
    <w:bookmarkEnd w:id="1544"/>
    <w:p w:rsidR="00E73313" w:rsidRPr="00B56A92" w:rsidRDefault="00E73313" w:rsidP="00B56A92">
      <w:pPr>
        <w:spacing w:line="204" w:lineRule="auto"/>
        <w:rPr>
          <w:szCs w:val="18"/>
          <w:lang w:val="de-DE"/>
        </w:rPr>
      </w:pPr>
    </w:p>
    <w:p w:rsidR="00E73313" w:rsidRPr="003002D3" w:rsidRDefault="00E73313" w:rsidP="00E73313">
      <w:pPr>
        <w:ind w:left="720"/>
        <w:rPr>
          <w:lang w:val="de-DE"/>
        </w:rPr>
      </w:pPr>
      <w:r w:rsidRPr="003002D3">
        <w:rPr>
          <w:lang w:val="de-DE"/>
        </w:rPr>
        <w:t>Diese Produkte haben den Status End-Of-Life (EOL) und werden nicht mehr angeboten</w:t>
      </w:r>
      <w:r w:rsidR="006257A7">
        <w:rPr>
          <w:lang w:val="de-DE"/>
        </w:rPr>
        <w:t xml:space="preserve">. </w:t>
      </w:r>
    </w:p>
    <w:p w:rsidR="00E73313" w:rsidRPr="00B56A92" w:rsidRDefault="00E73313" w:rsidP="00B56A92">
      <w:pPr>
        <w:spacing w:line="204" w:lineRule="auto"/>
        <w:ind w:left="720"/>
        <w:rPr>
          <w:szCs w:val="18"/>
          <w:lang w:val="de-DE"/>
        </w:rPr>
      </w:pPr>
    </w:p>
    <w:p w:rsidR="00E73313" w:rsidRPr="003002D3" w:rsidRDefault="00E73313" w:rsidP="00E73313">
      <w:pPr>
        <w:adjustRightInd w:val="0"/>
        <w:spacing w:after="60"/>
        <w:ind w:left="720"/>
        <w:textAlignment w:val="baseline"/>
        <w:rPr>
          <w:lang w:val="de-DE"/>
        </w:rPr>
      </w:pPr>
      <w:r w:rsidRPr="003002D3">
        <w:rPr>
          <w:rFonts w:cs="Tahoma"/>
          <w:b/>
          <w:szCs w:val="20"/>
          <w:lang w:val="de-DE"/>
        </w:rPr>
        <w:t>Details zur einmaligen Gewährung von Übergangslizenzen für System Center 2012</w:t>
      </w:r>
    </w:p>
    <w:p w:rsidR="00E73313" w:rsidRPr="003002D3" w:rsidRDefault="00E73313" w:rsidP="00E73313">
      <w:pPr>
        <w:ind w:left="720"/>
        <w:rPr>
          <w:lang w:val="de-DE"/>
        </w:rPr>
      </w:pPr>
      <w:r w:rsidRPr="003002D3">
        <w:rPr>
          <w:lang w:val="de-DE"/>
        </w:rPr>
        <w:t>Weitere Informationen zur Gewährung von Übergangslizenzen finden Sie im Produkthinweis zu System Center 2012-Ang</w:t>
      </w:r>
      <w:bookmarkStart w:id="1545" w:name="_Toc336338358"/>
      <w:bookmarkStart w:id="1546" w:name="Srv_101SystemCenter2012"/>
      <w:r w:rsidRPr="003002D3">
        <w:rPr>
          <w:lang w:val="de-DE"/>
        </w:rPr>
        <w:t>eboten</w:t>
      </w:r>
      <w:r w:rsidR="006257A7">
        <w:rPr>
          <w:lang w:val="de-DE"/>
        </w:rPr>
        <w:t xml:space="preserve">. </w:t>
      </w:r>
    </w:p>
    <w:p w:rsidR="00E73313" w:rsidRPr="00B56A92" w:rsidRDefault="00E73313" w:rsidP="00B56A92">
      <w:pPr>
        <w:spacing w:line="204" w:lineRule="auto"/>
        <w:rPr>
          <w:szCs w:val="18"/>
          <w:lang w:val="de-DE"/>
        </w:rPr>
      </w:pPr>
    </w:p>
    <w:p w:rsidR="00E73313" w:rsidRPr="00B56A92" w:rsidRDefault="00E73313" w:rsidP="00B56A92">
      <w:pPr>
        <w:spacing w:line="204" w:lineRule="auto"/>
        <w:rPr>
          <w:szCs w:val="18"/>
          <w:lang w:val="de-DE"/>
        </w:rPr>
      </w:pPr>
    </w:p>
    <w:p w:rsidR="00E73313" w:rsidRPr="003002D3" w:rsidRDefault="00E73313" w:rsidP="00E73313">
      <w:pPr>
        <w:pStyle w:val="Heading3"/>
        <w:rPr>
          <w:lang w:val="de-DE"/>
        </w:rPr>
      </w:pPr>
      <w:bookmarkStart w:id="1547" w:name="_91_89_System"/>
      <w:bookmarkStart w:id="1548" w:name="_96_System_Center"/>
      <w:bookmarkStart w:id="1549" w:name="_Toc363999093"/>
      <w:bookmarkEnd w:id="1547"/>
      <w:bookmarkEnd w:id="1548"/>
      <w:r w:rsidRPr="003002D3">
        <w:rPr>
          <w:rFonts w:ascii="Tahoma" w:hAnsi="Tahoma" w:cs="Tahoma"/>
          <w:caps/>
          <w:color w:val="FF6F0D"/>
          <w:sz w:val="22"/>
          <w:szCs w:val="22"/>
          <w:vertAlign w:val="superscript"/>
          <w:lang w:val="de-DE"/>
        </w:rPr>
        <w:t>96</w:t>
      </w:r>
      <w:r w:rsidRPr="003002D3">
        <w:rPr>
          <w:rFonts w:ascii="Tahoma" w:hAnsi="Tahoma" w:cs="Tahoma"/>
          <w:color w:val="FF6F0D"/>
          <w:sz w:val="22"/>
          <w:szCs w:val="22"/>
          <w:lang w:val="de-DE"/>
        </w:rPr>
        <w:t xml:space="preserve"> System Center 2012</w:t>
      </w:r>
      <w:bookmarkEnd w:id="1545"/>
      <w:bookmarkEnd w:id="1549"/>
    </w:p>
    <w:bookmarkEnd w:id="1546"/>
    <w:p w:rsidR="00E73313" w:rsidRPr="00B56A92" w:rsidRDefault="00E73313" w:rsidP="00B56A92">
      <w:pPr>
        <w:spacing w:line="204" w:lineRule="auto"/>
        <w:rPr>
          <w:szCs w:val="18"/>
          <w:lang w:val="de-DE"/>
        </w:rPr>
      </w:pPr>
    </w:p>
    <w:p w:rsidR="00E73313" w:rsidRPr="003002D3" w:rsidRDefault="00E73313" w:rsidP="00E73313">
      <w:pPr>
        <w:ind w:left="720"/>
        <w:rPr>
          <w:lang w:val="de-DE"/>
        </w:rPr>
      </w:pPr>
      <w:r w:rsidRPr="003002D3">
        <w:rPr>
          <w:rFonts w:cs="Tahoma"/>
          <w:color w:val="000000"/>
          <w:szCs w:val="24"/>
          <w:lang w:val="de-DE"/>
        </w:rPr>
        <w:t>Spätere Versionen von System Center Data Protection Manager 2010, System Center Operations Manager 2008 R2, System Center Service Manager 2010 und System Center Virtual Machine Manager 2008 R2 werden nicht verfügbar sein</w:t>
      </w:r>
      <w:r w:rsidR="006257A7">
        <w:rPr>
          <w:rFonts w:cs="Tahoma"/>
          <w:color w:val="000000"/>
          <w:szCs w:val="24"/>
          <w:lang w:val="de-DE"/>
        </w:rPr>
        <w:t xml:space="preserve">. </w:t>
      </w:r>
      <w:r w:rsidRPr="003002D3">
        <w:rPr>
          <w:rFonts w:cs="Tahoma"/>
          <w:color w:val="000000"/>
          <w:szCs w:val="24"/>
          <w:lang w:val="de-DE"/>
        </w:rPr>
        <w:t>Dementsprechend werden spätere Versionen von System Center Configuration Manager 2007 R3 unter separaten Softwarelizenzen oder Server-Management-Lizenzen nicht verfügbar sein</w:t>
      </w:r>
      <w:r w:rsidR="006257A7">
        <w:rPr>
          <w:rFonts w:cs="Tahoma"/>
          <w:color w:val="000000"/>
          <w:szCs w:val="24"/>
          <w:lang w:val="de-DE"/>
        </w:rPr>
        <w:t xml:space="preserve">. </w:t>
      </w:r>
      <w:r w:rsidRPr="003002D3">
        <w:rPr>
          <w:rFonts w:cs="Tahoma"/>
          <w:color w:val="000000"/>
          <w:szCs w:val="24"/>
          <w:lang w:val="de-DE"/>
        </w:rPr>
        <w:t>Als Ausnahme erhalten Software Assurance-Kunden, die am 1</w:t>
      </w:r>
      <w:r w:rsidR="006257A7">
        <w:rPr>
          <w:rFonts w:cs="Tahoma"/>
          <w:color w:val="000000"/>
          <w:szCs w:val="24"/>
          <w:lang w:val="de-DE"/>
        </w:rPr>
        <w:t xml:space="preserve">. </w:t>
      </w:r>
      <w:r w:rsidRPr="003002D3">
        <w:rPr>
          <w:rFonts w:cs="Tahoma"/>
          <w:color w:val="000000"/>
          <w:szCs w:val="24"/>
          <w:lang w:val="de-DE"/>
        </w:rPr>
        <w:t>April 2012 über Software Assurance für diesen Produkten entsprechende Software- und Management-Lizenzen verfügten, bei Verfügbarkeit von System Center 2012 die Lizenzen, um auf Systems Center 2012-Software anstelle dieser Produkte wie folgt upzugraden und diese zu verwenden</w:t>
      </w:r>
      <w:r w:rsidR="006257A7">
        <w:rPr>
          <w:rFonts w:cs="Tahoma"/>
          <w:color w:val="000000"/>
          <w:szCs w:val="24"/>
          <w:lang w:val="de-DE"/>
        </w:rPr>
        <w:t xml:space="preserve">. </w:t>
      </w:r>
    </w:p>
    <w:p w:rsidR="00E73313" w:rsidRPr="00B56A92" w:rsidRDefault="00E73313" w:rsidP="00B56A92">
      <w:pPr>
        <w:spacing w:line="204" w:lineRule="auto"/>
        <w:ind w:left="900"/>
        <w:rPr>
          <w:szCs w:val="18"/>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73313" w:rsidRPr="00FF4CAB" w:rsidTr="00B56A92">
        <w:trPr>
          <w:tblHeader/>
        </w:trPr>
        <w:tc>
          <w:tcPr>
            <w:tcW w:w="3960" w:type="dxa"/>
            <w:tcBorders>
              <w:top w:val="single" w:sz="4" w:space="0" w:color="000000"/>
              <w:bottom w:val="single" w:sz="6" w:space="0" w:color="000000"/>
            </w:tcBorders>
            <w:shd w:val="clear" w:color="auto" w:fill="FABF8F"/>
          </w:tcPr>
          <w:p w:rsidR="00E73313" w:rsidRPr="00FF4CAB" w:rsidRDefault="00E73313" w:rsidP="00E328C3">
            <w:pPr>
              <w:jc w:val="center"/>
              <w:rPr>
                <w:rFonts w:cs="Tahoma"/>
                <w:b/>
                <w:color w:val="000000"/>
                <w:szCs w:val="20"/>
              </w:rPr>
            </w:pPr>
            <w:r>
              <w:rPr>
                <w:rFonts w:cs="Tahoma"/>
                <w:b/>
                <w:color w:val="000000"/>
                <w:szCs w:val="20"/>
              </w:rPr>
              <w:t>Qualifizierende Lizenzen</w:t>
            </w:r>
          </w:p>
        </w:tc>
        <w:tc>
          <w:tcPr>
            <w:tcW w:w="4050" w:type="dxa"/>
            <w:tcBorders>
              <w:top w:val="single" w:sz="4" w:space="0" w:color="000000"/>
              <w:bottom w:val="single" w:sz="6" w:space="0" w:color="000000"/>
            </w:tcBorders>
            <w:shd w:val="clear" w:color="auto" w:fill="FABF8F"/>
          </w:tcPr>
          <w:p w:rsidR="00E73313" w:rsidRPr="00FF4CAB" w:rsidRDefault="00E73313" w:rsidP="00E328C3">
            <w:pPr>
              <w:jc w:val="center"/>
              <w:rPr>
                <w:rFonts w:cs="Tahoma"/>
                <w:b/>
                <w:color w:val="000000"/>
                <w:szCs w:val="20"/>
              </w:rPr>
            </w:pPr>
            <w:r>
              <w:rPr>
                <w:rFonts w:cs="Tahoma"/>
                <w:b/>
                <w:color w:val="000000"/>
                <w:szCs w:val="20"/>
              </w:rPr>
              <w:t>System Center 2012-Lizenzen:</w:t>
            </w:r>
          </w:p>
        </w:tc>
      </w:tr>
      <w:tr w:rsidR="00E73313" w:rsidRPr="00FF4CAB" w:rsidTr="00E328C3">
        <w:tc>
          <w:tcPr>
            <w:tcW w:w="3960" w:type="dxa"/>
            <w:tcBorders>
              <w:top w:val="single" w:sz="6" w:space="0" w:color="000000"/>
            </w:tcBorders>
            <w:shd w:val="clear" w:color="auto" w:fill="FFFFFF"/>
          </w:tcPr>
          <w:p w:rsidR="00E73313" w:rsidRPr="00FF4CAB" w:rsidRDefault="00E73313" w:rsidP="00E328C3">
            <w:pPr>
              <w:rPr>
                <w:rFonts w:cs="Tahoma"/>
                <w:color w:val="000000"/>
                <w:szCs w:val="20"/>
              </w:rPr>
            </w:pPr>
            <w:r>
              <w:rPr>
                <w:rFonts w:cs="Tahoma"/>
                <w:color w:val="000000"/>
                <w:szCs w:val="20"/>
              </w:rPr>
              <w:t>System Center Client Management Suite (Client-ML) pro Betriebssystemumgebung</w:t>
            </w:r>
          </w:p>
        </w:tc>
        <w:tc>
          <w:tcPr>
            <w:tcW w:w="4050" w:type="dxa"/>
            <w:tcBorders>
              <w:top w:val="single" w:sz="6" w:space="0" w:color="000000"/>
            </w:tcBorders>
            <w:shd w:val="clear" w:color="auto" w:fill="FFFFFF"/>
          </w:tcPr>
          <w:p w:rsidR="00E73313" w:rsidRPr="00FF4CAB" w:rsidRDefault="00E73313" w:rsidP="00E328C3">
            <w:pPr>
              <w:rPr>
                <w:rFonts w:cs="Tahoma"/>
                <w:color w:val="000000"/>
                <w:szCs w:val="20"/>
              </w:rPr>
            </w:pPr>
            <w:r>
              <w:rPr>
                <w:rFonts w:cs="Tahoma"/>
                <w:color w:val="000000"/>
                <w:szCs w:val="20"/>
              </w:rPr>
              <w:t>1 System Center 2012 Client Management Suite (Client-ML) pro Betriebssystemumgebung</w:t>
            </w:r>
          </w:p>
        </w:tc>
      </w:tr>
      <w:tr w:rsidR="00E73313" w:rsidRPr="001B6F67" w:rsidTr="00E328C3">
        <w:tc>
          <w:tcPr>
            <w:tcW w:w="3960" w:type="dxa"/>
            <w:shd w:val="clear" w:color="auto" w:fill="FFFFFF"/>
          </w:tcPr>
          <w:p w:rsidR="00E73313" w:rsidRPr="003002D3" w:rsidRDefault="00E73313" w:rsidP="00E328C3">
            <w:pPr>
              <w:rPr>
                <w:rFonts w:cs="Tahoma"/>
                <w:color w:val="000000"/>
                <w:szCs w:val="20"/>
                <w:lang w:val="fr-FR"/>
              </w:rPr>
            </w:pPr>
            <w:r w:rsidRPr="003002D3">
              <w:rPr>
                <w:rFonts w:cs="Tahoma"/>
                <w:color w:val="000000"/>
                <w:szCs w:val="20"/>
                <w:lang w:val="fr-FR"/>
              </w:rPr>
              <w:t>System Center Client Management Suite (Client-ML) pro Nutzer</w:t>
            </w:r>
          </w:p>
        </w:tc>
        <w:tc>
          <w:tcPr>
            <w:tcW w:w="4050" w:type="dxa"/>
            <w:shd w:val="clear" w:color="auto" w:fill="FFFFFF"/>
          </w:tcPr>
          <w:p w:rsidR="00E73313" w:rsidRPr="003002D3" w:rsidRDefault="00E73313" w:rsidP="00E328C3">
            <w:pPr>
              <w:rPr>
                <w:rFonts w:cs="Tahoma"/>
                <w:color w:val="000000"/>
                <w:szCs w:val="20"/>
                <w:lang w:val="fr-FR"/>
              </w:rPr>
            </w:pPr>
            <w:r w:rsidRPr="003002D3">
              <w:rPr>
                <w:rFonts w:cs="Tahoma"/>
                <w:color w:val="000000"/>
                <w:szCs w:val="20"/>
                <w:lang w:val="fr-FR"/>
              </w:rPr>
              <w:t>1 System Center 2012 Client Management Suite (Client-ML) pro Nutzer</w:t>
            </w:r>
          </w:p>
        </w:tc>
      </w:tr>
      <w:tr w:rsidR="00E73313" w:rsidRPr="00FF4CAB" w:rsidTr="00E328C3">
        <w:tc>
          <w:tcPr>
            <w:tcW w:w="3960" w:type="dxa"/>
            <w:shd w:val="clear" w:color="auto" w:fill="FFFFFF"/>
          </w:tcPr>
          <w:p w:rsidR="00E73313" w:rsidRPr="00FF4CAB" w:rsidRDefault="00E73313" w:rsidP="00E328C3">
            <w:pPr>
              <w:rPr>
                <w:rFonts w:cs="Tahoma"/>
                <w:color w:val="000000"/>
                <w:szCs w:val="20"/>
              </w:rPr>
            </w:pPr>
            <w:r>
              <w:rPr>
                <w:rFonts w:cs="Tahoma"/>
                <w:color w:val="000000"/>
                <w:szCs w:val="20"/>
              </w:rPr>
              <w:t>System Center Configuration Manager 2007 R3</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Standard-Server-Management-Lizenz für System Center 2012 (Server-ML)</w:t>
            </w:r>
          </w:p>
        </w:tc>
      </w:tr>
      <w:tr w:rsidR="00E73313" w:rsidRPr="001B6F67" w:rsidTr="00E328C3">
        <w:tc>
          <w:tcPr>
            <w:tcW w:w="396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Client-Management-Lizenz (Client-ML) für System Center Configuration Manager 2007 R3 pro Betriebssystemumgebung</w:t>
            </w:r>
          </w:p>
        </w:tc>
        <w:tc>
          <w:tcPr>
            <w:tcW w:w="4050" w:type="dxa"/>
            <w:shd w:val="clear" w:color="auto" w:fill="FFFFFF"/>
          </w:tcPr>
          <w:p w:rsidR="00E73313" w:rsidRPr="003002D3" w:rsidRDefault="00E73313" w:rsidP="00E328C3">
            <w:pPr>
              <w:rPr>
                <w:rFonts w:cs="Tahoma"/>
                <w:color w:val="000000"/>
                <w:szCs w:val="20"/>
                <w:lang w:val="de-DE"/>
              </w:rPr>
            </w:pPr>
            <w:r w:rsidRPr="003002D3">
              <w:rPr>
                <w:rFonts w:cs="Tahoma"/>
                <w:szCs w:val="20"/>
                <w:lang w:val="de-DE"/>
              </w:rPr>
              <w:t>1 Client-Management-Lizenz (Client-ML) für System Center 2012 Configuration Manager pro Betriebssystemumgebung</w:t>
            </w:r>
          </w:p>
        </w:tc>
      </w:tr>
      <w:tr w:rsidR="00E73313" w:rsidRPr="001B6F67" w:rsidTr="00E328C3">
        <w:tc>
          <w:tcPr>
            <w:tcW w:w="396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Client-Management-Lizenz (Client-ML) für System Center Configuration Manager 2007 R3 pro Nutzer</w:t>
            </w:r>
          </w:p>
        </w:tc>
        <w:tc>
          <w:tcPr>
            <w:tcW w:w="4050" w:type="dxa"/>
            <w:shd w:val="clear" w:color="auto" w:fill="FFFFFF"/>
          </w:tcPr>
          <w:p w:rsidR="00E73313" w:rsidRPr="003002D3" w:rsidRDefault="00E73313" w:rsidP="00E328C3">
            <w:pPr>
              <w:rPr>
                <w:rFonts w:cs="Tahoma"/>
                <w:color w:val="000000"/>
                <w:szCs w:val="20"/>
                <w:lang w:val="de-DE"/>
              </w:rPr>
            </w:pPr>
            <w:r w:rsidRPr="003002D3">
              <w:rPr>
                <w:rFonts w:cs="Tahoma"/>
                <w:szCs w:val="20"/>
                <w:lang w:val="de-DE"/>
              </w:rPr>
              <w:t>1 Client-Management-Lizenz (Client-ML) für System Center 2012 Configuration Manager pro Nutzer</w:t>
            </w:r>
          </w:p>
        </w:tc>
      </w:tr>
      <w:tr w:rsidR="00E73313" w:rsidRPr="00FF4CAB" w:rsidTr="00E328C3">
        <w:tc>
          <w:tcPr>
            <w:tcW w:w="396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Client-Management-Lizenz (Client-ML) für System Center Configuration Manager 2007 R3 (nur Studenten)</w:t>
            </w:r>
            <w:r w:rsidRPr="003002D3">
              <w:rPr>
                <w:rFonts w:cs="Tahoma"/>
                <w:color w:val="000000"/>
                <w:szCs w:val="20"/>
                <w:vertAlign w:val="superscript"/>
                <w:lang w:val="de-DE"/>
              </w:rPr>
              <w:t>*</w:t>
            </w:r>
          </w:p>
        </w:tc>
        <w:tc>
          <w:tcPr>
            <w:tcW w:w="4050" w:type="dxa"/>
            <w:shd w:val="clear" w:color="auto" w:fill="FFFFFF"/>
          </w:tcPr>
          <w:p w:rsidR="00E73313" w:rsidRPr="00FF4CAB" w:rsidRDefault="00E73313" w:rsidP="00E328C3">
            <w:pPr>
              <w:rPr>
                <w:rFonts w:cs="Tahoma"/>
                <w:color w:val="000000"/>
                <w:szCs w:val="20"/>
              </w:rPr>
            </w:pPr>
            <w:r>
              <w:rPr>
                <w:rFonts w:cs="Tahoma"/>
                <w:szCs w:val="20"/>
              </w:rPr>
              <w:t>1 Client-Management-Lizenz (Client-ML) für System Center 2012 Configuration Manager (nur Studenten)</w:t>
            </w:r>
            <w:r>
              <w:rPr>
                <w:rFonts w:cs="Tahoma"/>
                <w:szCs w:val="20"/>
                <w:vertAlign w:val="superscript"/>
              </w:rPr>
              <w:t>*</w:t>
            </w:r>
          </w:p>
        </w:tc>
      </w:tr>
      <w:tr w:rsidR="00E73313" w:rsidRPr="00FF4CAB" w:rsidTr="00E328C3">
        <w:tc>
          <w:tcPr>
            <w:tcW w:w="3960" w:type="dxa"/>
            <w:shd w:val="clear" w:color="auto" w:fill="FFFFFF"/>
          </w:tcPr>
          <w:p w:rsidR="00E73313" w:rsidRPr="00FF4CAB" w:rsidRDefault="00E73313" w:rsidP="00E328C3">
            <w:pPr>
              <w:rPr>
                <w:rFonts w:cs="Tahoma"/>
                <w:color w:val="000000"/>
                <w:szCs w:val="20"/>
              </w:rPr>
            </w:pPr>
            <w:r>
              <w:rPr>
                <w:rFonts w:cs="Tahoma"/>
                <w:color w:val="000000"/>
                <w:szCs w:val="20"/>
              </w:rPr>
              <w:t>Enterprise-Server-Management-Lizenz für System Center Configuration Manager 2007 R3</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Standard-Server-Management-Lizenz für System Center 2012 (Server-ML)</w:t>
            </w:r>
          </w:p>
        </w:tc>
      </w:tr>
      <w:tr w:rsidR="00E73313" w:rsidRPr="00FF4CAB" w:rsidTr="00E328C3">
        <w:tc>
          <w:tcPr>
            <w:tcW w:w="3960" w:type="dxa"/>
            <w:shd w:val="clear" w:color="auto" w:fill="FFFFFF"/>
          </w:tcPr>
          <w:p w:rsidR="00E73313" w:rsidRPr="00FF4CAB" w:rsidRDefault="00E73313" w:rsidP="00E328C3">
            <w:pPr>
              <w:rPr>
                <w:rFonts w:cs="Tahoma"/>
                <w:color w:val="000000"/>
                <w:szCs w:val="20"/>
              </w:rPr>
            </w:pPr>
            <w:r>
              <w:rPr>
                <w:rFonts w:cs="Tahoma"/>
                <w:color w:val="000000"/>
                <w:szCs w:val="20"/>
              </w:rPr>
              <w:t xml:space="preserve">Standard-Server-Management-Lizenz für System Center Configuration Manager 2007 R3 </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Standard-Server-Management-Lizenz für System Center 2012 (Server-ML)</w:t>
            </w:r>
          </w:p>
        </w:tc>
      </w:tr>
      <w:tr w:rsidR="00E73313" w:rsidRPr="00FF4CAB" w:rsidTr="00E328C3">
        <w:tc>
          <w:tcPr>
            <w:tcW w:w="3960" w:type="dxa"/>
            <w:shd w:val="clear" w:color="auto" w:fill="FFFFFF"/>
          </w:tcPr>
          <w:p w:rsidR="00E73313" w:rsidRPr="00FF4CAB" w:rsidRDefault="00E73313" w:rsidP="00E328C3">
            <w:pPr>
              <w:rPr>
                <w:rFonts w:cs="Tahoma"/>
                <w:color w:val="000000"/>
                <w:szCs w:val="20"/>
              </w:rPr>
            </w:pPr>
            <w:r>
              <w:rPr>
                <w:rFonts w:cs="Tahoma"/>
                <w:color w:val="000000"/>
                <w:szCs w:val="20"/>
              </w:rPr>
              <w:t>System Center Configuration Manager 2007 R3 mit SQL Server 2008-Technologie</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Standard-Server-Management-Lizenz für System Center 2012 (Server-ML)</w:t>
            </w:r>
          </w:p>
        </w:tc>
      </w:tr>
      <w:tr w:rsidR="00E73313" w:rsidRPr="00ED50C8" w:rsidTr="00E328C3">
        <w:tc>
          <w:tcPr>
            <w:tcW w:w="396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Client-Management-Lizenz für System Center Data Protection Manager 2010 pro Nutzer</w:t>
            </w:r>
          </w:p>
        </w:tc>
        <w:tc>
          <w:tcPr>
            <w:tcW w:w="4050" w:type="dxa"/>
            <w:shd w:val="clear" w:color="auto" w:fill="FFFFFF"/>
          </w:tcPr>
          <w:p w:rsidR="00E73313" w:rsidRPr="003002D3" w:rsidRDefault="00E73313" w:rsidP="00E328C3">
            <w:pPr>
              <w:rPr>
                <w:rFonts w:cs="Tahoma"/>
                <w:color w:val="000000"/>
                <w:szCs w:val="20"/>
                <w:lang w:val="fr-FR"/>
              </w:rPr>
            </w:pPr>
            <w:r w:rsidRPr="003002D3">
              <w:rPr>
                <w:rFonts w:cs="Tahoma"/>
                <w:color w:val="000000"/>
                <w:szCs w:val="20"/>
                <w:lang w:val="fr-FR"/>
              </w:rPr>
              <w:t>1 System Center 2012 Client Management Suite (Client-ML) pro Nutzer</w:t>
            </w:r>
          </w:p>
        </w:tc>
      </w:tr>
      <w:tr w:rsidR="00E73313" w:rsidRPr="00FF4CAB" w:rsidTr="00F25255">
        <w:trPr>
          <w:cantSplit/>
        </w:trPr>
        <w:tc>
          <w:tcPr>
            <w:tcW w:w="396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Client-Management-Lizenz für System Center Data Protection Manager 2010 pro Betriebssystemumgebung</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System Center 2012 Client Management Suite (Client-ML) pro Betriebssystemumgebung</w:t>
            </w:r>
          </w:p>
        </w:tc>
      </w:tr>
      <w:tr w:rsidR="00E73313" w:rsidRPr="00FF4CAB" w:rsidTr="00E328C3">
        <w:tc>
          <w:tcPr>
            <w:tcW w:w="3960" w:type="dxa"/>
            <w:shd w:val="clear" w:color="auto" w:fill="FFFFFF"/>
          </w:tcPr>
          <w:p w:rsidR="00E73313" w:rsidRPr="00FF4CAB" w:rsidRDefault="00E73313" w:rsidP="00E328C3">
            <w:pPr>
              <w:rPr>
                <w:rFonts w:cs="Tahoma"/>
                <w:color w:val="000000"/>
                <w:szCs w:val="20"/>
              </w:rPr>
            </w:pPr>
            <w:r>
              <w:rPr>
                <w:rFonts w:cs="Tahoma"/>
                <w:color w:val="000000"/>
                <w:szCs w:val="20"/>
              </w:rPr>
              <w:t>Enterprise-Server-Management-Lizenz für System Center Data Protection Manager 2010</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Standard-Server-Management-Lizenz für System Center 2012 (Server-ML)</w:t>
            </w:r>
          </w:p>
        </w:tc>
      </w:tr>
      <w:tr w:rsidR="00E73313" w:rsidRPr="00FF4CAB" w:rsidTr="00E328C3">
        <w:tc>
          <w:tcPr>
            <w:tcW w:w="3960" w:type="dxa"/>
            <w:shd w:val="clear" w:color="auto" w:fill="FFFFFF"/>
          </w:tcPr>
          <w:p w:rsidR="00E73313" w:rsidRPr="00FF4CAB" w:rsidRDefault="00E73313" w:rsidP="00E328C3">
            <w:pPr>
              <w:rPr>
                <w:rFonts w:cs="Tahoma"/>
                <w:color w:val="000000"/>
                <w:szCs w:val="20"/>
              </w:rPr>
            </w:pPr>
            <w:r>
              <w:rPr>
                <w:rFonts w:cs="Tahoma"/>
                <w:color w:val="000000"/>
                <w:szCs w:val="20"/>
              </w:rPr>
              <w:t>Standard-Server-Management-Lizenz für System Center Data Protection Manager 2010</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Standard-Server-Management-Lizenz für System Center 2012 (Server-ML)</w:t>
            </w:r>
          </w:p>
        </w:tc>
      </w:tr>
      <w:tr w:rsidR="00E73313" w:rsidRPr="00FF4CAB" w:rsidTr="00E328C3">
        <w:tc>
          <w:tcPr>
            <w:tcW w:w="3960" w:type="dxa"/>
            <w:shd w:val="clear" w:color="auto" w:fill="FFFFFF"/>
          </w:tcPr>
          <w:p w:rsidR="00E73313" w:rsidRPr="00FF4CAB" w:rsidRDefault="00E73313" w:rsidP="00E328C3">
            <w:pPr>
              <w:rPr>
                <w:rFonts w:cs="Tahoma"/>
                <w:color w:val="000000"/>
                <w:szCs w:val="20"/>
              </w:rPr>
            </w:pPr>
            <w:r>
              <w:rPr>
                <w:rFonts w:cs="Tahoma"/>
                <w:color w:val="000000"/>
                <w:szCs w:val="20"/>
              </w:rPr>
              <w:t>System Center Operations Manager 2007 R2</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Standard-Server-Management-Lizenz für System Center 2012 (Server-ML)</w:t>
            </w:r>
          </w:p>
        </w:tc>
      </w:tr>
      <w:tr w:rsidR="00E73313" w:rsidRPr="00FF4CAB" w:rsidTr="00E328C3">
        <w:tc>
          <w:tcPr>
            <w:tcW w:w="3960" w:type="dxa"/>
            <w:shd w:val="clear" w:color="auto" w:fill="FFFFFF"/>
          </w:tcPr>
          <w:p w:rsidR="00E73313" w:rsidRPr="00FF4CAB" w:rsidRDefault="00E73313" w:rsidP="00E328C3">
            <w:pPr>
              <w:rPr>
                <w:rFonts w:cs="Tahoma"/>
                <w:color w:val="000000"/>
                <w:szCs w:val="20"/>
              </w:rPr>
            </w:pPr>
            <w:r>
              <w:rPr>
                <w:rFonts w:cs="Tahoma"/>
                <w:color w:val="000000"/>
                <w:szCs w:val="20"/>
              </w:rPr>
              <w:t>System Center Operations Manager 2007 R2 mit SQL Server 2008-Technologie</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Standard-Server-Management-Lizenz für System Center 2012 (Server-ML)</w:t>
            </w:r>
          </w:p>
        </w:tc>
      </w:tr>
      <w:tr w:rsidR="00E73313" w:rsidRPr="00FF4CAB" w:rsidTr="00E328C3">
        <w:tc>
          <w:tcPr>
            <w:tcW w:w="396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Standard-Server-Management-Lizenz für System Center Operations Manager 2007 R2</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Standard-Server-Management-Lizenz für System Center 2012 (Server-ML)</w:t>
            </w:r>
          </w:p>
        </w:tc>
      </w:tr>
      <w:tr w:rsidR="00E73313" w:rsidRPr="00FF4CAB" w:rsidTr="00E328C3">
        <w:tc>
          <w:tcPr>
            <w:tcW w:w="3960" w:type="dxa"/>
            <w:shd w:val="clear" w:color="auto" w:fill="FFFFFF"/>
          </w:tcPr>
          <w:p w:rsidR="00E73313" w:rsidRPr="00FF4CAB" w:rsidRDefault="00E73313" w:rsidP="00E328C3">
            <w:pPr>
              <w:rPr>
                <w:rFonts w:cs="Tahoma"/>
                <w:color w:val="000000"/>
                <w:szCs w:val="20"/>
              </w:rPr>
            </w:pPr>
            <w:r>
              <w:rPr>
                <w:rFonts w:cs="Tahoma"/>
                <w:color w:val="000000"/>
                <w:szCs w:val="20"/>
              </w:rPr>
              <w:t>Enterprise-Server-Management-Lizenz für System Center Operations Manager 2007 R2</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Standard-Server-Management-Lizenz für System Center 2012 (Server-ML)</w:t>
            </w:r>
          </w:p>
        </w:tc>
      </w:tr>
      <w:tr w:rsidR="00E73313" w:rsidRPr="00FF4CAB" w:rsidTr="00E328C3">
        <w:tc>
          <w:tcPr>
            <w:tcW w:w="396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Client-Management-Lizenz pro OSE für System Center Operations Manager 2007 R2</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System Center 2012 Client Management Suite (Client-ML) pro Betriebssystemumgebung</w:t>
            </w:r>
          </w:p>
        </w:tc>
      </w:tr>
      <w:tr w:rsidR="00E73313" w:rsidRPr="00ED50C8" w:rsidTr="00E328C3">
        <w:tc>
          <w:tcPr>
            <w:tcW w:w="396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Client-Management-Lizenz pro Nutzer für System Center Operations Manager 2007 R2</w:t>
            </w:r>
          </w:p>
        </w:tc>
        <w:tc>
          <w:tcPr>
            <w:tcW w:w="4050" w:type="dxa"/>
            <w:shd w:val="clear" w:color="auto" w:fill="FFFFFF"/>
          </w:tcPr>
          <w:p w:rsidR="00E73313" w:rsidRPr="003002D3" w:rsidRDefault="00E73313" w:rsidP="00E328C3">
            <w:pPr>
              <w:rPr>
                <w:rFonts w:cs="Tahoma"/>
                <w:color w:val="000000"/>
                <w:szCs w:val="20"/>
                <w:lang w:val="fr-FR"/>
              </w:rPr>
            </w:pPr>
            <w:r w:rsidRPr="003002D3">
              <w:rPr>
                <w:rFonts w:cs="Tahoma"/>
                <w:color w:val="000000"/>
                <w:szCs w:val="20"/>
                <w:lang w:val="fr-FR"/>
              </w:rPr>
              <w:t>1 System Center 2012 Client Management Suite (Client-ML) pro Nutzer</w:t>
            </w:r>
          </w:p>
        </w:tc>
      </w:tr>
      <w:tr w:rsidR="00E73313" w:rsidRPr="00ED50C8" w:rsidTr="00E328C3">
        <w:tc>
          <w:tcPr>
            <w:tcW w:w="3960" w:type="dxa"/>
            <w:shd w:val="clear" w:color="auto" w:fill="FFFFFF"/>
          </w:tcPr>
          <w:p w:rsidR="00E73313" w:rsidRPr="00FF4CAB" w:rsidRDefault="00E73313" w:rsidP="00E328C3">
            <w:pPr>
              <w:rPr>
                <w:rFonts w:cs="Tahoma"/>
                <w:color w:val="000000"/>
                <w:szCs w:val="20"/>
              </w:rPr>
            </w:pPr>
            <w:r>
              <w:rPr>
                <w:rFonts w:cs="Tahoma"/>
                <w:color w:val="000000"/>
                <w:szCs w:val="20"/>
              </w:rPr>
              <w:t>System Center Server Management Suite Enterprise</w:t>
            </w:r>
          </w:p>
        </w:tc>
        <w:tc>
          <w:tcPr>
            <w:tcW w:w="405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2 Standard-Server-Management-Lizenzen für System Center 2012 (Server-MLs)</w:t>
            </w:r>
          </w:p>
        </w:tc>
      </w:tr>
      <w:tr w:rsidR="00E73313" w:rsidRPr="00FF4CAB" w:rsidTr="00E328C3">
        <w:tc>
          <w:tcPr>
            <w:tcW w:w="3960" w:type="dxa"/>
            <w:shd w:val="clear" w:color="auto" w:fill="FFFFFF"/>
          </w:tcPr>
          <w:p w:rsidR="00E73313" w:rsidRPr="00FF4CAB" w:rsidRDefault="00E73313" w:rsidP="00E328C3">
            <w:pPr>
              <w:rPr>
                <w:rFonts w:cs="Tahoma"/>
                <w:color w:val="000000"/>
                <w:szCs w:val="20"/>
              </w:rPr>
            </w:pPr>
            <w:r>
              <w:rPr>
                <w:rFonts w:cs="Tahoma"/>
                <w:color w:val="000000"/>
                <w:szCs w:val="20"/>
              </w:rPr>
              <w:t>System Center Server Management Suite Datacenter</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Server-Management-Lizenz für System Center 2012 Datacenter (Server-ML) für 2 qualifizierende System Center Server Management Suite Datacenter-Lizenzen</w:t>
            </w:r>
          </w:p>
        </w:tc>
      </w:tr>
      <w:tr w:rsidR="00E73313" w:rsidRPr="00FF4CAB" w:rsidTr="00E328C3">
        <w:tc>
          <w:tcPr>
            <w:tcW w:w="3960" w:type="dxa"/>
            <w:shd w:val="clear" w:color="auto" w:fill="FFFFFF"/>
          </w:tcPr>
          <w:p w:rsidR="00E73313" w:rsidRPr="00FF4CAB" w:rsidRDefault="00E73313" w:rsidP="00E328C3">
            <w:pPr>
              <w:rPr>
                <w:rFonts w:cs="Tahoma"/>
                <w:color w:val="000000"/>
                <w:szCs w:val="20"/>
              </w:rPr>
            </w:pPr>
            <w:r>
              <w:rPr>
                <w:rFonts w:cs="Tahoma"/>
                <w:color w:val="000000"/>
                <w:szCs w:val="20"/>
              </w:rPr>
              <w:t>System Center Service Manager 2010</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Standard-Server-Management-Lizenz für System Center 2012 (Server-ML)</w:t>
            </w:r>
          </w:p>
        </w:tc>
      </w:tr>
      <w:tr w:rsidR="00E73313" w:rsidRPr="00FF4CAB" w:rsidTr="00E328C3">
        <w:tc>
          <w:tcPr>
            <w:tcW w:w="3960" w:type="dxa"/>
            <w:shd w:val="clear" w:color="auto" w:fill="FFFFFF"/>
          </w:tcPr>
          <w:p w:rsidR="00E73313" w:rsidRPr="00FF4CAB" w:rsidRDefault="00E73313" w:rsidP="00E328C3">
            <w:pPr>
              <w:rPr>
                <w:rFonts w:cs="Tahoma"/>
                <w:color w:val="000000"/>
                <w:szCs w:val="20"/>
              </w:rPr>
            </w:pPr>
            <w:r>
              <w:rPr>
                <w:rFonts w:cs="Tahoma"/>
                <w:color w:val="000000"/>
                <w:szCs w:val="20"/>
              </w:rPr>
              <w:t>System Center Service Manager 2010 mit SQL Server 2008-Technologie</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Standard-Server-Management-Lizenz für System Center 2012 (Server-ML)</w:t>
            </w:r>
          </w:p>
        </w:tc>
      </w:tr>
      <w:tr w:rsidR="00E73313" w:rsidRPr="00FF4CAB" w:rsidTr="00E328C3">
        <w:tc>
          <w:tcPr>
            <w:tcW w:w="396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Client-Management-Lizenz (Client-ML) für System Center Service Manager 2010 pro Betriebssystemumgebung</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System Center 2012 Client Management Suite (Client-ML) pro Betriebssystemumgebung</w:t>
            </w:r>
          </w:p>
        </w:tc>
      </w:tr>
      <w:tr w:rsidR="00E73313" w:rsidRPr="00ED50C8" w:rsidTr="00E328C3">
        <w:tc>
          <w:tcPr>
            <w:tcW w:w="396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Client-Management-Lizenz (Client-ML) für System Center Service Manager 2010 pro Nutzer</w:t>
            </w:r>
          </w:p>
        </w:tc>
        <w:tc>
          <w:tcPr>
            <w:tcW w:w="4050" w:type="dxa"/>
            <w:shd w:val="clear" w:color="auto" w:fill="FFFFFF"/>
          </w:tcPr>
          <w:p w:rsidR="00E73313" w:rsidRPr="003002D3" w:rsidRDefault="00E73313" w:rsidP="00E328C3">
            <w:pPr>
              <w:rPr>
                <w:rFonts w:cs="Tahoma"/>
                <w:color w:val="000000"/>
                <w:szCs w:val="20"/>
                <w:lang w:val="fr-FR"/>
              </w:rPr>
            </w:pPr>
            <w:r w:rsidRPr="003002D3">
              <w:rPr>
                <w:rFonts w:cs="Tahoma"/>
                <w:color w:val="000000"/>
                <w:szCs w:val="20"/>
                <w:lang w:val="fr-FR"/>
              </w:rPr>
              <w:t>1 System Center 2012 Client Management Suite (Client-ML) pro Nutzer</w:t>
            </w:r>
          </w:p>
        </w:tc>
      </w:tr>
      <w:tr w:rsidR="00E73313" w:rsidRPr="00FF4CAB" w:rsidTr="00E328C3">
        <w:tc>
          <w:tcPr>
            <w:tcW w:w="3960" w:type="dxa"/>
            <w:shd w:val="clear" w:color="auto" w:fill="FFFFFF"/>
          </w:tcPr>
          <w:p w:rsidR="00E73313" w:rsidRPr="00FF4CAB" w:rsidRDefault="00E73313" w:rsidP="00E328C3">
            <w:pPr>
              <w:rPr>
                <w:rFonts w:cs="Tahoma"/>
                <w:color w:val="000000"/>
                <w:szCs w:val="20"/>
              </w:rPr>
            </w:pPr>
            <w:r>
              <w:rPr>
                <w:rFonts w:cs="Tahoma"/>
                <w:color w:val="000000"/>
                <w:szCs w:val="20"/>
              </w:rPr>
              <w:t xml:space="preserve">Standard-Server-Management-Lizenz (Server-ML) für System Center Service Manager 2010 </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Standard-Server-Management-Lizenz für System Center 2012 (Server-ML)</w:t>
            </w:r>
          </w:p>
        </w:tc>
      </w:tr>
      <w:tr w:rsidR="00E73313" w:rsidRPr="00ED50C8" w:rsidTr="00E328C3">
        <w:tc>
          <w:tcPr>
            <w:tcW w:w="396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Client-Management-Lizenz für System Center Virtual Machine Manager 2008 R2 pro Betriebssystemumgebung</w:t>
            </w:r>
          </w:p>
        </w:tc>
        <w:tc>
          <w:tcPr>
            <w:tcW w:w="405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1 Client-Management-Lizenz (Client-ML) für System Center Configuration Manager pro Betriebssystemumgebung</w:t>
            </w:r>
          </w:p>
        </w:tc>
      </w:tr>
      <w:tr w:rsidR="00E73313" w:rsidRPr="00ED50C8" w:rsidTr="00E328C3">
        <w:tc>
          <w:tcPr>
            <w:tcW w:w="396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Client-Management-Lizenz für System Center Virtual Machine Manager 2008 R2 pro Nutzer</w:t>
            </w:r>
          </w:p>
        </w:tc>
        <w:tc>
          <w:tcPr>
            <w:tcW w:w="405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1 Client-Management-Lizenz (Client-ML) für System Center Configuration Manager pro Nutzer</w:t>
            </w:r>
          </w:p>
        </w:tc>
      </w:tr>
      <w:tr w:rsidR="00E73313" w:rsidRPr="00FF4CAB" w:rsidTr="00E328C3">
        <w:tc>
          <w:tcPr>
            <w:tcW w:w="396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Enterprise-Server-Management-Lizenz für System Center Virtual Machine Manager 2008 R2</w:t>
            </w:r>
          </w:p>
        </w:tc>
        <w:tc>
          <w:tcPr>
            <w:tcW w:w="4050" w:type="dxa"/>
            <w:shd w:val="clear" w:color="auto" w:fill="FFFFFF"/>
          </w:tcPr>
          <w:p w:rsidR="00E73313" w:rsidRPr="00FF4CAB" w:rsidRDefault="00E73313" w:rsidP="00E328C3">
            <w:pPr>
              <w:rPr>
                <w:rFonts w:cs="Tahoma"/>
                <w:color w:val="000000"/>
                <w:szCs w:val="20"/>
              </w:rPr>
            </w:pPr>
            <w:r>
              <w:rPr>
                <w:rFonts w:cs="Tahoma"/>
                <w:color w:val="000000"/>
                <w:szCs w:val="20"/>
              </w:rPr>
              <w:t>1 Server-Management-Lizenz für System Center 2012 Datacenter (Server-ML)</w:t>
            </w:r>
          </w:p>
        </w:tc>
      </w:tr>
    </w:tbl>
    <w:p w:rsidR="00E73313" w:rsidRDefault="00E73313" w:rsidP="00E73313">
      <w:pPr>
        <w:ind w:left="720"/>
        <w:rPr>
          <w:rFonts w:cs="Tahoma"/>
          <w:i/>
          <w:color w:val="000000"/>
          <w:sz w:val="16"/>
          <w:szCs w:val="24"/>
          <w:lang w:val="de-DE"/>
        </w:rPr>
      </w:pPr>
      <w:r w:rsidRPr="00B56A92">
        <w:rPr>
          <w:rFonts w:cs="Tahoma"/>
          <w:i/>
          <w:color w:val="000000"/>
          <w:sz w:val="16"/>
          <w:szCs w:val="24"/>
          <w:lang w:val="de-DE"/>
        </w:rPr>
        <w:t>*</w:t>
      </w:r>
      <w:r w:rsidRPr="003002D3">
        <w:rPr>
          <w:rFonts w:cs="Tahoma"/>
          <w:i/>
          <w:color w:val="000000"/>
          <w:sz w:val="16"/>
          <w:szCs w:val="24"/>
          <w:lang w:val="de-DE"/>
        </w:rPr>
        <w:t>Client-MLs für Studenten sind zur Lizenzierung von PCs, die Studenten oder Einrichtungen gehören und die ausschließlich für die individuelle studentische Nutzung und nicht für die Nutzung in einem Labor oder Hörsaal bestimmt sind, verfügbar</w:t>
      </w:r>
    </w:p>
    <w:p w:rsidR="00E73313" w:rsidRPr="003002D3" w:rsidRDefault="00E73313" w:rsidP="00E73313">
      <w:pPr>
        <w:ind w:left="720"/>
        <w:rPr>
          <w:lang w:val="de-DE"/>
        </w:rPr>
      </w:pPr>
      <w:r w:rsidRPr="003002D3">
        <w:rPr>
          <w:rFonts w:cs="Tahoma"/>
          <w:color w:val="000000"/>
          <w:szCs w:val="24"/>
          <w:lang w:val="de-DE"/>
        </w:rPr>
        <w:t>Alle im Rahmen dieses Angebots gewährten Lizenzen umfassen Software Assurance</w:t>
      </w:r>
      <w:r w:rsidR="006257A7">
        <w:rPr>
          <w:rFonts w:cs="Tahoma"/>
          <w:color w:val="000000"/>
          <w:szCs w:val="24"/>
          <w:lang w:val="de-DE"/>
        </w:rPr>
        <w:t xml:space="preserve">. </w:t>
      </w:r>
      <w:r w:rsidRPr="003002D3">
        <w:rPr>
          <w:rFonts w:cs="Tahoma"/>
          <w:color w:val="000000"/>
          <w:szCs w:val="24"/>
          <w:lang w:val="de-DE"/>
        </w:rPr>
        <w:t>Diese gilt bis zum Ablauf der qualifizierenden Software Assurance</w:t>
      </w:r>
      <w:r w:rsidR="006257A7">
        <w:rPr>
          <w:rFonts w:cs="Tahoma"/>
          <w:color w:val="000000"/>
          <w:szCs w:val="24"/>
          <w:lang w:val="de-DE"/>
        </w:rPr>
        <w:t xml:space="preserve">. </w:t>
      </w:r>
      <w:r w:rsidRPr="003002D3">
        <w:rPr>
          <w:rFonts w:cs="Tahoma"/>
          <w:color w:val="000000"/>
          <w:szCs w:val="24"/>
          <w:lang w:val="de-DE"/>
        </w:rPr>
        <w:t>Danach können die Kunden Software Assurance für die gewährten Lizenzen verlängern</w:t>
      </w:r>
      <w:r w:rsidR="006257A7">
        <w:rPr>
          <w:rFonts w:cs="Tahoma"/>
          <w:color w:val="000000"/>
          <w:szCs w:val="24"/>
          <w:lang w:val="de-DE"/>
        </w:rPr>
        <w:t xml:space="preserve">. </w:t>
      </w:r>
    </w:p>
    <w:p w:rsidR="00F25255" w:rsidRPr="003002D3" w:rsidRDefault="00F25255" w:rsidP="00E73313">
      <w:pPr>
        <w:ind w:left="720"/>
        <w:rPr>
          <w:lang w:val="de-DE"/>
        </w:rPr>
      </w:pPr>
    </w:p>
    <w:p w:rsidR="00E73313" w:rsidRPr="003002D3" w:rsidRDefault="00E73313" w:rsidP="00E73313">
      <w:pPr>
        <w:ind w:left="720"/>
        <w:rPr>
          <w:lang w:val="de-DE"/>
        </w:rPr>
      </w:pPr>
      <w:r w:rsidRPr="003002D3">
        <w:rPr>
          <w:rFonts w:cs="Tahoma"/>
          <w:color w:val="000000"/>
          <w:szCs w:val="24"/>
          <w:lang w:val="de-DE"/>
        </w:rPr>
        <w:t>Die Nutzung der Software laut diesem Angebot unterliegt den Bestimmungen des Lizenzvertrages des Kunden sowie den Produktbenutzungsrechten der Software</w:t>
      </w:r>
      <w:r w:rsidR="006257A7">
        <w:rPr>
          <w:rFonts w:cs="Tahoma"/>
          <w:color w:val="000000"/>
          <w:szCs w:val="24"/>
          <w:lang w:val="de-DE"/>
        </w:rPr>
        <w:t xml:space="preserve">. </w:t>
      </w:r>
      <w:r w:rsidRPr="003002D3">
        <w:rPr>
          <w:rFonts w:cs="Tahoma"/>
          <w:color w:val="000000"/>
          <w:szCs w:val="24"/>
          <w:lang w:val="de-DE"/>
        </w:rPr>
        <w:t>Das Recht zur Verwendung der Software gilt bis zum Ablauf des Rechts zur Verwendung der Software unter der qualifizierenden Lizenz</w:t>
      </w:r>
      <w:r w:rsidR="006257A7">
        <w:rPr>
          <w:rFonts w:cs="Tahoma"/>
          <w:color w:val="000000"/>
          <w:szCs w:val="24"/>
          <w:lang w:val="de-DE"/>
        </w:rPr>
        <w:t xml:space="preserve">. </w:t>
      </w:r>
      <w:r w:rsidRPr="003002D3">
        <w:rPr>
          <w:rFonts w:cs="Tahoma"/>
          <w:color w:val="000000"/>
          <w:szCs w:val="24"/>
          <w:lang w:val="de-DE"/>
        </w:rPr>
        <w:t>Der Nachweis der qualifizierenden Lizenzen und dieser Produkthinweis belegen das Recht des Kunden, System Center 2012 unter den Bestimmungen dieses Angebots zu verwenden</w:t>
      </w:r>
      <w:r w:rsidR="006257A7">
        <w:rPr>
          <w:rFonts w:cs="Tahoma"/>
          <w:color w:val="000000"/>
          <w:szCs w:val="24"/>
          <w:lang w:val="de-DE"/>
        </w:rPr>
        <w:t xml:space="preserve">. </w:t>
      </w:r>
      <w:r w:rsidRPr="003002D3">
        <w:rPr>
          <w:rFonts w:cs="Tahoma"/>
          <w:color w:val="000000"/>
          <w:szCs w:val="24"/>
          <w:lang w:val="de-DE"/>
        </w:rPr>
        <w:t>Nach dem Upgrade auf System Center 2012 hat der Kunde nicht mehr das Recht, die Software unter qualifizierenden Lizenzen, die dem Server zugewiesen sind, zu verwenden</w:t>
      </w:r>
      <w:r w:rsidR="006257A7">
        <w:rPr>
          <w:rFonts w:cs="Tahoma"/>
          <w:color w:val="000000"/>
          <w:szCs w:val="24"/>
          <w:lang w:val="de-DE"/>
        </w:rPr>
        <w:t xml:space="preserve">. </w:t>
      </w:r>
      <w:r w:rsidRPr="003002D3">
        <w:rPr>
          <w:rFonts w:cs="Tahoma"/>
          <w:color w:val="000000"/>
          <w:szCs w:val="24"/>
          <w:lang w:val="de-DE"/>
        </w:rPr>
        <w:t>Im Rahmen dieses Angebots gewährte Lizenzen dürfen nicht getrennt von den zugehörigen qualifizierenden Lizenzen übertragen werden</w:t>
      </w:r>
      <w:r w:rsidR="006257A7">
        <w:rPr>
          <w:rFonts w:cs="Tahoma"/>
          <w:color w:val="000000"/>
          <w:szCs w:val="24"/>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Für Enterprise-Kunden</w:t>
      </w:r>
    </w:p>
    <w:p w:rsidR="00E73313" w:rsidRPr="003002D3" w:rsidRDefault="00E73313" w:rsidP="00B56A92">
      <w:pPr>
        <w:ind w:left="720"/>
        <w:rPr>
          <w:lang w:val="de-DE"/>
        </w:rPr>
      </w:pPr>
      <w:r w:rsidRPr="003002D3">
        <w:rPr>
          <w:rFonts w:eastAsia="Calibri" w:cs="Tahoma"/>
          <w:color w:val="000000"/>
          <w:szCs w:val="18"/>
          <w:lang w:val="de-DE"/>
        </w:rPr>
        <w:t>Lizenzen</w:t>
      </w:r>
      <w:r w:rsidRPr="003002D3">
        <w:rPr>
          <w:rFonts w:eastAsia="Calibri" w:cs="Tahoma"/>
          <w:b/>
          <w:bCs/>
          <w:color w:val="000000"/>
          <w:szCs w:val="18"/>
          <w:vertAlign w:val="superscript"/>
          <w:lang w:val="de-DE"/>
        </w:rPr>
        <w:t xml:space="preserve">*, </w:t>
      </w:r>
      <w:r w:rsidRPr="003002D3">
        <w:rPr>
          <w:rFonts w:eastAsia="Calibri" w:cs="Tahoma"/>
          <w:color w:val="000000"/>
          <w:szCs w:val="18"/>
          <w:lang w:val="de-DE"/>
        </w:rPr>
        <w:t>die am oder vor dem ersten Jahrestag des Wirksamkeitsdatum des Beitritts eines Kunden nach dem 17</w:t>
      </w:r>
      <w:r w:rsidR="006257A7">
        <w:rPr>
          <w:rFonts w:eastAsia="Calibri" w:cs="Tahoma"/>
          <w:color w:val="000000"/>
          <w:szCs w:val="18"/>
          <w:lang w:val="de-DE"/>
        </w:rPr>
        <w:t xml:space="preserve">. </w:t>
      </w:r>
      <w:r w:rsidRPr="003002D3">
        <w:rPr>
          <w:rFonts w:eastAsia="Calibri" w:cs="Tahoma"/>
          <w:color w:val="000000"/>
          <w:szCs w:val="18"/>
          <w:lang w:val="de-DE"/>
        </w:rPr>
        <w:t>Januar 2012 im Rahmen des jährlichen True Up-Prozesses eines Kunden erworben wurden, sind für</w:t>
      </w:r>
      <w:r w:rsidR="00B56A92">
        <w:rPr>
          <w:rFonts w:eastAsia="Calibri" w:cs="Tahoma"/>
          <w:color w:val="000000"/>
          <w:szCs w:val="18"/>
          <w:lang w:val="de-DE"/>
        </w:rPr>
        <w:t> </w:t>
      </w:r>
      <w:r w:rsidRPr="003002D3">
        <w:rPr>
          <w:rFonts w:eastAsia="Calibri" w:cs="Tahoma"/>
          <w:color w:val="000000"/>
          <w:szCs w:val="18"/>
          <w:lang w:val="de-DE"/>
        </w:rPr>
        <w:t>die oben beschriebene Lizenzgewährung qualifiziert</w:t>
      </w:r>
      <w:r w:rsidR="006257A7">
        <w:rPr>
          <w:rFonts w:eastAsia="Calibri" w:cs="Tahoma"/>
          <w:color w:val="000000"/>
          <w:szCs w:val="18"/>
          <w:lang w:val="de-DE"/>
        </w:rPr>
        <w:t xml:space="preserve">. </w:t>
      </w:r>
      <w:r w:rsidRPr="003002D3">
        <w:rPr>
          <w:rFonts w:eastAsia="Calibri" w:cs="Tahoma"/>
          <w:color w:val="000000"/>
          <w:szCs w:val="18"/>
          <w:lang w:val="de-DE"/>
        </w:rPr>
        <w:t>Lizenzen, die nach diesem Datum erworben werden, sind nicht für eine Gewährung von System Center 2012-Lizenzen unter diesem Angebot qualifiziert</w:t>
      </w:r>
      <w:r w:rsidR="006257A7">
        <w:rPr>
          <w:rFonts w:eastAsia="Calibri"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r w:rsidRPr="003002D3">
        <w:rPr>
          <w:rFonts w:eastAsia="Calibri" w:cs="Tahoma"/>
          <w:b/>
          <w:bCs/>
          <w:color w:val="000000"/>
          <w:szCs w:val="18"/>
          <w:vertAlign w:val="superscript"/>
          <w:lang w:val="de-DE"/>
        </w:rPr>
        <w:t>*</w:t>
      </w:r>
      <w:r w:rsidRPr="003002D3">
        <w:rPr>
          <w:rFonts w:eastAsia="Calibri" w:cs="Tahoma"/>
          <w:color w:val="000000"/>
          <w:szCs w:val="18"/>
          <w:lang w:val="de-DE"/>
        </w:rPr>
        <w:t>Bei System Center Server Management Suite Enterprise, System Center Server Management Suite Datacenter, System Center Client Management Suite und System Center Configuration Manager Client Management License sind alle Lizenzen, die bis zum Ende des Vertrages erworben werden, für die Gewährung qualifiziert</w:t>
      </w:r>
      <w:r w:rsidR="006257A7">
        <w:rPr>
          <w:rFonts w:eastAsia="Calibri"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Für Kunden mit Konzern-Abonnement, Campus- und School-Vertrag (einschließlich Beitritt für Bildungslösungen) und Open Value Subscription</w:t>
      </w:r>
    </w:p>
    <w:p w:rsidR="00E73313" w:rsidRPr="003002D3" w:rsidRDefault="00E73313" w:rsidP="00E73313">
      <w:pPr>
        <w:ind w:left="720"/>
        <w:rPr>
          <w:lang w:val="de-DE"/>
        </w:rPr>
      </w:pPr>
      <w:r w:rsidRPr="003002D3">
        <w:rPr>
          <w:rFonts w:cs="Tahoma"/>
          <w:bCs/>
          <w:color w:val="000000"/>
          <w:szCs w:val="18"/>
          <w:lang w:val="de-DE"/>
        </w:rPr>
        <w:t>Lizenzen werden bis zum Ende der Laufzeit des Konzern-Abonnement-Beitritts, Campus- und School- oder Open Value Subscription-Vertrages oder Beitritts für Bildungslösungen zu denselben Bestimmungen, jedoch vorübergehend gewährt, solange der Kunde das Abonnement ununterbrochen aufrechterhält</w:t>
      </w:r>
      <w:r w:rsidR="006257A7">
        <w:rPr>
          <w:rFonts w:cs="Tahoma"/>
          <w:bCs/>
          <w:color w:val="000000"/>
          <w:szCs w:val="18"/>
          <w:lang w:val="de-DE"/>
        </w:rPr>
        <w:t xml:space="preserve">. </w:t>
      </w:r>
      <w:r w:rsidRPr="003002D3">
        <w:rPr>
          <w:rFonts w:cs="Tahoma"/>
          <w:bCs/>
          <w:color w:val="000000"/>
          <w:szCs w:val="18"/>
          <w:lang w:val="de-DE"/>
        </w:rPr>
        <w:t>Kunden, die sich für ein Buy-Out von Lizenzen entscheiden, haben zwei Optionen</w:t>
      </w:r>
      <w:r w:rsidR="006257A7">
        <w:rPr>
          <w:rFonts w:cs="Tahoma"/>
          <w:bCs/>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r w:rsidRPr="003002D3">
        <w:rPr>
          <w:rFonts w:cs="Tahoma"/>
          <w:bCs/>
          <w:color w:val="000000"/>
          <w:szCs w:val="18"/>
          <w:lang w:val="de-DE"/>
        </w:rPr>
        <w:t>Option 1:</w:t>
      </w:r>
      <w:r w:rsidR="003002D3" w:rsidRPr="003002D3">
        <w:rPr>
          <w:rFonts w:cs="Tahoma"/>
          <w:bCs/>
          <w:color w:val="000000"/>
          <w:szCs w:val="18"/>
          <w:lang w:val="de-DE"/>
        </w:rPr>
        <w:t xml:space="preserve"> </w:t>
      </w:r>
      <w:r w:rsidRPr="003002D3">
        <w:rPr>
          <w:rFonts w:cs="Tahoma"/>
          <w:bCs/>
          <w:color w:val="000000"/>
          <w:szCs w:val="18"/>
          <w:lang w:val="de-DE"/>
        </w:rPr>
        <w:t>Der Kunde erwirbt Lizenzen für System Center-Produkte, die den qualifizierenden Lizenzen des Kunden entsprechen</w:t>
      </w:r>
      <w:r w:rsidR="006257A7">
        <w:rPr>
          <w:rFonts w:cs="Tahoma"/>
          <w:bCs/>
          <w:color w:val="000000"/>
          <w:szCs w:val="18"/>
          <w:lang w:val="de-DE"/>
        </w:rPr>
        <w:t xml:space="preserve">. </w:t>
      </w:r>
      <w:r w:rsidRPr="003002D3">
        <w:rPr>
          <w:rFonts w:cs="Tahoma"/>
          <w:bCs/>
          <w:color w:val="000000"/>
          <w:szCs w:val="18"/>
          <w:lang w:val="de-DE"/>
        </w:rPr>
        <w:t>Unter dieser Option ist der Kunde nicht berechtigt, der Lizenz Software Assurance hinzuzufügen oder System Center 2012 oder eine spätere Version der System Center-Software zu verwenden</w:t>
      </w:r>
      <w:r w:rsidR="006257A7">
        <w:rPr>
          <w:rFonts w:cs="Tahoma"/>
          <w:bCs/>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r w:rsidRPr="003002D3">
        <w:rPr>
          <w:rFonts w:cs="Tahoma"/>
          <w:bCs/>
          <w:color w:val="000000"/>
          <w:szCs w:val="18"/>
          <w:lang w:val="de-DE"/>
        </w:rPr>
        <w:t>Option 2:</w:t>
      </w:r>
      <w:r w:rsidR="003002D3" w:rsidRPr="003002D3">
        <w:rPr>
          <w:rFonts w:cs="Tahoma"/>
          <w:bCs/>
          <w:color w:val="000000"/>
          <w:szCs w:val="18"/>
          <w:lang w:val="de-DE"/>
        </w:rPr>
        <w:t xml:space="preserve"> </w:t>
      </w:r>
      <w:r w:rsidRPr="003002D3">
        <w:rPr>
          <w:rFonts w:cs="Tahoma"/>
          <w:bCs/>
          <w:color w:val="000000"/>
          <w:szCs w:val="18"/>
          <w:lang w:val="de-DE"/>
        </w:rPr>
        <w:t>Der Kunde erwirbt Lizenzen für System Center 2012, die den qualifizierenden Lizenzen des Kunden entsprechen</w:t>
      </w:r>
      <w:r w:rsidR="006257A7">
        <w:rPr>
          <w:rFonts w:cs="Tahoma"/>
          <w:bCs/>
          <w:color w:val="000000"/>
          <w:szCs w:val="18"/>
          <w:lang w:val="de-DE"/>
        </w:rPr>
        <w:t xml:space="preserve">. </w:t>
      </w:r>
      <w:r w:rsidRPr="003002D3">
        <w:rPr>
          <w:rFonts w:cs="Tahoma"/>
          <w:bCs/>
          <w:color w:val="000000"/>
          <w:szCs w:val="18"/>
          <w:lang w:val="de-DE"/>
        </w:rPr>
        <w:t>Unter dieser Option ist der Kunde berechtigt, Software Assurance hinzuzufügen</w:t>
      </w:r>
      <w:r w:rsidR="006257A7">
        <w:rPr>
          <w:rFonts w:cs="Tahoma"/>
          <w:bCs/>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Alternative System Center 2012 Standard-Lizenzgewährung für Kunden mit Servern, die über mehr als zwei Prozessoren verfügen</w:t>
      </w:r>
    </w:p>
    <w:p w:rsidR="00E73313" w:rsidRPr="003002D3" w:rsidRDefault="00E73313" w:rsidP="00B56A92">
      <w:pPr>
        <w:ind w:left="720"/>
        <w:rPr>
          <w:lang w:val="de-DE"/>
        </w:rPr>
      </w:pPr>
      <w:r w:rsidRPr="003002D3">
        <w:rPr>
          <w:rFonts w:cs="Tahoma"/>
          <w:szCs w:val="18"/>
          <w:lang w:val="de-DE"/>
        </w:rPr>
        <w:t>Jede Server-ML für System Center 2012 Standard deckt bis zu zwei Prozessoren auf einem physischen Server ab</w:t>
      </w:r>
      <w:r w:rsidR="006257A7">
        <w:rPr>
          <w:rFonts w:cs="Tahoma"/>
          <w:szCs w:val="18"/>
          <w:lang w:val="de-DE"/>
        </w:rPr>
        <w:t xml:space="preserve">. </w:t>
      </w:r>
      <w:r w:rsidRPr="003002D3">
        <w:rPr>
          <w:rFonts w:cs="Tahoma"/>
          <w:szCs w:val="18"/>
          <w:lang w:val="de-DE"/>
        </w:rPr>
        <w:t>Kunden mit qualifizierenden Lizenzen, die am 1</w:t>
      </w:r>
      <w:r w:rsidR="006257A7">
        <w:rPr>
          <w:rFonts w:cs="Tahoma"/>
          <w:szCs w:val="18"/>
          <w:lang w:val="de-DE"/>
        </w:rPr>
        <w:t xml:space="preserve">. </w:t>
      </w:r>
      <w:r w:rsidRPr="003002D3">
        <w:rPr>
          <w:rFonts w:cs="Tahoma"/>
          <w:szCs w:val="18"/>
          <w:lang w:val="de-DE"/>
        </w:rPr>
        <w:t>April 2012 oder dem ersten Jahrestag des Kunden nach dem 17</w:t>
      </w:r>
      <w:r w:rsidR="006257A7">
        <w:rPr>
          <w:rFonts w:cs="Tahoma"/>
          <w:szCs w:val="18"/>
          <w:lang w:val="de-DE"/>
        </w:rPr>
        <w:t xml:space="preserve">. </w:t>
      </w:r>
      <w:r w:rsidRPr="003002D3">
        <w:rPr>
          <w:rFonts w:cs="Tahoma"/>
          <w:szCs w:val="18"/>
          <w:lang w:val="de-DE"/>
        </w:rPr>
        <w:t>Januar 2012 Servern mit mehr als zwei Prozessoren zugewiesen sind, wobei das spätere Datum maßgeblich ist, sind berechtigt, sich für eine alternative Gewährung einer Anzahl von Server-MLs für System Center 2012 Standard zu entscheiden, die der Anzahl physischer Prozessoren auf dem verwalteten Server dividiert durch zwei entspricht</w:t>
      </w:r>
      <w:r w:rsidR="006257A7">
        <w:rPr>
          <w:rFonts w:cs="Tahoma"/>
          <w:szCs w:val="18"/>
          <w:lang w:val="de-DE"/>
        </w:rPr>
        <w:t xml:space="preserve">. </w:t>
      </w:r>
      <w:r w:rsidRPr="003002D3">
        <w:rPr>
          <w:rFonts w:cs="Tahoma"/>
          <w:szCs w:val="18"/>
          <w:lang w:val="de-DE"/>
        </w:rPr>
        <w:t>Der Server muss vollständig lizenziert sein, um die Verwaltung von Betriebssystemumgebungen auf diesem Server unter den Bestimmungen der qualifizierenden Lizenzen zum Zeitpunkt der Gewährung zu erlauben</w:t>
      </w:r>
      <w:r w:rsidR="006257A7">
        <w:rPr>
          <w:rFonts w:cs="Tahoma"/>
          <w:szCs w:val="18"/>
          <w:lang w:val="de-DE"/>
        </w:rPr>
        <w:t xml:space="preserve">. </w:t>
      </w:r>
      <w:r w:rsidRPr="003002D3">
        <w:rPr>
          <w:rFonts w:cs="Tahoma"/>
          <w:szCs w:val="18"/>
          <w:lang w:val="de-DE"/>
        </w:rPr>
        <w:t>Durch diese alternative Gewährung wird sichergestellt, dass die Server des Kunden während des Übergangs vollständig lizenziert bleiben</w:t>
      </w:r>
      <w:r w:rsidR="006257A7">
        <w:rPr>
          <w:rFonts w:cs="Tahoma"/>
          <w:szCs w:val="18"/>
          <w:lang w:val="de-DE"/>
        </w:rPr>
        <w:t xml:space="preserve">. </w:t>
      </w:r>
      <w:r w:rsidRPr="003002D3">
        <w:rPr>
          <w:rFonts w:cs="Tahoma"/>
          <w:szCs w:val="18"/>
          <w:lang w:val="de-DE"/>
        </w:rPr>
        <w:t>Kunden müssen die Anzahl physischer Prozessoren in dem verwalteten Server unter Verwendung des Microsoft MAP-Tools oder gleichwertiger Software dokumentieren</w:t>
      </w:r>
      <w:r w:rsidR="006257A7">
        <w:rPr>
          <w:rFonts w:cs="Tahoma"/>
          <w:szCs w:val="18"/>
          <w:lang w:val="de-DE"/>
        </w:rPr>
        <w:t xml:space="preserve">. </w:t>
      </w:r>
      <w:r w:rsidRPr="003002D3">
        <w:rPr>
          <w:rFonts w:cs="Tahoma"/>
          <w:szCs w:val="18"/>
          <w:lang w:val="de-DE"/>
        </w:rPr>
        <w:t>Diese Dokumentation zusammen mit dem</w:t>
      </w:r>
      <w:r w:rsidR="00B56A92">
        <w:rPr>
          <w:rFonts w:cs="Tahoma"/>
          <w:szCs w:val="18"/>
          <w:lang w:val="de-DE"/>
        </w:rPr>
        <w:t> </w:t>
      </w:r>
      <w:r w:rsidRPr="003002D3">
        <w:rPr>
          <w:rFonts w:cs="Tahoma"/>
          <w:szCs w:val="18"/>
          <w:lang w:val="de-DE"/>
        </w:rPr>
        <w:t>Nachweis der qualifizierenden Lizenzen und diesem Produkthinweis belegen das Recht des Kunden, System Center 2012 unter den Bestimmungen dieses Angebots zu verwenden</w:t>
      </w:r>
      <w:r w:rsidR="006257A7">
        <w:rPr>
          <w:rFonts w:cs="Tahoma"/>
          <w:szCs w:val="18"/>
          <w:lang w:val="de-DE"/>
        </w:rPr>
        <w:t xml:space="preserve">. </w:t>
      </w:r>
      <w:r w:rsidRPr="003002D3">
        <w:rPr>
          <w:rFonts w:cs="Tahoma"/>
          <w:szCs w:val="18"/>
          <w:lang w:val="de-DE"/>
        </w:rPr>
        <w:t>Nach dem Upgrade auf System Center 2012 hat der Kunde nicht mehr das Recht, die Software unter qualifizierenden Lizenzen, die</w:t>
      </w:r>
      <w:r w:rsidR="00B56A92">
        <w:rPr>
          <w:rFonts w:cs="Tahoma"/>
          <w:szCs w:val="18"/>
          <w:lang w:val="de-DE"/>
        </w:rPr>
        <w:t> </w:t>
      </w:r>
      <w:r w:rsidRPr="003002D3">
        <w:rPr>
          <w:rFonts w:cs="Tahoma"/>
          <w:szCs w:val="18"/>
          <w:lang w:val="de-DE"/>
        </w:rPr>
        <w:t>dem Server zugewiesen sind, zu verwenden</w:t>
      </w:r>
      <w:r w:rsidR="006257A7">
        <w:rPr>
          <w:rFonts w:cs="Tahoma"/>
          <w:szCs w:val="18"/>
          <w:lang w:val="de-DE"/>
        </w:rPr>
        <w:t xml:space="preserve">. </w:t>
      </w:r>
      <w:r w:rsidRPr="003002D3">
        <w:rPr>
          <w:rFonts w:cs="Tahoma"/>
          <w:color w:val="000000"/>
          <w:lang w:val="de-DE"/>
        </w:rPr>
        <w:t>Im Rahmen dieses Angebots gewährte Lizenzen dürfen nicht getrennt von den zugehörigen qualifizierenden Lizenzen übertragen werden</w:t>
      </w:r>
      <w:r w:rsidR="006257A7">
        <w:rPr>
          <w:rFonts w:cs="Tahoma"/>
          <w:color w:val="000000"/>
          <w:lang w:val="de-DE"/>
        </w:rPr>
        <w:t xml:space="preserve">. </w:t>
      </w:r>
    </w:p>
    <w:p w:rsidR="00E73313" w:rsidRPr="003002D3" w:rsidRDefault="00E73313" w:rsidP="00E73313">
      <w:pPr>
        <w:tabs>
          <w:tab w:val="left" w:pos="2970"/>
        </w:tabs>
        <w:ind w:left="720"/>
        <w:contextualSpacing/>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Alternative System Center 2012 Datacenter-Lizenzgewährung für Kunden mit qualifizierenden Lizenzen für Virtual Machine Manager (Server-ML für VMM Enterprise)</w:t>
      </w:r>
    </w:p>
    <w:p w:rsidR="00E73313" w:rsidRPr="003002D3" w:rsidRDefault="00E73313" w:rsidP="00B56A92">
      <w:pPr>
        <w:tabs>
          <w:tab w:val="left" w:pos="2970"/>
        </w:tabs>
        <w:ind w:left="720"/>
        <w:contextualSpacing/>
        <w:rPr>
          <w:lang w:val="de-DE"/>
        </w:rPr>
      </w:pPr>
      <w:r w:rsidRPr="003002D3">
        <w:rPr>
          <w:rFonts w:cs="Tahoma"/>
          <w:szCs w:val="18"/>
          <w:lang w:val="de-DE"/>
        </w:rPr>
        <w:t>Kunden mit qualifizierenden Server-MLs für VMM Enterprise, die am 1</w:t>
      </w:r>
      <w:r w:rsidR="006257A7">
        <w:rPr>
          <w:rFonts w:cs="Tahoma"/>
          <w:szCs w:val="18"/>
          <w:lang w:val="de-DE"/>
        </w:rPr>
        <w:t xml:space="preserve">. </w:t>
      </w:r>
      <w:r w:rsidRPr="003002D3">
        <w:rPr>
          <w:rFonts w:cs="Tahoma"/>
          <w:szCs w:val="18"/>
          <w:lang w:val="de-DE"/>
        </w:rPr>
        <w:t>April 2012 oder dem ersten Jahrestag des Kunden nach dem 17</w:t>
      </w:r>
      <w:r w:rsidR="006257A7">
        <w:rPr>
          <w:rFonts w:cs="Tahoma"/>
          <w:szCs w:val="18"/>
          <w:lang w:val="de-DE"/>
        </w:rPr>
        <w:t xml:space="preserve">. </w:t>
      </w:r>
      <w:r w:rsidRPr="003002D3">
        <w:rPr>
          <w:rFonts w:cs="Tahoma"/>
          <w:szCs w:val="18"/>
          <w:lang w:val="de-DE"/>
        </w:rPr>
        <w:t>Januar 2012 Servern mit mehr als zwei Prozessoren zugewiesen sind, wobei das spätere Datum maßgeblich ist, sind berechtigt, sich für eine alternative Gewährung einer Anzahl von Server-MLs für System Center 2012 Datacenter zu entscheiden, die der Anzahl physischer Prozessoren auf dem verwalteten Server dividiert durch zwei entspricht</w:t>
      </w:r>
      <w:r w:rsidR="006257A7">
        <w:rPr>
          <w:rFonts w:cs="Tahoma"/>
          <w:szCs w:val="18"/>
          <w:lang w:val="de-DE"/>
        </w:rPr>
        <w:t xml:space="preserve">. </w:t>
      </w:r>
      <w:r w:rsidRPr="003002D3">
        <w:rPr>
          <w:rFonts w:cs="Tahoma"/>
          <w:szCs w:val="18"/>
          <w:lang w:val="de-DE"/>
        </w:rPr>
        <w:t>Durch diese alternative Gewährung wird sichergestellt, dass die Server des Kunden während des Übergangs vollständig lizenziert bleiben</w:t>
      </w:r>
      <w:r w:rsidR="006257A7">
        <w:rPr>
          <w:rFonts w:cs="Tahoma"/>
          <w:szCs w:val="18"/>
          <w:lang w:val="de-DE"/>
        </w:rPr>
        <w:t xml:space="preserve">. </w:t>
      </w:r>
      <w:r w:rsidRPr="003002D3">
        <w:rPr>
          <w:rFonts w:cs="Tahoma"/>
          <w:szCs w:val="18"/>
          <w:lang w:val="de-DE"/>
        </w:rPr>
        <w:t>Kunden müssen die Anzahl physischer Prozessoren in dem verwalteten Server unter Verwendung des Microsoft MAP-Tools oder</w:t>
      </w:r>
      <w:r w:rsidR="00B56A92">
        <w:rPr>
          <w:rFonts w:cs="Tahoma"/>
          <w:szCs w:val="18"/>
          <w:lang w:val="de-DE"/>
        </w:rPr>
        <w:t> </w:t>
      </w:r>
      <w:r w:rsidRPr="003002D3">
        <w:rPr>
          <w:rFonts w:cs="Tahoma"/>
          <w:szCs w:val="18"/>
          <w:lang w:val="de-DE"/>
        </w:rPr>
        <w:t>gleichwertiger Software dokumentieren</w:t>
      </w:r>
      <w:r w:rsidR="006257A7">
        <w:rPr>
          <w:rFonts w:cs="Tahoma"/>
          <w:szCs w:val="18"/>
          <w:lang w:val="de-DE"/>
        </w:rPr>
        <w:t xml:space="preserve">. </w:t>
      </w:r>
      <w:r w:rsidRPr="003002D3">
        <w:rPr>
          <w:rFonts w:cs="Tahoma"/>
          <w:szCs w:val="18"/>
          <w:lang w:val="de-DE"/>
        </w:rPr>
        <w:t>Diese Dokumentation zusammen mit dem Nachweis der qualifizierenden Lizenzen und diesem Produkthinweis belegen das Recht des Kunden, System Center 2012 unter den Bestimmungen dieses Angebots zu verwenden</w:t>
      </w:r>
      <w:r w:rsidR="006257A7">
        <w:rPr>
          <w:rFonts w:cs="Tahoma"/>
          <w:szCs w:val="18"/>
          <w:lang w:val="de-DE"/>
        </w:rPr>
        <w:t xml:space="preserve">. </w:t>
      </w:r>
      <w:r w:rsidRPr="003002D3">
        <w:rPr>
          <w:rFonts w:cs="Tahoma"/>
          <w:szCs w:val="18"/>
          <w:lang w:val="de-DE"/>
        </w:rPr>
        <w:t>Nach dem Upgrade auf System Center 2012 hat der Kunde nicht mehr das Recht, die Software unter der qualifizierenden Lizenz, die dem Server zugewiesen ist, zu verwenden</w:t>
      </w:r>
      <w:r w:rsidR="006257A7">
        <w:rPr>
          <w:rFonts w:cs="Tahoma"/>
          <w:szCs w:val="18"/>
          <w:lang w:val="de-DE"/>
        </w:rPr>
        <w:t xml:space="preserve">. </w:t>
      </w:r>
      <w:r w:rsidRPr="003002D3">
        <w:rPr>
          <w:rFonts w:cs="Tahoma"/>
          <w:color w:val="000000"/>
          <w:szCs w:val="24"/>
          <w:lang w:val="de-DE"/>
        </w:rPr>
        <w:t>Im Rahmen dieses Angebots gewährte Lizenzen dürfen nicht getrennt von den zugehörigen qualifizierenden Lizenzen übertragen werden</w:t>
      </w:r>
      <w:r w:rsidR="006257A7">
        <w:rPr>
          <w:rFonts w:cs="Tahoma"/>
          <w:color w:val="000000"/>
          <w:szCs w:val="24"/>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color w:val="000000"/>
          <w:szCs w:val="18"/>
          <w:lang w:val="de-DE"/>
        </w:rPr>
        <w:t>Kunden, die Software Assurance vor dem 1</w:t>
      </w:r>
      <w:r w:rsidR="006257A7">
        <w:rPr>
          <w:rFonts w:eastAsia="Calibri" w:cs="Tahoma"/>
          <w:b/>
          <w:color w:val="000000"/>
          <w:szCs w:val="18"/>
          <w:lang w:val="de-DE"/>
        </w:rPr>
        <w:t xml:space="preserve">. </w:t>
      </w:r>
      <w:r w:rsidRPr="003002D3">
        <w:rPr>
          <w:rFonts w:eastAsia="Calibri" w:cs="Tahoma"/>
          <w:b/>
          <w:color w:val="000000"/>
          <w:szCs w:val="18"/>
          <w:lang w:val="de-DE"/>
        </w:rPr>
        <w:t>Oktober 2012 verlängern</w:t>
      </w:r>
    </w:p>
    <w:p w:rsidR="00E73313" w:rsidRPr="003002D3" w:rsidRDefault="00E73313" w:rsidP="00B56A92">
      <w:pPr>
        <w:ind w:left="720"/>
        <w:rPr>
          <w:lang w:val="de-DE"/>
        </w:rPr>
      </w:pPr>
      <w:r w:rsidRPr="003002D3">
        <w:rPr>
          <w:rFonts w:cs="Tahoma"/>
          <w:color w:val="000000"/>
          <w:szCs w:val="18"/>
          <w:lang w:val="de-DE"/>
        </w:rPr>
        <w:t xml:space="preserve">Forschung &amp; Lehre-, Open- und Open Value-Kunden, </w:t>
      </w:r>
      <w:r w:rsidRPr="003002D3">
        <w:rPr>
          <w:rFonts w:cs="Tahoma"/>
          <w:szCs w:val="18"/>
          <w:lang w:val="de-DE"/>
        </w:rPr>
        <w:t>die Software Assurance für System Center 2012 vor dem 1</w:t>
      </w:r>
      <w:r w:rsidR="006257A7">
        <w:rPr>
          <w:rFonts w:cs="Tahoma"/>
          <w:szCs w:val="18"/>
          <w:lang w:val="de-DE"/>
        </w:rPr>
        <w:t xml:space="preserve">. </w:t>
      </w:r>
      <w:r w:rsidRPr="003002D3">
        <w:rPr>
          <w:rFonts w:cs="Tahoma"/>
          <w:szCs w:val="18"/>
          <w:lang w:val="de-DE"/>
        </w:rPr>
        <w:t>Oktober 2012 verlängern, sind berechtigt, Software Assurance</w:t>
      </w:r>
      <w:r w:rsidRPr="003002D3">
        <w:rPr>
          <w:rFonts w:cs="Tahoma"/>
          <w:color w:val="000000"/>
          <w:szCs w:val="18"/>
          <w:lang w:val="de-DE"/>
        </w:rPr>
        <w:t xml:space="preserve"> für die Lizenzen zu verlängern, die sie</w:t>
      </w:r>
      <w:r w:rsidR="00B56A92">
        <w:rPr>
          <w:rFonts w:cs="Tahoma"/>
          <w:color w:val="000000"/>
          <w:szCs w:val="18"/>
          <w:lang w:val="de-DE"/>
        </w:rPr>
        <w:t> </w:t>
      </w:r>
      <w:r w:rsidRPr="003002D3">
        <w:rPr>
          <w:rFonts w:cs="Tahoma"/>
          <w:color w:val="000000"/>
          <w:szCs w:val="18"/>
          <w:lang w:val="de-DE"/>
        </w:rPr>
        <w:t>für die System Center 2012-Lizenzgewährung qualifizieren (jeweils eine „qualifizierende Lizenz“)</w:t>
      </w:r>
      <w:r w:rsidR="006257A7">
        <w:rPr>
          <w:rFonts w:cs="Tahoma"/>
          <w:color w:val="000000"/>
          <w:szCs w:val="18"/>
          <w:lang w:val="de-DE"/>
        </w:rPr>
        <w:t xml:space="preserve">. </w:t>
      </w:r>
      <w:r w:rsidRPr="003002D3">
        <w:rPr>
          <w:rFonts w:cs="Tahoma"/>
          <w:color w:val="000000"/>
          <w:szCs w:val="18"/>
          <w:lang w:val="de-DE"/>
        </w:rPr>
        <w:t>Indem ein Kunden Software Assurance für eine qualifizierende Lizenz verlängert, hat er Software Assurance für die entsprechende(n) System Center 2012-Lizenz(en), die durch die Gewährung zur Verfügung gestellt werden, verlängert</w:t>
      </w:r>
      <w:r w:rsidR="006257A7">
        <w:rPr>
          <w:rFonts w:cs="Tahoma"/>
          <w:color w:val="000000"/>
          <w:szCs w:val="18"/>
          <w:lang w:val="de-DE"/>
        </w:rPr>
        <w:t xml:space="preserve">. </w:t>
      </w:r>
      <w:r w:rsidRPr="003002D3">
        <w:rPr>
          <w:rFonts w:cs="Tahoma"/>
          <w:color w:val="000000"/>
          <w:szCs w:val="18"/>
          <w:lang w:val="de-DE"/>
        </w:rPr>
        <w:t>Dementsprechend hat der Kunde Anspruch auf spätere Versionen von System Center 2012, die</w:t>
      </w:r>
      <w:r w:rsidR="00B56A92">
        <w:rPr>
          <w:rFonts w:cs="Tahoma"/>
          <w:color w:val="000000"/>
          <w:szCs w:val="18"/>
          <w:lang w:val="de-DE"/>
        </w:rPr>
        <w:t> </w:t>
      </w:r>
      <w:r w:rsidRPr="003002D3">
        <w:rPr>
          <w:rFonts w:cs="Tahoma"/>
          <w:color w:val="000000"/>
          <w:szCs w:val="18"/>
          <w:lang w:val="de-DE"/>
        </w:rPr>
        <w:t>während des Verlängerungszeitraums von Software Assurance zur Verfügung gestellt werden, und ist berechtigt, bei Ablauf der unter diesem Angebot bestellten Software Assurance Software Assurance für System Center 2012 auf Grundlage der zu dem Zeitpunkt aktuellen Verlängerungspreise für System Center 2012 zu verlängern</w:t>
      </w:r>
      <w:r w:rsidR="006257A7">
        <w:rPr>
          <w:rFonts w:cs="Tahoma"/>
          <w:color w:val="000000"/>
          <w:szCs w:val="18"/>
          <w:lang w:val="de-DE"/>
        </w:rPr>
        <w:t xml:space="preserve">. </w:t>
      </w:r>
      <w:r w:rsidRPr="003002D3">
        <w:rPr>
          <w:rFonts w:cs="Tahoma"/>
          <w:color w:val="000000"/>
          <w:szCs w:val="18"/>
          <w:lang w:val="de-DE"/>
        </w:rPr>
        <w:t>Trotz der Verlängerung von Software Assurance für die qualifizierenden Lizenzen bleiben die Bestimmungen der System Center 2012-Lizenzgewähung hiervon unberührt</w:t>
      </w:r>
      <w:r w:rsidR="006257A7">
        <w:rPr>
          <w:rFonts w:cs="Tahoma"/>
          <w:color w:val="000000"/>
          <w:szCs w:val="18"/>
          <w:lang w:val="de-DE"/>
        </w:rPr>
        <w:t xml:space="preserve">. </w:t>
      </w:r>
      <w:r w:rsidRPr="003002D3">
        <w:rPr>
          <w:rFonts w:cs="Tahoma"/>
          <w:color w:val="000000"/>
          <w:szCs w:val="18"/>
          <w:lang w:val="de-DE"/>
        </w:rPr>
        <w:t>Dementsprechend sind Kunden nicht berechtigt, Software gleichzeitig unter einer qualifizierenden Lizenz und der entsprechenden System Center 2012-Lizenz zu verwenden</w:t>
      </w:r>
      <w:r w:rsidR="006257A7">
        <w:rPr>
          <w:rFonts w:cs="Tahoma"/>
          <w:color w:val="000000"/>
          <w:szCs w:val="18"/>
          <w:lang w:val="de-DE"/>
        </w:rPr>
        <w:t xml:space="preserve">. </w:t>
      </w:r>
      <w:r w:rsidRPr="003002D3">
        <w:rPr>
          <w:rFonts w:cs="Tahoma"/>
          <w:color w:val="000000"/>
          <w:szCs w:val="18"/>
          <w:lang w:val="de-DE"/>
        </w:rPr>
        <w:t>Lizenz und Software Assurance für neue Lizenzen, die bei Verlängerung erworben werden, müssen unter Verwendung der Preise für System Center 2012 bestellt werden</w:t>
      </w:r>
      <w:r w:rsidR="006257A7">
        <w:rPr>
          <w:rFonts w:cs="Tahoma"/>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r w:rsidRPr="003002D3">
        <w:rPr>
          <w:rFonts w:cs="Tahoma"/>
          <w:szCs w:val="18"/>
          <w:lang w:val="de-DE"/>
        </w:rPr>
        <w:t>Andere Kunden, die vor dem 1</w:t>
      </w:r>
      <w:r w:rsidR="006257A7">
        <w:rPr>
          <w:rFonts w:cs="Tahoma"/>
          <w:szCs w:val="18"/>
          <w:lang w:val="de-DE"/>
        </w:rPr>
        <w:t xml:space="preserve">. </w:t>
      </w:r>
      <w:r w:rsidRPr="003002D3">
        <w:rPr>
          <w:rFonts w:cs="Tahoma"/>
          <w:szCs w:val="18"/>
          <w:lang w:val="de-DE"/>
        </w:rPr>
        <w:t>Oktober 2012 Software Assurance für System Center 2012-Lizenzen, die unter diesem Angebot gewährt werden, verlängern, können auf ähnliche Weise berechtigt sein, Software Assurance auf Grundlage der Software Assurance-Preise für die Lizenzen zu verlängern, die sie für die Gewährung qualifizieren</w:t>
      </w:r>
      <w:r w:rsidR="006257A7">
        <w:rPr>
          <w:rFonts w:cs="Tahoma"/>
          <w:szCs w:val="18"/>
          <w:lang w:val="de-DE"/>
        </w:rPr>
        <w:t xml:space="preserve">. </w:t>
      </w:r>
      <w:r w:rsidRPr="003002D3">
        <w:rPr>
          <w:rFonts w:cs="Tahoma"/>
          <w:szCs w:val="18"/>
          <w:lang w:val="de-DE"/>
        </w:rPr>
        <w:t>Weitere Informationen erhalten Kunden bei ihrem Microsoft-Kundenbetreuer oder Handelspartner</w:t>
      </w:r>
      <w:r w:rsidR="006257A7">
        <w:rPr>
          <w:rFonts w:cs="Tahoma"/>
          <w:szCs w:val="18"/>
          <w:lang w:val="de-DE"/>
        </w:rPr>
        <w:t xml:space="preserve">. </w:t>
      </w:r>
      <w:r w:rsidRPr="003002D3">
        <w:rPr>
          <w:rFonts w:cs="Tahoma"/>
          <w:szCs w:val="18"/>
          <w:lang w:val="de-DE"/>
        </w:rPr>
        <w:t xml:space="preserve">Dieses Angebot gilt nicht für Software Assurance-Verlängerung für Client-Management-Lizenzen für System Center Client Management Suite und System Center Configuration Manager </w:t>
      </w:r>
    </w:p>
    <w:p w:rsidR="00E73313" w:rsidRPr="003002D3" w:rsidRDefault="00E73313" w:rsidP="00E73313">
      <w:pPr>
        <w:rPr>
          <w:lang w:val="de-DE"/>
        </w:rPr>
      </w:pPr>
    </w:p>
    <w:p w:rsidR="00E73313" w:rsidRPr="003002D3" w:rsidRDefault="00E73313" w:rsidP="00E73313">
      <w:pPr>
        <w:rPr>
          <w:lang w:val="de-DE"/>
        </w:rPr>
      </w:pPr>
    </w:p>
    <w:p w:rsidR="00E73313" w:rsidRPr="003002D3" w:rsidRDefault="00E73313" w:rsidP="00E73313">
      <w:pPr>
        <w:pStyle w:val="Heading3"/>
        <w:rPr>
          <w:lang w:val="de-DE"/>
        </w:rPr>
      </w:pPr>
      <w:bookmarkStart w:id="1550" w:name="_103_System_Center"/>
      <w:bookmarkStart w:id="1551" w:name="_91_System_Center"/>
      <w:bookmarkStart w:id="1552" w:name="_97_System_Center"/>
      <w:bookmarkStart w:id="1553" w:name="Srv_102SysCtr2012EndpointProt"/>
      <w:bookmarkStart w:id="1554" w:name="_Toc336338359"/>
      <w:bookmarkStart w:id="1555" w:name="_Toc363999094"/>
      <w:bookmarkEnd w:id="1550"/>
      <w:bookmarkEnd w:id="1551"/>
      <w:bookmarkEnd w:id="1552"/>
      <w:r w:rsidRPr="003002D3">
        <w:rPr>
          <w:rFonts w:ascii="Tahoma" w:hAnsi="Tahoma" w:cs="Tahoma"/>
          <w:caps/>
          <w:color w:val="F66400"/>
          <w:sz w:val="22"/>
          <w:szCs w:val="22"/>
          <w:vertAlign w:val="superscript"/>
          <w:lang w:val="de-DE"/>
        </w:rPr>
        <w:t>97</w:t>
      </w:r>
      <w:r w:rsidRPr="003002D3">
        <w:rPr>
          <w:rFonts w:ascii="Tahoma" w:hAnsi="Tahoma" w:cs="Tahoma"/>
          <w:color w:val="F66400"/>
          <w:sz w:val="22"/>
          <w:szCs w:val="22"/>
          <w:lang w:val="de-DE"/>
        </w:rPr>
        <w:t xml:space="preserve"> System Center 2012 Endpoint Protection</w:t>
      </w:r>
      <w:bookmarkEnd w:id="1553"/>
      <w:bookmarkEnd w:id="1554"/>
      <w:bookmarkEnd w:id="1555"/>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szCs w:val="18"/>
          <w:lang w:val="de-DE"/>
        </w:rPr>
        <w:t>Upgrades/Downgrade</w:t>
      </w:r>
    </w:p>
    <w:p w:rsidR="00E73313" w:rsidRPr="003002D3" w:rsidRDefault="00E73313" w:rsidP="00E73313">
      <w:pPr>
        <w:ind w:left="720"/>
        <w:rPr>
          <w:lang w:val="de-DE"/>
        </w:rPr>
      </w:pPr>
      <w:r w:rsidRPr="003002D3">
        <w:rPr>
          <w:rFonts w:eastAsia="Calibri" w:cs="Tahoma"/>
          <w:szCs w:val="18"/>
          <w:lang w:val="de-DE"/>
        </w:rPr>
        <w:t>Mit Wirkung vom 1</w:t>
      </w:r>
      <w:r w:rsidR="006257A7">
        <w:rPr>
          <w:rFonts w:eastAsia="Calibri" w:cs="Tahoma"/>
          <w:szCs w:val="18"/>
          <w:lang w:val="de-DE"/>
        </w:rPr>
        <w:t xml:space="preserve">. </w:t>
      </w:r>
      <w:r w:rsidRPr="003002D3">
        <w:rPr>
          <w:rFonts w:eastAsia="Calibri" w:cs="Tahoma"/>
          <w:szCs w:val="18"/>
          <w:lang w:val="de-DE"/>
        </w:rPr>
        <w:t>April 2012 ist Forefront Endpoint Protection zu System Center 2012 Endpoint Protection geworden</w:t>
      </w:r>
      <w:r w:rsidR="006257A7">
        <w:rPr>
          <w:rFonts w:eastAsia="Calibri" w:cs="Tahoma"/>
          <w:szCs w:val="18"/>
          <w:lang w:val="de-DE"/>
        </w:rPr>
        <w:t xml:space="preserve">. </w:t>
      </w:r>
      <w:r w:rsidRPr="003002D3">
        <w:rPr>
          <w:rFonts w:eastAsia="Calibri" w:cs="Tahoma"/>
          <w:szCs w:val="18"/>
          <w:lang w:val="de-DE"/>
        </w:rPr>
        <w:t>System Center 2012 Endpoint Protection gewährt als eigenständiges Angebot nur Rechte zum Schutz von Clientgeräten</w:t>
      </w:r>
      <w:r w:rsidR="006257A7">
        <w:rPr>
          <w:rFonts w:eastAsia="Calibri" w:cs="Tahoma"/>
          <w:szCs w:val="18"/>
          <w:lang w:val="de-DE"/>
        </w:rPr>
        <w:t xml:space="preserve">. </w:t>
      </w:r>
      <w:r w:rsidRPr="003002D3">
        <w:rPr>
          <w:rFonts w:eastAsia="Calibri" w:cs="Tahoma"/>
          <w:szCs w:val="18"/>
          <w:lang w:val="de-DE"/>
        </w:rPr>
        <w:t>Nutzungsrechte zum Schutz von Servergeräten können nur durch Erwerb von Server-Management-Lizenzen für System Center 2012 Standard oder Datacenter erworben werden</w:t>
      </w:r>
      <w:r w:rsidR="006257A7">
        <w:rPr>
          <w:rFonts w:eastAsia="Calibri" w:cs="Tahoma"/>
          <w:szCs w:val="18"/>
          <w:lang w:val="de-DE"/>
        </w:rPr>
        <w:t xml:space="preserve">. </w:t>
      </w:r>
    </w:p>
    <w:p w:rsidR="00E73313" w:rsidRPr="003002D3" w:rsidRDefault="00E73313" w:rsidP="00E73313">
      <w:pPr>
        <w:ind w:left="720"/>
        <w:rPr>
          <w:lang w:val="de-DE"/>
        </w:rPr>
      </w:pPr>
    </w:p>
    <w:p w:rsidR="00E73313" w:rsidRPr="003002D3" w:rsidRDefault="00E73313" w:rsidP="00B56A92">
      <w:pPr>
        <w:ind w:left="720"/>
        <w:rPr>
          <w:lang w:val="de-DE"/>
        </w:rPr>
      </w:pPr>
      <w:r w:rsidRPr="003002D3">
        <w:rPr>
          <w:rFonts w:eastAsia="Calibri" w:cs="Tahoma"/>
          <w:szCs w:val="18"/>
          <w:lang w:val="de-DE"/>
        </w:rPr>
        <w:t>Nutzer, die über aktive Forefront Endpoint Protection-Abonnements verfügen und den Dienst zum Schutz von Clientgeräten nutzen, können auf System Center 2012 Endpoint Protection für denselben Zweck upgraden und dieses verwenden</w:t>
      </w:r>
      <w:r w:rsidR="006257A7">
        <w:rPr>
          <w:rFonts w:eastAsia="Calibri" w:cs="Tahoma"/>
          <w:szCs w:val="18"/>
          <w:lang w:val="de-DE"/>
        </w:rPr>
        <w:t xml:space="preserve">. </w:t>
      </w:r>
      <w:r w:rsidRPr="003002D3">
        <w:rPr>
          <w:rFonts w:eastAsia="Calibri" w:cs="Tahoma"/>
          <w:szCs w:val="18"/>
          <w:lang w:val="de-DE"/>
        </w:rPr>
        <w:t>Kunden mit System Center 2012 Endpoint Protection-Abonnements sind</w:t>
      </w:r>
      <w:r w:rsidR="00B56A92">
        <w:rPr>
          <w:rFonts w:eastAsia="Calibri" w:cs="Tahoma"/>
          <w:szCs w:val="18"/>
          <w:lang w:val="de-DE"/>
        </w:rPr>
        <w:t> </w:t>
      </w:r>
      <w:r w:rsidRPr="003002D3">
        <w:rPr>
          <w:rFonts w:eastAsia="Calibri" w:cs="Tahoma"/>
          <w:szCs w:val="18"/>
          <w:lang w:val="de-DE"/>
        </w:rPr>
        <w:t>berechtigt, ein Downgrade auf Forefront Endpoint Protection durchzuführen</w:t>
      </w:r>
      <w:r w:rsidR="006257A7">
        <w:rPr>
          <w:rFonts w:eastAsia="Calibri" w:cs="Tahoma"/>
          <w:szCs w:val="18"/>
          <w:lang w:val="de-DE"/>
        </w:rPr>
        <w:t xml:space="preserve">. </w:t>
      </w:r>
    </w:p>
    <w:p w:rsidR="00B56A92" w:rsidRDefault="00B56A92" w:rsidP="00E73313">
      <w:pPr>
        <w:ind w:left="720"/>
        <w:rPr>
          <w:lang w:val="de-DE"/>
        </w:rPr>
      </w:pPr>
    </w:p>
    <w:p w:rsidR="00DD788F" w:rsidRDefault="00DD788F" w:rsidP="00E73313">
      <w:pPr>
        <w:ind w:left="720"/>
        <w:rPr>
          <w:lang w:val="de-DE"/>
        </w:rPr>
      </w:pPr>
    </w:p>
    <w:p w:rsidR="00DD788F" w:rsidRDefault="00DD788F" w:rsidP="00E73313">
      <w:pPr>
        <w:ind w:left="720"/>
        <w:rPr>
          <w:lang w:val="de-DE"/>
        </w:rPr>
      </w:pPr>
    </w:p>
    <w:p w:rsidR="00DD788F" w:rsidRPr="003002D3" w:rsidRDefault="00DD788F" w:rsidP="00E73313">
      <w:pPr>
        <w:ind w:left="720"/>
        <w:rPr>
          <w:lang w:val="de-DE"/>
        </w:rPr>
      </w:pPr>
    </w:p>
    <w:p w:rsidR="00E73313" w:rsidRPr="003002D3" w:rsidRDefault="00E73313" w:rsidP="00E73313">
      <w:pPr>
        <w:ind w:left="720"/>
        <w:rPr>
          <w:lang w:val="de-DE"/>
        </w:rPr>
      </w:pPr>
      <w:r w:rsidRPr="003002D3">
        <w:rPr>
          <w:rFonts w:eastAsia="Calibri" w:cs="Tahoma"/>
          <w:szCs w:val="18"/>
          <w:lang w:val="de-DE"/>
        </w:rPr>
        <w:t>System Center 2012 Configuration Manager ist die Verwaltungskonsole für System Center 2012 Endpoint Protection</w:t>
      </w:r>
      <w:r w:rsidR="006257A7">
        <w:rPr>
          <w:rFonts w:eastAsia="Calibri" w:cs="Tahoma"/>
          <w:szCs w:val="18"/>
          <w:lang w:val="de-DE"/>
        </w:rPr>
        <w:t xml:space="preserve">. </w:t>
      </w:r>
      <w:r w:rsidRPr="003002D3">
        <w:rPr>
          <w:rFonts w:eastAsia="Calibri" w:cs="Tahoma"/>
          <w:szCs w:val="18"/>
          <w:lang w:val="de-DE"/>
        </w:rPr>
        <w:t>Kunden müssen für System Center 2012 Configuration Manager lizenziert sein, um System Center 2012 Endpoint Protection verwalten zu können</w:t>
      </w:r>
      <w:r w:rsidR="006257A7">
        <w:rPr>
          <w:rFonts w:eastAsia="Calibri" w:cs="Tahoma"/>
          <w:szCs w:val="18"/>
          <w:lang w:val="de-DE"/>
        </w:rPr>
        <w:t xml:space="preserve">. </w:t>
      </w:r>
      <w:r w:rsidRPr="003002D3">
        <w:rPr>
          <w:rFonts w:eastAsia="Calibri" w:cs="Tahoma"/>
          <w:szCs w:val="18"/>
          <w:lang w:val="de-DE"/>
        </w:rPr>
        <w:t>Alternativ kann System Center 2012 Endpoint Protection unverwaltet verwendet werden, ohne dass System Center 2012 Configuration Manager lizenziert werden muss</w:t>
      </w:r>
      <w:r w:rsidR="006257A7">
        <w:rPr>
          <w:rFonts w:eastAsia="Calibri" w:cs="Tahoma"/>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szCs w:val="18"/>
          <w:lang w:val="de-DE"/>
        </w:rPr>
        <w:t>Heimnutzung</w:t>
      </w:r>
    </w:p>
    <w:p w:rsidR="00E73313" w:rsidRPr="003002D3" w:rsidRDefault="00E73313" w:rsidP="00E73313">
      <w:pPr>
        <w:ind w:left="720"/>
        <w:rPr>
          <w:lang w:val="de-DE"/>
        </w:rPr>
      </w:pPr>
      <w:r w:rsidRPr="003002D3">
        <w:rPr>
          <w:rFonts w:eastAsia="Calibri" w:cs="Tahoma"/>
          <w:szCs w:val="18"/>
          <w:lang w:val="de-DE"/>
        </w:rPr>
        <w:t>Kunden mit aktuellen Nutzer-Abonnementlizenzen für System Center 2012 Endpoint Protection sind für das Home Use Program qualifiziert</w:t>
      </w:r>
      <w:r w:rsidR="006257A7">
        <w:rPr>
          <w:rFonts w:eastAsia="Calibri" w:cs="Tahoma"/>
          <w:szCs w:val="18"/>
          <w:lang w:val="de-DE"/>
        </w:rPr>
        <w:t xml:space="preserve">. </w:t>
      </w:r>
    </w:p>
    <w:p w:rsidR="00E73313" w:rsidRPr="003002D3" w:rsidRDefault="00E73313" w:rsidP="00E73313">
      <w:pPr>
        <w:rPr>
          <w:lang w:val="de-DE"/>
        </w:rPr>
      </w:pPr>
    </w:p>
    <w:p w:rsidR="00E73313" w:rsidRPr="003002D3" w:rsidRDefault="00E73313" w:rsidP="00E73313">
      <w:pPr>
        <w:rPr>
          <w:lang w:val="de-DE"/>
        </w:rPr>
      </w:pPr>
      <w:bookmarkStart w:id="1556" w:name="_91_TechNet_Plus"/>
      <w:bookmarkStart w:id="1557" w:name="_98_TechNet_Plus"/>
      <w:bookmarkEnd w:id="1540"/>
      <w:bookmarkEnd w:id="1556"/>
      <w:bookmarkEnd w:id="1557"/>
    </w:p>
    <w:p w:rsidR="00E73313" w:rsidRPr="003002D3" w:rsidRDefault="00E73313" w:rsidP="00E73313">
      <w:pPr>
        <w:pStyle w:val="Heading3"/>
        <w:rPr>
          <w:lang w:val="de-DE"/>
        </w:rPr>
      </w:pPr>
      <w:bookmarkStart w:id="1558" w:name="_92_Visual_Studio"/>
      <w:bookmarkStart w:id="1559" w:name="_90_VDI_Standard"/>
      <w:bookmarkStart w:id="1560" w:name="_99_VDI_Standard"/>
      <w:bookmarkStart w:id="1561" w:name="_98_VDI_Standard"/>
      <w:bookmarkStart w:id="1562" w:name="_Toc336338361"/>
      <w:bookmarkStart w:id="1563" w:name="_Toc363999095"/>
      <w:bookmarkStart w:id="1564" w:name="Srv_105VDIStandardandPremiumSuites"/>
      <w:bookmarkStart w:id="1565" w:name="Srv_94VSLoadTestVirtualUserPack10"/>
      <w:bookmarkEnd w:id="1558"/>
      <w:bookmarkEnd w:id="1559"/>
      <w:bookmarkEnd w:id="1560"/>
      <w:bookmarkEnd w:id="1561"/>
      <w:r w:rsidRPr="003002D3">
        <w:rPr>
          <w:rFonts w:ascii="Tahoma" w:hAnsi="Tahoma" w:cs="Tahoma"/>
          <w:caps/>
          <w:color w:val="FF7415"/>
          <w:sz w:val="22"/>
          <w:szCs w:val="22"/>
          <w:vertAlign w:val="superscript"/>
          <w:lang w:val="de-DE"/>
        </w:rPr>
        <w:t>98</w:t>
      </w:r>
      <w:r w:rsidRPr="00B56A92">
        <w:rPr>
          <w:rFonts w:ascii="Tahoma" w:hAnsi="Tahoma" w:cs="Tahoma"/>
          <w:caps/>
          <w:color w:val="FF7415"/>
          <w:sz w:val="22"/>
          <w:szCs w:val="22"/>
          <w:lang w:val="de-DE"/>
        </w:rPr>
        <w:t xml:space="preserve"> </w:t>
      </w:r>
      <w:r w:rsidRPr="003002D3">
        <w:rPr>
          <w:rFonts w:ascii="Tahoma" w:hAnsi="Tahoma" w:cs="Tahoma"/>
          <w:color w:val="FF7415"/>
          <w:sz w:val="22"/>
          <w:szCs w:val="22"/>
          <w:lang w:val="de-DE"/>
        </w:rPr>
        <w:t>VDI Standard and Premium Suites</w:t>
      </w:r>
      <w:bookmarkEnd w:id="1562"/>
      <w:bookmarkEnd w:id="1563"/>
    </w:p>
    <w:bookmarkEnd w:id="1564"/>
    <w:p w:rsidR="00E73313" w:rsidRPr="003002D3" w:rsidRDefault="00E73313" w:rsidP="00E73313">
      <w:pPr>
        <w:rPr>
          <w:lang w:val="de-DE"/>
        </w:rPr>
      </w:pPr>
    </w:p>
    <w:p w:rsidR="00E73313" w:rsidRPr="003002D3" w:rsidRDefault="00E73313" w:rsidP="00E73313">
      <w:pPr>
        <w:pStyle w:val="EndnoteText"/>
        <w:ind w:left="720"/>
        <w:rPr>
          <w:lang w:val="de-DE"/>
        </w:rPr>
      </w:pPr>
      <w:r w:rsidRPr="003002D3">
        <w:rPr>
          <w:rFonts w:ascii="Tahoma" w:hAnsi="Tahoma" w:cs="Tahoma"/>
          <w:color w:val="000000"/>
          <w:sz w:val="18"/>
          <w:lang w:val="de-DE"/>
        </w:rPr>
        <w:t>Diese Produkte haben den Status End-Of-Life (EOL) und werden nicht mehr angeboten</w:t>
      </w:r>
      <w:r w:rsidR="006257A7">
        <w:rPr>
          <w:rFonts w:ascii="Tahoma" w:hAnsi="Tahoma" w:cs="Tahoma"/>
          <w:color w:val="000000"/>
          <w:sz w:val="18"/>
          <w:lang w:val="de-DE"/>
        </w:rPr>
        <w:t xml:space="preserve">. </w:t>
      </w:r>
      <w:r w:rsidRPr="003002D3">
        <w:rPr>
          <w:rFonts w:ascii="Tahoma" w:hAnsi="Tahoma" w:cs="Tahoma"/>
          <w:color w:val="000000"/>
          <w:sz w:val="18"/>
          <w:lang w:val="de-DE"/>
        </w:rPr>
        <w:t>Kunden mit Konzernvertrag können sich in früheren Versionen der Produktbenutzungsrechte über Nutzungsrechte informieren</w:t>
      </w:r>
      <w:r w:rsidR="006257A7">
        <w:rPr>
          <w:rFonts w:ascii="Tahoma" w:hAnsi="Tahoma" w:cs="Tahoma"/>
          <w:color w:val="000000"/>
          <w:sz w:val="18"/>
          <w:lang w:val="de-DE"/>
        </w:rPr>
        <w:t xml:space="preserve">. </w:t>
      </w:r>
    </w:p>
    <w:p w:rsidR="00E73313" w:rsidRPr="003002D3" w:rsidRDefault="00E73313" w:rsidP="00E73313">
      <w:pPr>
        <w:pStyle w:val="EndnoteText"/>
        <w:ind w:left="0"/>
        <w:rPr>
          <w:lang w:val="de-DE"/>
        </w:rPr>
      </w:pPr>
      <w:bookmarkStart w:id="1566" w:name="_91_Vexcel_Server,"/>
      <w:bookmarkEnd w:id="1566"/>
    </w:p>
    <w:p w:rsidR="00E73313" w:rsidRPr="003002D3" w:rsidRDefault="00E73313" w:rsidP="00E73313">
      <w:pPr>
        <w:pStyle w:val="EndnoteText"/>
        <w:ind w:left="0"/>
        <w:rPr>
          <w:lang w:val="de-DE"/>
        </w:rPr>
      </w:pPr>
    </w:p>
    <w:p w:rsidR="00E73313" w:rsidRPr="003002D3" w:rsidRDefault="00E73313" w:rsidP="00E73313">
      <w:pPr>
        <w:pStyle w:val="Heading2"/>
        <w:ind w:left="0"/>
        <w:rPr>
          <w:lang w:val="de-DE"/>
        </w:rPr>
      </w:pPr>
      <w:bookmarkStart w:id="1567" w:name="_105_Windows_Azure"/>
      <w:bookmarkStart w:id="1568" w:name="_100_Windows_Azure"/>
      <w:bookmarkStart w:id="1569" w:name="_99_Windows_Azure-Dienste"/>
      <w:bookmarkStart w:id="1570" w:name="_Toc336338362"/>
      <w:bookmarkStart w:id="1571" w:name="_Toc363999096"/>
      <w:bookmarkEnd w:id="1567"/>
      <w:bookmarkEnd w:id="1568"/>
      <w:bookmarkEnd w:id="1569"/>
      <w:r w:rsidRPr="003002D3">
        <w:rPr>
          <w:rFonts w:ascii="Tahoma" w:hAnsi="Tahoma" w:cs="Tahoma"/>
          <w:caps/>
          <w:color w:val="EE6000"/>
          <w:sz w:val="22"/>
          <w:szCs w:val="18"/>
          <w:vertAlign w:val="superscript"/>
          <w:lang w:val="de-DE"/>
        </w:rPr>
        <w:t>99</w:t>
      </w:r>
      <w:r w:rsidRPr="00B56A92">
        <w:rPr>
          <w:rFonts w:ascii="Tahoma" w:hAnsi="Tahoma" w:cs="Tahoma"/>
          <w:caps/>
          <w:color w:val="EE6000"/>
          <w:sz w:val="22"/>
          <w:szCs w:val="18"/>
          <w:lang w:val="de-DE"/>
        </w:rPr>
        <w:t xml:space="preserve"> </w:t>
      </w:r>
      <w:r w:rsidRPr="003002D3">
        <w:rPr>
          <w:rFonts w:ascii="Tahoma" w:hAnsi="Tahoma" w:cs="Tahoma"/>
          <w:color w:val="F8701C"/>
          <w:sz w:val="22"/>
          <w:szCs w:val="22"/>
          <w:lang w:val="de-DE"/>
        </w:rPr>
        <w:t>Windows Azure-Dienste</w:t>
      </w:r>
      <w:bookmarkEnd w:id="1570"/>
      <w:bookmarkEnd w:id="1571"/>
    </w:p>
    <w:p w:rsidR="00E73313" w:rsidRPr="003002D3" w:rsidRDefault="00E73313" w:rsidP="00E73313">
      <w:pPr>
        <w:widowControl w:val="0"/>
        <w:jc w:val="both"/>
        <w:rPr>
          <w:lang w:val="de-DE"/>
        </w:rPr>
      </w:pPr>
    </w:p>
    <w:p w:rsidR="00E73313" w:rsidRPr="003002D3" w:rsidRDefault="00E73313" w:rsidP="00E73313">
      <w:pPr>
        <w:widowControl w:val="0"/>
        <w:spacing w:after="60"/>
        <w:ind w:left="720"/>
        <w:jc w:val="both"/>
        <w:rPr>
          <w:lang w:val="de-DE"/>
        </w:rPr>
      </w:pPr>
      <w:r w:rsidRPr="003002D3">
        <w:rPr>
          <w:b/>
          <w:color w:val="000000"/>
          <w:lang w:val="de-DE"/>
        </w:rPr>
        <w:t>Windows Azure Compute-Ressourcenverpflichtung</w:t>
      </w:r>
    </w:p>
    <w:p w:rsidR="00E73313" w:rsidRPr="003002D3" w:rsidRDefault="00E73313" w:rsidP="00B56A92">
      <w:pPr>
        <w:widowControl w:val="0"/>
        <w:ind w:left="720"/>
        <w:jc w:val="both"/>
        <w:rPr>
          <w:lang w:val="de-DE"/>
        </w:rPr>
      </w:pPr>
      <w:r w:rsidRPr="003002D3">
        <w:rPr>
          <w:lang w:val="de-DE"/>
        </w:rPr>
        <w:t>Für Windows Azure Compute erklärt sich Microsoft damit einverstanden, dem Kunden eine Compute-Ressourcenverpflichtung zur Verfügung zu stellen</w:t>
      </w:r>
      <w:r w:rsidR="006257A7">
        <w:rPr>
          <w:lang w:val="de-DE"/>
        </w:rPr>
        <w:t xml:space="preserve">. </w:t>
      </w:r>
      <w:r w:rsidRPr="003002D3">
        <w:rPr>
          <w:lang w:val="de-DE"/>
        </w:rPr>
        <w:t>Die Compute-Ressourcenverpflichtung beträgt (1)</w:t>
      </w:r>
      <w:r w:rsidR="00B56A92">
        <w:rPr>
          <w:lang w:val="de-DE"/>
        </w:rPr>
        <w:t> </w:t>
      </w:r>
      <w:r w:rsidRPr="003002D3">
        <w:rPr>
          <w:rFonts w:eastAsia="Times New Roman"/>
          <w:color w:val="000000"/>
          <w:lang w:val="de-DE"/>
        </w:rPr>
        <w:t>50</w:t>
      </w:r>
      <w:r w:rsidR="00B56A92">
        <w:rPr>
          <w:rFonts w:eastAsia="Times New Roman"/>
          <w:color w:val="000000"/>
          <w:lang w:val="de-DE"/>
        </w:rPr>
        <w:t> </w:t>
      </w:r>
      <w:r w:rsidRPr="003002D3">
        <w:rPr>
          <w:rFonts w:eastAsia="Times New Roman"/>
          <w:color w:val="000000"/>
          <w:lang w:val="de-DE"/>
        </w:rPr>
        <w:t xml:space="preserve">gleichzeitige kleine Compute-Instanzen pro Monat oder (2) </w:t>
      </w:r>
      <w:r w:rsidRPr="003002D3">
        <w:rPr>
          <w:lang w:val="de-DE"/>
        </w:rPr>
        <w:t>125% 125 % der Voraussichtlichen Compute-Nutzung des Kunden (wie nachstehend berechnet), wobei der größere Wert maßgeblich ist</w:t>
      </w:r>
      <w:r w:rsidR="006257A7">
        <w:rPr>
          <w:lang w:val="de-DE"/>
        </w:rPr>
        <w:t xml:space="preserve">. </w:t>
      </w:r>
    </w:p>
    <w:p w:rsidR="00E73313" w:rsidRPr="003002D3" w:rsidRDefault="00E73313" w:rsidP="00E73313">
      <w:pPr>
        <w:widowControl w:val="0"/>
        <w:ind w:left="720"/>
        <w:jc w:val="both"/>
        <w:rPr>
          <w:lang w:val="de-DE"/>
        </w:rPr>
      </w:pPr>
    </w:p>
    <w:p w:rsidR="00E73313" w:rsidRPr="003002D3" w:rsidRDefault="00E73313" w:rsidP="00E73313">
      <w:pPr>
        <w:widowControl w:val="0"/>
        <w:ind w:left="720"/>
        <w:jc w:val="both"/>
        <w:rPr>
          <w:lang w:val="de-DE"/>
        </w:rPr>
      </w:pPr>
      <w:r w:rsidRPr="003002D3">
        <w:rPr>
          <w:lang w:val="de-DE"/>
        </w:rPr>
        <w:t xml:space="preserve">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w:t>
      </w:r>
      <w:r w:rsidRPr="003002D3">
        <w:rPr>
          <w:rFonts w:cs="Tahoma"/>
          <w:szCs w:val="18"/>
          <w:lang w:val="de-DE"/>
        </w:rPr>
        <w:t>Abonnementoption mit identischer Laufzeit</w:t>
      </w:r>
      <w:r w:rsidRPr="003002D3">
        <w:rPr>
          <w:lang w:val="de-DE"/>
        </w:rPr>
        <w:t xml:space="preserve"> entscheidet), sowie durch Dividieren dieser Zahl durch den Verpflichtungspreis für Windows Azure Compute berechnet</w:t>
      </w:r>
      <w:r w:rsidR="006257A7">
        <w:rPr>
          <w:lang w:val="de-DE"/>
        </w:rPr>
        <w:t xml:space="preserve">. </w:t>
      </w:r>
      <w:r w:rsidRPr="003002D3">
        <w:rPr>
          <w:lang w:val="de-DE"/>
        </w:rPr>
        <w:t>Wenn der Kunde während der Beitrittslaufzeit seiner Finanziellen Verpflichtung Mittel hinzufügt, wird die Voraussichtliche Compute-Nutzung entsprechend neu berechnet</w:t>
      </w:r>
      <w:r w:rsidR="006257A7">
        <w:rPr>
          <w:lang w:val="de-DE"/>
        </w:rPr>
        <w:t xml:space="preserve">. </w:t>
      </w:r>
      <w:r w:rsidRPr="003002D3">
        <w:rPr>
          <w:lang w:val="de-DE"/>
        </w:rPr>
        <w:t>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r w:rsidR="006257A7">
        <w:rPr>
          <w:lang w:val="de-DE"/>
        </w:rPr>
        <w:t xml:space="preserve">. </w:t>
      </w:r>
    </w:p>
    <w:p w:rsidR="00E73313" w:rsidRPr="003002D3" w:rsidRDefault="00E73313" w:rsidP="00E73313">
      <w:pPr>
        <w:widowControl w:val="0"/>
        <w:ind w:left="720"/>
        <w:jc w:val="both"/>
        <w:rPr>
          <w:lang w:val="de-DE"/>
        </w:rPr>
      </w:pPr>
    </w:p>
    <w:p w:rsidR="00E73313" w:rsidRPr="003002D3" w:rsidRDefault="00E73313" w:rsidP="00E73313">
      <w:pPr>
        <w:widowControl w:val="0"/>
        <w:ind w:left="720"/>
        <w:jc w:val="both"/>
        <w:rPr>
          <w:lang w:val="de-DE"/>
        </w:rPr>
      </w:pPr>
      <w:r w:rsidRPr="003002D3">
        <w:rPr>
          <w:lang w:val="de-DE"/>
        </w:rPr>
        <w:t>Wenn Microsoft es versäumt, die Compute-Ressourcenverpflichtung einzuhalten, erhält die Gesellschaft eine Gutschrift, die 25 % des Geldwerts des betroffenen Windows Azure Compute-Diensts zum Verpflichtungspreis entspricht</w:t>
      </w:r>
      <w:r w:rsidR="006257A7">
        <w:rPr>
          <w:lang w:val="de-DE"/>
        </w:rPr>
        <w:t xml:space="preserve">. </w:t>
      </w:r>
      <w:r w:rsidRPr="003002D3">
        <w:rPr>
          <w:lang w:val="de-DE"/>
        </w:rPr>
        <w:t>Diese Gutschrift entspricht maximal dem Gesamtgeldwert der restlichen Finanziellen Verpflichtung des Kunden</w:t>
      </w:r>
      <w:r w:rsidR="006257A7">
        <w:rPr>
          <w:lang w:val="de-DE"/>
        </w:rPr>
        <w:t xml:space="preserve">. </w:t>
      </w:r>
      <w:r w:rsidRPr="003002D3">
        <w:rPr>
          <w:lang w:val="de-DE"/>
        </w:rPr>
        <w:t>Wenn der Kunde aufgrund dieser Nichtverfügbarkeit ebenfalls Anspruch auf eine Dienstgutschrift unter der Vereinbarung zum Servicelevel (siehe Ziffer 2</w:t>
      </w:r>
      <w:r w:rsidR="006257A7">
        <w:rPr>
          <w:lang w:val="de-DE"/>
        </w:rPr>
        <w:t xml:space="preserve">. </w:t>
      </w:r>
      <w:r w:rsidRPr="003002D3">
        <w:rPr>
          <w:lang w:val="de-DE"/>
        </w:rPr>
        <w:t>c oben) hat, erhält der Kunde nur den Anspruch mit dem höchsten Geldwert</w:t>
      </w:r>
      <w:r w:rsidR="006257A7">
        <w:rPr>
          <w:lang w:val="de-DE"/>
        </w:rPr>
        <w:t xml:space="preserve">. </w:t>
      </w:r>
    </w:p>
    <w:p w:rsidR="00E73313" w:rsidRPr="003002D3" w:rsidRDefault="00E73313" w:rsidP="00E73313">
      <w:pPr>
        <w:widowControl w:val="0"/>
        <w:ind w:left="720"/>
        <w:jc w:val="both"/>
        <w:rPr>
          <w:lang w:val="de-DE"/>
        </w:rPr>
      </w:pPr>
      <w:r w:rsidRPr="003002D3">
        <w:rPr>
          <w:lang w:val="de-DE"/>
        </w:rPr>
        <w:t>Die gesamte Nutzung von Windows Azure Compute, die über der Compute-Ressourcenverpflichtung liegt, wird „je nach Verfügbarkeit“ genutzt</w:t>
      </w:r>
      <w:r w:rsidR="006257A7">
        <w:rPr>
          <w:lang w:val="de-DE"/>
        </w:rPr>
        <w:t xml:space="preserve">. </w:t>
      </w:r>
      <w:r w:rsidRPr="003002D3">
        <w:rPr>
          <w:lang w:val="de-DE"/>
        </w:rPr>
        <w:t>Die gesamte Nutzung von anderen Windows Azure-Diensten als Windows Azure Compute wird „je nach Verfügbarkeit“ genutzt</w:t>
      </w:r>
      <w:r w:rsidR="006257A7">
        <w:rPr>
          <w:lang w:val="de-DE"/>
        </w:rPr>
        <w:t xml:space="preserve">. </w:t>
      </w:r>
    </w:p>
    <w:p w:rsidR="00B56A92" w:rsidRDefault="00B56A92" w:rsidP="00E73313">
      <w:pPr>
        <w:pStyle w:val="EndnoteText"/>
        <w:ind w:left="720"/>
        <w:rPr>
          <w:lang w:val="de-DE"/>
        </w:rPr>
      </w:pPr>
    </w:p>
    <w:p w:rsidR="00B56A92" w:rsidRDefault="00B56A92" w:rsidP="00E73313">
      <w:pPr>
        <w:pStyle w:val="EndnoteText"/>
        <w:ind w:left="720"/>
        <w:rPr>
          <w:lang w:val="de-DE"/>
        </w:rPr>
      </w:pPr>
    </w:p>
    <w:p w:rsidR="00DD788F" w:rsidRDefault="00DD788F" w:rsidP="00E73313">
      <w:pPr>
        <w:pStyle w:val="EndnoteText"/>
        <w:ind w:left="720"/>
        <w:rPr>
          <w:lang w:val="de-DE"/>
        </w:rPr>
      </w:pPr>
    </w:p>
    <w:p w:rsidR="00DD788F" w:rsidRDefault="00DD788F" w:rsidP="00E73313">
      <w:pPr>
        <w:pStyle w:val="EndnoteText"/>
        <w:ind w:left="720"/>
        <w:rPr>
          <w:lang w:val="de-DE"/>
        </w:rPr>
      </w:pPr>
    </w:p>
    <w:p w:rsidR="00DD788F" w:rsidRDefault="00DD788F" w:rsidP="00E73313">
      <w:pPr>
        <w:pStyle w:val="EndnoteText"/>
        <w:ind w:left="720"/>
        <w:rPr>
          <w:lang w:val="de-DE"/>
        </w:rPr>
      </w:pPr>
    </w:p>
    <w:p w:rsidR="00DD788F" w:rsidRDefault="00DD788F" w:rsidP="00E73313">
      <w:pPr>
        <w:pStyle w:val="EndnoteText"/>
        <w:ind w:left="720"/>
        <w:rPr>
          <w:lang w:val="de-DE"/>
        </w:rPr>
      </w:pPr>
    </w:p>
    <w:p w:rsidR="00DD788F" w:rsidRDefault="00DD788F" w:rsidP="00E73313">
      <w:pPr>
        <w:pStyle w:val="EndnoteText"/>
        <w:ind w:left="720"/>
        <w:rPr>
          <w:lang w:val="de-DE"/>
        </w:rPr>
      </w:pPr>
    </w:p>
    <w:p w:rsidR="00DD788F" w:rsidRDefault="00DD788F" w:rsidP="00E73313">
      <w:pPr>
        <w:pStyle w:val="EndnoteText"/>
        <w:ind w:left="720"/>
        <w:rPr>
          <w:lang w:val="de-DE"/>
        </w:rPr>
      </w:pPr>
    </w:p>
    <w:p w:rsidR="00DD788F" w:rsidRDefault="00DD788F" w:rsidP="00E73313">
      <w:pPr>
        <w:pStyle w:val="EndnoteText"/>
        <w:ind w:left="720"/>
        <w:rPr>
          <w:lang w:val="de-DE"/>
        </w:rPr>
      </w:pPr>
    </w:p>
    <w:p w:rsidR="00DD788F" w:rsidRDefault="00DD788F" w:rsidP="00E73313">
      <w:pPr>
        <w:pStyle w:val="EndnoteText"/>
        <w:ind w:left="720"/>
        <w:rPr>
          <w:lang w:val="de-DE"/>
        </w:rPr>
      </w:pPr>
    </w:p>
    <w:p w:rsidR="00DD788F" w:rsidRPr="003002D3" w:rsidRDefault="00DD788F" w:rsidP="00E73313">
      <w:pPr>
        <w:pStyle w:val="EndnoteText"/>
        <w:ind w:left="720"/>
        <w:rPr>
          <w:lang w:val="de-DE"/>
        </w:rPr>
      </w:pPr>
    </w:p>
    <w:p w:rsidR="00E73313" w:rsidRPr="0062435A" w:rsidRDefault="00E73313" w:rsidP="00E73313">
      <w:pPr>
        <w:pStyle w:val="Heading2"/>
        <w:ind w:left="0"/>
      </w:pPr>
      <w:bookmarkStart w:id="1572" w:name="_98_Windows_Embedded"/>
      <w:bookmarkStart w:id="1573" w:name="_101_Windows_Embedded"/>
      <w:bookmarkStart w:id="1574" w:name="_100_Windows_Embedded"/>
      <w:bookmarkStart w:id="1575" w:name="Srv_107WindowsEmbeddedDeviceMgr2011"/>
      <w:bookmarkStart w:id="1576" w:name="_Toc336338363"/>
      <w:bookmarkStart w:id="1577" w:name="_Toc363999097"/>
      <w:bookmarkStart w:id="1578" w:name="Srv_93SBS2008PremiumEdition"/>
      <w:bookmarkEnd w:id="1565"/>
      <w:bookmarkEnd w:id="1572"/>
      <w:bookmarkEnd w:id="1573"/>
      <w:bookmarkEnd w:id="1574"/>
      <w:r>
        <w:rPr>
          <w:rFonts w:ascii="Tahoma" w:hAnsi="Tahoma" w:cs="Tahoma"/>
          <w:caps/>
          <w:color w:val="FF6600"/>
          <w:sz w:val="22"/>
          <w:vertAlign w:val="superscript"/>
        </w:rPr>
        <w:t>100</w:t>
      </w:r>
      <w:r>
        <w:rPr>
          <w:rFonts w:ascii="Tahoma" w:hAnsi="Tahoma" w:cs="Tahoma"/>
          <w:color w:val="FF6600"/>
        </w:rPr>
        <w:t xml:space="preserve"> </w:t>
      </w:r>
      <w:r>
        <w:rPr>
          <w:rFonts w:ascii="Tahoma" w:hAnsi="Tahoma" w:cs="Tahoma"/>
          <w:color w:val="FF6600"/>
          <w:sz w:val="22"/>
        </w:rPr>
        <w:t>Windows Embedded Device Manager 2011 – Management Server-Lizenz</w:t>
      </w:r>
      <w:bookmarkEnd w:id="1575"/>
      <w:bookmarkEnd w:id="1576"/>
      <w:bookmarkEnd w:id="1577"/>
    </w:p>
    <w:p w:rsidR="00E73313" w:rsidRPr="0062435A" w:rsidRDefault="00E73313" w:rsidP="00E73313"/>
    <w:p w:rsidR="00E73313" w:rsidRPr="003002D3" w:rsidRDefault="00E73313" w:rsidP="00E73313">
      <w:pPr>
        <w:pStyle w:val="EndnoteText"/>
        <w:ind w:left="720"/>
        <w:rPr>
          <w:lang w:val="de-DE"/>
        </w:rPr>
      </w:pPr>
      <w:r w:rsidRPr="003002D3">
        <w:rPr>
          <w:rFonts w:ascii="Tahoma" w:hAnsi="Tahoma" w:cs="Tahoma"/>
          <w:color w:val="000000"/>
          <w:sz w:val="18"/>
          <w:lang w:val="de-DE"/>
        </w:rPr>
        <w:t>Dieses Produkt hat den Status End-Of-Life (EOL) und wird nicht mehr angeboten</w:t>
      </w:r>
      <w:r w:rsidR="006257A7">
        <w:rPr>
          <w:rFonts w:ascii="Tahoma" w:hAnsi="Tahoma" w:cs="Tahoma"/>
          <w:color w:val="000000"/>
          <w:sz w:val="18"/>
          <w:lang w:val="de-DE"/>
        </w:rPr>
        <w:t xml:space="preserve">. </w:t>
      </w:r>
    </w:p>
    <w:p w:rsidR="00E73313" w:rsidRPr="003002D3" w:rsidRDefault="00E73313" w:rsidP="00E73313">
      <w:pPr>
        <w:pStyle w:val="EndnoteText"/>
        <w:ind w:left="720"/>
        <w:rPr>
          <w:lang w:val="de-DE"/>
        </w:rPr>
      </w:pPr>
    </w:p>
    <w:p w:rsidR="00E73313" w:rsidRPr="003002D3" w:rsidRDefault="00E73313" w:rsidP="00E73313">
      <w:pPr>
        <w:pStyle w:val="EndnoteText"/>
        <w:spacing w:after="60"/>
        <w:ind w:left="720"/>
        <w:rPr>
          <w:lang w:val="de-DE"/>
        </w:rPr>
      </w:pPr>
      <w:r w:rsidRPr="003002D3">
        <w:rPr>
          <w:rFonts w:ascii="Tahoma" w:hAnsi="Tahoma" w:cs="Tahoma"/>
          <w:b/>
          <w:color w:val="000000"/>
          <w:sz w:val="18"/>
          <w:lang w:val="de-DE"/>
        </w:rPr>
        <w:t>Einmalige Lizenzgewährung an Lizenzinhaber von Windows Embedded Device Manager 2011 mit aktiver Software Assurance</w:t>
      </w:r>
    </w:p>
    <w:p w:rsidR="00E73313" w:rsidRPr="003002D3" w:rsidRDefault="00E73313" w:rsidP="00E73313">
      <w:pPr>
        <w:pStyle w:val="EndnoteText"/>
        <w:ind w:left="720"/>
        <w:rPr>
          <w:lang w:val="de-DE"/>
        </w:rPr>
      </w:pPr>
      <w:r w:rsidRPr="003002D3">
        <w:rPr>
          <w:rFonts w:ascii="Tahoma" w:hAnsi="Tahoma" w:cs="Tahoma"/>
          <w:color w:val="000000"/>
          <w:sz w:val="18"/>
          <w:lang w:val="de-DE"/>
        </w:rPr>
        <w:t>Als einmalige Ausnahme in Verbindung mit der Einstellung von Management Server-Lizenzen für Windows Embedded Device Manager 2011 erhalten Software Assurance-Kunden, die am 1</w:t>
      </w:r>
      <w:r w:rsidR="006257A7">
        <w:rPr>
          <w:rFonts w:ascii="Tahoma" w:hAnsi="Tahoma" w:cs="Tahoma"/>
          <w:color w:val="000000"/>
          <w:sz w:val="18"/>
          <w:lang w:val="de-DE"/>
        </w:rPr>
        <w:t xml:space="preserve">. </w:t>
      </w:r>
      <w:r w:rsidRPr="003002D3">
        <w:rPr>
          <w:rFonts w:ascii="Tahoma" w:hAnsi="Tahoma" w:cs="Tahoma"/>
          <w:color w:val="000000"/>
          <w:sz w:val="18"/>
          <w:lang w:val="de-DE"/>
        </w:rPr>
        <w:t>April 2012 über Software Assurance für Management Server-Lizenz verfügten, die folgenden Client-Management-Lizenzen</w:t>
      </w:r>
      <w:r w:rsidRPr="003002D3">
        <w:rPr>
          <w:rFonts w:ascii="Tahoma" w:hAnsi="Tahoma" w:cs="Tahoma"/>
          <w:color w:val="000000"/>
          <w:sz w:val="18"/>
          <w:szCs w:val="20"/>
          <w:lang w:val="de-DE"/>
        </w:rPr>
        <w:t>:</w:t>
      </w:r>
    </w:p>
    <w:p w:rsidR="00E73313" w:rsidRPr="003002D3" w:rsidRDefault="00E73313" w:rsidP="00E73313">
      <w:pPr>
        <w:pStyle w:val="EndnoteText"/>
        <w:ind w:left="720"/>
        <w:rPr>
          <w:lang w:val="de-DE"/>
        </w:rPr>
      </w:pPr>
    </w:p>
    <w:p w:rsidR="00E73313" w:rsidRPr="003002D3" w:rsidRDefault="00E73313" w:rsidP="00E73313">
      <w:pPr>
        <w:pStyle w:val="EndnoteText"/>
        <w:rPr>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820"/>
        <w:gridCol w:w="4190"/>
      </w:tblGrid>
      <w:tr w:rsidR="00E73313" w:rsidRPr="00E55393" w:rsidTr="00B56A92">
        <w:tc>
          <w:tcPr>
            <w:tcW w:w="3820" w:type="dxa"/>
            <w:tcBorders>
              <w:top w:val="single" w:sz="4" w:space="0" w:color="000000"/>
              <w:bottom w:val="single" w:sz="6" w:space="0" w:color="000000"/>
            </w:tcBorders>
            <w:shd w:val="clear" w:color="auto" w:fill="FABF8F"/>
          </w:tcPr>
          <w:p w:rsidR="00E73313" w:rsidRPr="003856C2" w:rsidRDefault="00E73313" w:rsidP="00E328C3">
            <w:pPr>
              <w:jc w:val="center"/>
              <w:rPr>
                <w:rFonts w:cs="Tahoma"/>
                <w:b/>
                <w:color w:val="000000"/>
                <w:szCs w:val="20"/>
              </w:rPr>
            </w:pPr>
            <w:r>
              <w:rPr>
                <w:rFonts w:cs="Tahoma"/>
                <w:b/>
                <w:color w:val="000000"/>
                <w:szCs w:val="20"/>
              </w:rPr>
              <w:t>Qualifizierende Lizenzen</w:t>
            </w:r>
          </w:p>
        </w:tc>
        <w:tc>
          <w:tcPr>
            <w:tcW w:w="4190" w:type="dxa"/>
            <w:tcBorders>
              <w:top w:val="single" w:sz="4" w:space="0" w:color="000000"/>
              <w:bottom w:val="single" w:sz="6" w:space="0" w:color="000000"/>
            </w:tcBorders>
            <w:shd w:val="clear" w:color="auto" w:fill="FABF8F"/>
          </w:tcPr>
          <w:p w:rsidR="00E73313" w:rsidRPr="003856C2" w:rsidRDefault="00E73313" w:rsidP="00E328C3">
            <w:pPr>
              <w:jc w:val="center"/>
              <w:rPr>
                <w:rFonts w:cs="Tahoma"/>
                <w:b/>
                <w:color w:val="000000"/>
                <w:szCs w:val="20"/>
              </w:rPr>
            </w:pPr>
            <w:r w:rsidRPr="00B56A92">
              <w:rPr>
                <w:rFonts w:cs="Tahoma"/>
                <w:b/>
                <w:color w:val="000000"/>
                <w:szCs w:val="20"/>
              </w:rPr>
              <w:t>Client-Management-Lizenzen für Windows Embedded Device Manager 2011</w:t>
            </w:r>
          </w:p>
        </w:tc>
      </w:tr>
      <w:tr w:rsidR="00E73313" w:rsidRPr="00E55393" w:rsidTr="00B56A92">
        <w:tc>
          <w:tcPr>
            <w:tcW w:w="3820" w:type="dxa"/>
            <w:tcBorders>
              <w:top w:val="single" w:sz="6" w:space="0" w:color="000000"/>
            </w:tcBorders>
            <w:shd w:val="clear" w:color="auto" w:fill="FFFFFF"/>
          </w:tcPr>
          <w:p w:rsidR="00E73313" w:rsidRPr="00423037" w:rsidRDefault="00E73313" w:rsidP="00E328C3">
            <w:pPr>
              <w:rPr>
                <w:rFonts w:cs="Tahoma"/>
                <w:color w:val="000000"/>
                <w:szCs w:val="20"/>
              </w:rPr>
            </w:pPr>
            <w:r>
              <w:rPr>
                <w:rFonts w:cs="Tahoma"/>
                <w:color w:val="000000"/>
                <w:szCs w:val="20"/>
              </w:rPr>
              <w:t>Server-Lizenz für Windows Embedded Device Manager 2011</w:t>
            </w:r>
          </w:p>
        </w:tc>
        <w:tc>
          <w:tcPr>
            <w:tcW w:w="4190" w:type="dxa"/>
            <w:tcBorders>
              <w:top w:val="single" w:sz="6" w:space="0" w:color="000000"/>
            </w:tcBorders>
            <w:shd w:val="clear" w:color="auto" w:fill="FFFFFF"/>
          </w:tcPr>
          <w:p w:rsidR="00E73313" w:rsidRPr="00423037" w:rsidRDefault="00E73313" w:rsidP="00E328C3">
            <w:pPr>
              <w:rPr>
                <w:rFonts w:cs="Tahoma"/>
                <w:color w:val="000000"/>
                <w:szCs w:val="20"/>
              </w:rPr>
            </w:pPr>
            <w:r>
              <w:rPr>
                <w:rFonts w:cs="Tahoma"/>
                <w:color w:val="000000"/>
                <w:szCs w:val="20"/>
              </w:rPr>
              <w:t>13 Client-Management-Lizenzen für Windows Embedded Device Manager 2011</w:t>
            </w:r>
          </w:p>
        </w:tc>
      </w:tr>
      <w:tr w:rsidR="00E73313" w:rsidRPr="00E55393" w:rsidTr="00B56A92">
        <w:tc>
          <w:tcPr>
            <w:tcW w:w="3820" w:type="dxa"/>
            <w:shd w:val="clear" w:color="auto" w:fill="FFFFFF"/>
          </w:tcPr>
          <w:p w:rsidR="00E73313" w:rsidRPr="003002D3" w:rsidRDefault="00E73313" w:rsidP="00E328C3">
            <w:pPr>
              <w:rPr>
                <w:rFonts w:cs="Tahoma"/>
                <w:color w:val="000000"/>
                <w:szCs w:val="20"/>
                <w:lang w:val="de-DE"/>
              </w:rPr>
            </w:pPr>
            <w:r w:rsidRPr="003002D3">
              <w:rPr>
                <w:rFonts w:cs="Tahoma"/>
                <w:color w:val="000000"/>
                <w:szCs w:val="20"/>
                <w:lang w:val="de-DE"/>
              </w:rPr>
              <w:t>Server-Lizenz für Windows Embedded Device Manager 2011 mit SQL Server 2008-Technologie</w:t>
            </w:r>
          </w:p>
        </w:tc>
        <w:tc>
          <w:tcPr>
            <w:tcW w:w="4190" w:type="dxa"/>
            <w:shd w:val="clear" w:color="auto" w:fill="FFFFFF"/>
          </w:tcPr>
          <w:p w:rsidR="00E73313" w:rsidRPr="002D7A4B" w:rsidRDefault="00E73313" w:rsidP="00E328C3">
            <w:pPr>
              <w:rPr>
                <w:rFonts w:cs="Tahoma"/>
                <w:color w:val="000000"/>
                <w:szCs w:val="20"/>
              </w:rPr>
            </w:pPr>
            <w:r>
              <w:rPr>
                <w:rFonts w:cs="Tahoma"/>
                <w:color w:val="000000"/>
                <w:szCs w:val="20"/>
              </w:rPr>
              <w:t>30 Client-Management-Lizenzen für Windows Embedded Device Manager 2011</w:t>
            </w:r>
          </w:p>
        </w:tc>
      </w:tr>
    </w:tbl>
    <w:p w:rsidR="00E73313" w:rsidRPr="0062435A" w:rsidRDefault="00E73313" w:rsidP="00E73313">
      <w:pPr>
        <w:pStyle w:val="EndnoteText"/>
        <w:ind w:left="0"/>
      </w:pPr>
    </w:p>
    <w:p w:rsidR="00E73313" w:rsidRPr="003002D3" w:rsidRDefault="00E73313" w:rsidP="00E73313">
      <w:pPr>
        <w:pStyle w:val="EndnoteText"/>
        <w:ind w:left="720"/>
        <w:rPr>
          <w:lang w:val="de-DE"/>
        </w:rPr>
      </w:pPr>
      <w:r w:rsidRPr="003002D3">
        <w:rPr>
          <w:rFonts w:ascii="Tahoma" w:hAnsi="Tahoma" w:cs="Tahoma"/>
          <w:color w:val="000000"/>
          <w:sz w:val="18"/>
          <w:lang w:val="de-DE"/>
        </w:rPr>
        <w:t>Alle im Rahmen dieses Angebots gewährten Lizenzen umfassen Software Assurance</w:t>
      </w:r>
      <w:r w:rsidR="006257A7">
        <w:rPr>
          <w:rFonts w:ascii="Tahoma" w:hAnsi="Tahoma" w:cs="Tahoma"/>
          <w:color w:val="000000"/>
          <w:sz w:val="18"/>
          <w:lang w:val="de-DE"/>
        </w:rPr>
        <w:t xml:space="preserve">. </w:t>
      </w:r>
      <w:r w:rsidRPr="003002D3">
        <w:rPr>
          <w:rFonts w:ascii="Tahoma" w:hAnsi="Tahoma" w:cs="Tahoma"/>
          <w:color w:val="000000"/>
          <w:sz w:val="18"/>
          <w:lang w:val="de-DE"/>
        </w:rPr>
        <w:t>Diese gilt bis zum Ablauf von Software Assurance für die qualifizierenden Lizenzen</w:t>
      </w:r>
      <w:r w:rsidR="006257A7">
        <w:rPr>
          <w:rFonts w:ascii="Tahoma" w:hAnsi="Tahoma" w:cs="Tahoma"/>
          <w:color w:val="000000"/>
          <w:sz w:val="18"/>
          <w:lang w:val="de-DE"/>
        </w:rPr>
        <w:t xml:space="preserve">. </w:t>
      </w:r>
      <w:r w:rsidRPr="003002D3">
        <w:rPr>
          <w:rFonts w:ascii="Tahoma" w:hAnsi="Tahoma" w:cs="Tahoma"/>
          <w:color w:val="000000"/>
          <w:sz w:val="18"/>
          <w:lang w:val="de-DE"/>
        </w:rPr>
        <w:t>Danach können die Kunden Software Assurance für die gewährten Lizenzen verlängern</w:t>
      </w:r>
      <w:r w:rsidR="006257A7">
        <w:rPr>
          <w:rFonts w:ascii="Tahoma" w:hAnsi="Tahoma" w:cs="Tahoma"/>
          <w:color w:val="000000"/>
          <w:sz w:val="18"/>
          <w:lang w:val="de-DE"/>
        </w:rPr>
        <w:t xml:space="preserve">. </w:t>
      </w:r>
    </w:p>
    <w:p w:rsidR="00E73313" w:rsidRPr="003002D3" w:rsidRDefault="00E73313" w:rsidP="00B56A92">
      <w:pPr>
        <w:pStyle w:val="EndnoteText"/>
        <w:ind w:left="720"/>
        <w:rPr>
          <w:lang w:val="de-DE"/>
        </w:rPr>
      </w:pPr>
      <w:r w:rsidRPr="003002D3">
        <w:rPr>
          <w:rFonts w:ascii="Tahoma" w:hAnsi="Tahoma" w:cs="Tahoma"/>
          <w:color w:val="000000"/>
          <w:sz w:val="18"/>
          <w:lang w:val="de-DE"/>
        </w:rPr>
        <w:t>Die Nutzung der laut diesem Angebot gewährten Software unterliegt den Bestimmungen des Lizenzvertrages des Kunden sowie den Produktbenutzungsrechten der Software</w:t>
      </w:r>
      <w:r w:rsidR="006257A7">
        <w:rPr>
          <w:rFonts w:ascii="Tahoma" w:hAnsi="Tahoma" w:cs="Tahoma"/>
          <w:color w:val="000000"/>
          <w:sz w:val="18"/>
          <w:lang w:val="de-DE"/>
        </w:rPr>
        <w:t xml:space="preserve">. </w:t>
      </w:r>
      <w:r w:rsidRPr="003002D3">
        <w:rPr>
          <w:rFonts w:ascii="Tahoma" w:hAnsi="Tahoma" w:cs="Tahoma"/>
          <w:color w:val="000000"/>
          <w:sz w:val="18"/>
          <w:lang w:val="de-DE"/>
        </w:rPr>
        <w:t>Das Recht zur Nutzung der</w:t>
      </w:r>
      <w:r w:rsidR="00B56A92">
        <w:rPr>
          <w:rFonts w:ascii="Tahoma" w:hAnsi="Tahoma" w:cs="Tahoma"/>
          <w:color w:val="000000"/>
          <w:sz w:val="18"/>
          <w:lang w:val="de-DE"/>
        </w:rPr>
        <w:t> </w:t>
      </w:r>
      <w:r w:rsidRPr="003002D3">
        <w:rPr>
          <w:rFonts w:ascii="Tahoma" w:hAnsi="Tahoma" w:cs="Tahoma"/>
          <w:color w:val="000000"/>
          <w:sz w:val="18"/>
          <w:lang w:val="de-DE"/>
        </w:rPr>
        <w:t>gewährten Software gilt bis zum Ablauf des Rechts zur Nutzung der Software unter der qualifizierenden Lizenz für Windows Embedded Device Manager 2011</w:t>
      </w:r>
      <w:r w:rsidR="006257A7">
        <w:rPr>
          <w:rFonts w:ascii="Tahoma" w:hAnsi="Tahoma" w:cs="Tahoma"/>
          <w:color w:val="000000"/>
          <w:sz w:val="18"/>
          <w:lang w:val="de-DE"/>
        </w:rPr>
        <w:t xml:space="preserve">. </w:t>
      </w:r>
      <w:r w:rsidRPr="003002D3">
        <w:rPr>
          <w:rFonts w:ascii="Tahoma" w:hAnsi="Tahoma" w:cs="Tahoma"/>
          <w:color w:val="000000"/>
          <w:sz w:val="18"/>
          <w:lang w:val="de-DE"/>
        </w:rPr>
        <w:t>Der Nachweis der qualifizierenden Lizenzen und dieser Produkthinweis belegen das Recht des Kunden, Windows Embedded Device Manager 2011 unter den</w:t>
      </w:r>
      <w:r w:rsidR="00B56A92">
        <w:rPr>
          <w:rFonts w:ascii="Tahoma" w:hAnsi="Tahoma" w:cs="Tahoma"/>
          <w:color w:val="000000"/>
          <w:sz w:val="18"/>
          <w:lang w:val="de-DE"/>
        </w:rPr>
        <w:t> </w:t>
      </w:r>
      <w:r w:rsidRPr="003002D3">
        <w:rPr>
          <w:rFonts w:ascii="Tahoma" w:hAnsi="Tahoma" w:cs="Tahoma"/>
          <w:color w:val="000000"/>
          <w:sz w:val="18"/>
          <w:lang w:val="de-DE"/>
        </w:rPr>
        <w:t>Bestimmungen dieses Angebots zu verwenden</w:t>
      </w:r>
      <w:r w:rsidR="006257A7">
        <w:rPr>
          <w:rFonts w:ascii="Tahoma" w:hAnsi="Tahoma" w:cs="Tahoma"/>
          <w:color w:val="000000"/>
          <w:sz w:val="18"/>
          <w:lang w:val="de-DE"/>
        </w:rPr>
        <w:t xml:space="preserve">. </w:t>
      </w:r>
      <w:r w:rsidRPr="003002D3">
        <w:rPr>
          <w:rFonts w:ascii="Tahoma" w:hAnsi="Tahoma" w:cs="Tahoma"/>
          <w:color w:val="000000"/>
          <w:sz w:val="18"/>
          <w:lang w:val="de-DE"/>
        </w:rPr>
        <w:t>Nach der Verwendung der Software unter diesem Angebot hat der Kunde nicht mehr das Recht, die Software unter qualifizierenden Lizenzen, die dem Server zugewiesen sind, zu verwenden</w:t>
      </w:r>
      <w:r w:rsidR="006257A7">
        <w:rPr>
          <w:rFonts w:ascii="Tahoma" w:hAnsi="Tahoma" w:cs="Tahoma"/>
          <w:color w:val="000000"/>
          <w:sz w:val="18"/>
          <w:lang w:val="de-DE"/>
        </w:rPr>
        <w:t xml:space="preserve">. </w:t>
      </w:r>
      <w:r w:rsidRPr="003002D3">
        <w:rPr>
          <w:rFonts w:ascii="Tahoma" w:hAnsi="Tahoma" w:cs="Tahoma"/>
          <w:color w:val="000000"/>
          <w:sz w:val="18"/>
          <w:lang w:val="de-DE"/>
        </w:rPr>
        <w:t>Im Rahmen dieses Angebots gewährte Lizenzen dürfen nicht getrennt von</w:t>
      </w:r>
      <w:r w:rsidR="00B56A92">
        <w:rPr>
          <w:rFonts w:ascii="Tahoma" w:hAnsi="Tahoma" w:cs="Tahoma"/>
          <w:color w:val="000000"/>
          <w:sz w:val="18"/>
          <w:lang w:val="de-DE"/>
        </w:rPr>
        <w:t> </w:t>
      </w:r>
      <w:r w:rsidRPr="003002D3">
        <w:rPr>
          <w:rFonts w:ascii="Tahoma" w:hAnsi="Tahoma" w:cs="Tahoma"/>
          <w:color w:val="000000"/>
          <w:sz w:val="18"/>
          <w:lang w:val="de-DE"/>
        </w:rPr>
        <w:t>den zugehörigen qualifizierenden Lizenzen übertragen werden</w:t>
      </w:r>
      <w:r w:rsidR="006257A7">
        <w:rPr>
          <w:rFonts w:ascii="Tahoma" w:hAnsi="Tahoma" w:cs="Tahoma"/>
          <w:color w:val="000000"/>
          <w:sz w:val="18"/>
          <w:lang w:val="de-DE"/>
        </w:rPr>
        <w:t xml:space="preserve">. </w:t>
      </w:r>
    </w:p>
    <w:p w:rsidR="00E73313" w:rsidRPr="003002D3" w:rsidRDefault="00E73313" w:rsidP="00E73313">
      <w:pPr>
        <w:pStyle w:val="EndnoteText"/>
        <w:ind w:left="720"/>
        <w:rPr>
          <w:lang w:val="de-DE"/>
        </w:rPr>
      </w:pPr>
    </w:p>
    <w:p w:rsidR="00E73313" w:rsidRPr="003002D3" w:rsidRDefault="00E73313" w:rsidP="00B56A92">
      <w:pPr>
        <w:ind w:left="720"/>
        <w:rPr>
          <w:lang w:val="de-DE"/>
        </w:rPr>
      </w:pPr>
      <w:r w:rsidRPr="003002D3">
        <w:rPr>
          <w:rFonts w:cs="Tahoma"/>
          <w:color w:val="000000"/>
          <w:szCs w:val="24"/>
          <w:lang w:val="de-DE"/>
        </w:rPr>
        <w:t>Lizenzen für Windows Embedded Device Manager 2011, die nach dem 1</w:t>
      </w:r>
      <w:r w:rsidR="006257A7">
        <w:rPr>
          <w:rFonts w:cs="Tahoma"/>
          <w:color w:val="000000"/>
          <w:szCs w:val="24"/>
          <w:lang w:val="de-DE"/>
        </w:rPr>
        <w:t xml:space="preserve">. </w:t>
      </w:r>
      <w:r w:rsidRPr="003002D3">
        <w:rPr>
          <w:rFonts w:cs="Tahoma"/>
          <w:color w:val="000000"/>
          <w:szCs w:val="24"/>
          <w:lang w:val="de-DE"/>
        </w:rPr>
        <w:t>April 2012 im Rahmen des jährlichen True Up-Prozesses des Kunden für Konzernbeitritte erworben wurden, bei dem Lizenzen für Windows Embedded Device Manager 2011 erstmals vor dem 1</w:t>
      </w:r>
      <w:r w:rsidR="006257A7">
        <w:rPr>
          <w:rFonts w:cs="Tahoma"/>
          <w:color w:val="000000"/>
          <w:szCs w:val="24"/>
          <w:lang w:val="de-DE"/>
        </w:rPr>
        <w:t xml:space="preserve">. </w:t>
      </w:r>
      <w:r w:rsidRPr="003002D3">
        <w:rPr>
          <w:rFonts w:cs="Tahoma"/>
          <w:color w:val="000000"/>
          <w:szCs w:val="24"/>
          <w:lang w:val="de-DE"/>
        </w:rPr>
        <w:t>April 2012 erworben wurden, berechtigen im</w:t>
      </w:r>
      <w:r w:rsidR="00B56A92">
        <w:rPr>
          <w:rFonts w:cs="Tahoma"/>
          <w:color w:val="000000"/>
          <w:szCs w:val="24"/>
          <w:lang w:val="de-DE"/>
        </w:rPr>
        <w:t> </w:t>
      </w:r>
      <w:r w:rsidRPr="003002D3">
        <w:rPr>
          <w:rFonts w:cs="Tahoma"/>
          <w:color w:val="000000"/>
          <w:szCs w:val="24"/>
          <w:lang w:val="de-DE"/>
        </w:rPr>
        <w:t>Rahmen dieses Angebots zu Client-MLs für Windows Embedded Device Manager 2011</w:t>
      </w:r>
      <w:r w:rsidR="006257A7">
        <w:rPr>
          <w:rFonts w:cs="Tahoma"/>
          <w:color w:val="000000"/>
          <w:szCs w:val="24"/>
          <w:lang w:val="de-DE"/>
        </w:rPr>
        <w:t xml:space="preserve">. </w:t>
      </w:r>
    </w:p>
    <w:p w:rsidR="00E73313" w:rsidRPr="003002D3" w:rsidRDefault="00E73313" w:rsidP="00E73313">
      <w:pPr>
        <w:ind w:left="720"/>
        <w:rPr>
          <w:lang w:val="de-DE"/>
        </w:rPr>
      </w:pPr>
    </w:p>
    <w:p w:rsidR="00E73313" w:rsidRPr="003002D3" w:rsidRDefault="00E73313" w:rsidP="00B56A92">
      <w:pPr>
        <w:ind w:left="720"/>
        <w:rPr>
          <w:lang w:val="de-DE"/>
        </w:rPr>
      </w:pPr>
      <w:r w:rsidRPr="003002D3">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B56A92">
        <w:rPr>
          <w:rFonts w:cs="Tahoma"/>
          <w:color w:val="000000"/>
          <w:szCs w:val="24"/>
          <w:lang w:val="de-DE"/>
        </w:rPr>
        <w:t> </w:t>
      </w:r>
      <w:r w:rsidRPr="003002D3">
        <w:rPr>
          <w:rFonts w:cs="Tahoma"/>
          <w:color w:val="000000"/>
          <w:szCs w:val="24"/>
          <w:lang w:val="de-DE"/>
        </w:rPr>
        <w:t>Kunde das Abonnement ununterbrochen aufrechterhält</w:t>
      </w:r>
      <w:r w:rsidR="006257A7">
        <w:rPr>
          <w:rFonts w:cs="Tahoma"/>
          <w:color w:val="000000"/>
          <w:szCs w:val="24"/>
          <w:lang w:val="de-DE"/>
        </w:rPr>
        <w:t xml:space="preserve">. </w:t>
      </w:r>
      <w:r w:rsidRPr="003002D3">
        <w:rPr>
          <w:rFonts w:cs="Tahoma"/>
          <w:color w:val="000000"/>
          <w:szCs w:val="24"/>
          <w:lang w:val="de-DE"/>
        </w:rPr>
        <w:t>Diese Rechte werden erst nach Ausübung der</w:t>
      </w:r>
      <w:r w:rsidR="00B56A92">
        <w:rPr>
          <w:rFonts w:cs="Tahoma"/>
          <w:color w:val="000000"/>
          <w:szCs w:val="24"/>
          <w:lang w:val="de-DE"/>
        </w:rPr>
        <w:t> </w:t>
      </w:r>
      <w:r w:rsidRPr="003002D3">
        <w:rPr>
          <w:rFonts w:cs="Tahoma"/>
          <w:color w:val="000000"/>
          <w:szCs w:val="24"/>
          <w:lang w:val="de-DE"/>
        </w:rPr>
        <w:t>Buy-Out-Option zeitlich unbeschränkt und unterliegen weiterhin allen Bestimmungen des Lizenzvertrages des Kunden</w:t>
      </w:r>
      <w:r w:rsidR="006257A7">
        <w:rPr>
          <w:rFonts w:cs="Tahoma"/>
          <w:color w:val="000000"/>
          <w:szCs w:val="24"/>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p>
    <w:p w:rsidR="00E73313" w:rsidRPr="0062435A" w:rsidRDefault="00E73313" w:rsidP="00E73313">
      <w:pPr>
        <w:pStyle w:val="Heading2"/>
        <w:keepNext/>
        <w:ind w:left="0"/>
      </w:pPr>
      <w:bookmarkStart w:id="1579" w:name="_96_Windows_Embedded"/>
      <w:bookmarkStart w:id="1580" w:name="_99_Windows_Embedded"/>
      <w:bookmarkStart w:id="1581" w:name="_102_Windows_Embedded"/>
      <w:bookmarkStart w:id="1582" w:name="_Toc363999098"/>
      <w:bookmarkStart w:id="1583" w:name="Srv_108EBS2008StandardPrem"/>
      <w:bookmarkEnd w:id="1579"/>
      <w:bookmarkEnd w:id="1580"/>
      <w:bookmarkEnd w:id="1581"/>
      <w:r>
        <w:rPr>
          <w:rFonts w:ascii="Tahoma" w:hAnsi="Tahoma" w:cs="Tahoma"/>
          <w:caps/>
          <w:color w:val="FF6600"/>
          <w:sz w:val="22"/>
          <w:vertAlign w:val="superscript"/>
        </w:rPr>
        <w:t>101</w:t>
      </w:r>
      <w:r>
        <w:rPr>
          <w:rFonts w:ascii="Tahoma" w:hAnsi="Tahoma" w:cs="Tahoma"/>
          <w:color w:val="FF6600"/>
        </w:rPr>
        <w:t xml:space="preserve"> </w:t>
      </w:r>
      <w:r>
        <w:rPr>
          <w:rFonts w:ascii="Tahoma" w:hAnsi="Tahoma" w:cs="Tahoma"/>
          <w:color w:val="FF6600"/>
          <w:sz w:val="22"/>
        </w:rPr>
        <w:t>Windows Embedded Device Manager 2011 – Client Management-Lizenz</w:t>
      </w:r>
      <w:bookmarkEnd w:id="1582"/>
    </w:p>
    <w:p w:rsidR="00E73313" w:rsidRPr="0062435A" w:rsidRDefault="00E73313" w:rsidP="00E73313">
      <w:pPr>
        <w:keepNext/>
      </w:pPr>
    </w:p>
    <w:p w:rsidR="00E73313" w:rsidRPr="003002D3" w:rsidRDefault="00E73313" w:rsidP="00E73313">
      <w:pPr>
        <w:pStyle w:val="EndnoteText"/>
        <w:keepNext/>
        <w:ind w:left="720"/>
        <w:rPr>
          <w:lang w:val="de-DE"/>
        </w:rPr>
      </w:pPr>
      <w:r w:rsidRPr="003002D3">
        <w:rPr>
          <w:rFonts w:ascii="Tahoma" w:hAnsi="Tahoma" w:cs="Tahoma"/>
          <w:color w:val="000000"/>
          <w:sz w:val="18"/>
          <w:lang w:val="de-DE"/>
        </w:rPr>
        <w:t>Dieses Produkt hat den Status End-Of-Life (EOL) und wird nicht mehr angeboten</w:t>
      </w:r>
      <w:r w:rsidR="006257A7">
        <w:rPr>
          <w:rFonts w:ascii="Tahoma" w:hAnsi="Tahoma" w:cs="Tahoma"/>
          <w:color w:val="000000"/>
          <w:sz w:val="18"/>
          <w:lang w:val="de-DE"/>
        </w:rPr>
        <w:t xml:space="preserve">. </w:t>
      </w:r>
    </w:p>
    <w:p w:rsidR="00E73313" w:rsidRPr="003002D3" w:rsidRDefault="00E73313" w:rsidP="00E73313">
      <w:pPr>
        <w:pStyle w:val="EndnoteText"/>
        <w:ind w:left="720"/>
        <w:rPr>
          <w:lang w:val="de-DE"/>
        </w:rPr>
      </w:pPr>
    </w:p>
    <w:p w:rsidR="00E73313" w:rsidRPr="003002D3" w:rsidRDefault="00E73313" w:rsidP="00B56A92">
      <w:pPr>
        <w:pStyle w:val="EndnoteText"/>
        <w:spacing w:after="60"/>
        <w:ind w:left="720"/>
        <w:rPr>
          <w:lang w:val="de-DE"/>
        </w:rPr>
      </w:pPr>
      <w:r w:rsidRPr="003002D3">
        <w:rPr>
          <w:rFonts w:ascii="Tahoma" w:hAnsi="Tahoma" w:cs="Tahoma"/>
          <w:b/>
          <w:color w:val="000000"/>
          <w:sz w:val="18"/>
          <w:lang w:val="de-DE"/>
        </w:rPr>
        <w:t>Einmalige Lizenzgewährung an Lizenzinhaber einer Client-Management-Lizenz für Windows</w:t>
      </w:r>
      <w:r w:rsidR="00B56A92">
        <w:rPr>
          <w:rFonts w:ascii="Tahoma" w:hAnsi="Tahoma" w:cs="Tahoma"/>
          <w:b/>
          <w:color w:val="000000"/>
          <w:sz w:val="18"/>
          <w:lang w:val="de-DE"/>
        </w:rPr>
        <w:t> </w:t>
      </w:r>
      <w:r w:rsidRPr="003002D3">
        <w:rPr>
          <w:rFonts w:ascii="Tahoma" w:hAnsi="Tahoma" w:cs="Tahoma"/>
          <w:b/>
          <w:color w:val="000000"/>
          <w:sz w:val="18"/>
          <w:lang w:val="de-DE"/>
        </w:rPr>
        <w:t>Embedded Device Manager 2011 mit aktiver Software Assurance</w:t>
      </w:r>
    </w:p>
    <w:p w:rsidR="00E73313" w:rsidRPr="003002D3" w:rsidRDefault="00E73313" w:rsidP="00B56A92">
      <w:pPr>
        <w:pStyle w:val="EndnoteText"/>
        <w:ind w:left="720"/>
        <w:rPr>
          <w:lang w:val="de-DE"/>
        </w:rPr>
      </w:pPr>
      <w:r w:rsidRPr="003002D3">
        <w:rPr>
          <w:rFonts w:ascii="Tahoma" w:hAnsi="Tahoma" w:cs="Tahoma"/>
          <w:color w:val="000000"/>
          <w:sz w:val="18"/>
          <w:lang w:val="de-DE"/>
        </w:rPr>
        <w:t>Als einmalige Ausnahme in Verbindung mit der Einstellung von Client Management-Lizenzen (pro</w:t>
      </w:r>
      <w:r w:rsidR="00B56A92">
        <w:rPr>
          <w:rFonts w:ascii="Tahoma" w:hAnsi="Tahoma" w:cs="Tahoma"/>
          <w:color w:val="000000"/>
          <w:sz w:val="18"/>
          <w:lang w:val="de-DE"/>
        </w:rPr>
        <w:t> </w:t>
      </w:r>
      <w:r w:rsidRPr="003002D3">
        <w:rPr>
          <w:rFonts w:ascii="Tahoma" w:hAnsi="Tahoma" w:cs="Tahoma"/>
          <w:color w:val="000000"/>
          <w:sz w:val="18"/>
          <w:lang w:val="de-DE"/>
        </w:rPr>
        <w:t>Betriebssystemumgebung/Nutzer) für Windows Embedded Device Manager 2011 erhalten Software</w:t>
      </w:r>
      <w:r w:rsidR="00B56A92">
        <w:rPr>
          <w:rFonts w:ascii="Tahoma" w:hAnsi="Tahoma" w:cs="Tahoma"/>
          <w:color w:val="000000"/>
          <w:sz w:val="18"/>
          <w:lang w:val="de-DE"/>
        </w:rPr>
        <w:t> </w:t>
      </w:r>
      <w:r w:rsidRPr="003002D3">
        <w:rPr>
          <w:rFonts w:ascii="Tahoma" w:hAnsi="Tahoma" w:cs="Tahoma"/>
          <w:color w:val="000000"/>
          <w:sz w:val="18"/>
          <w:lang w:val="de-DE"/>
        </w:rPr>
        <w:t>Assurance-Kunden, die am 1</w:t>
      </w:r>
      <w:r w:rsidR="006257A7">
        <w:rPr>
          <w:rFonts w:ascii="Tahoma" w:hAnsi="Tahoma" w:cs="Tahoma"/>
          <w:color w:val="000000"/>
          <w:sz w:val="18"/>
          <w:lang w:val="de-DE"/>
        </w:rPr>
        <w:t xml:space="preserve">. </w:t>
      </w:r>
      <w:r w:rsidRPr="003002D3">
        <w:rPr>
          <w:rFonts w:ascii="Tahoma" w:hAnsi="Tahoma" w:cs="Tahoma"/>
          <w:color w:val="000000"/>
          <w:sz w:val="18"/>
          <w:lang w:val="de-DE"/>
        </w:rPr>
        <w:t>Januar 2013 über Software Assurance verfügten, dieselbe Anzahl</w:t>
      </w:r>
      <w:r w:rsidR="00B56A92">
        <w:rPr>
          <w:rFonts w:ascii="Tahoma" w:hAnsi="Tahoma" w:cs="Tahoma"/>
          <w:color w:val="000000"/>
          <w:sz w:val="18"/>
          <w:lang w:val="de-DE"/>
        </w:rPr>
        <w:t> </w:t>
      </w:r>
      <w:r w:rsidRPr="003002D3">
        <w:rPr>
          <w:rFonts w:ascii="Tahoma" w:hAnsi="Tahoma" w:cs="Tahoma"/>
          <w:color w:val="000000"/>
          <w:sz w:val="18"/>
          <w:lang w:val="de-DE"/>
        </w:rPr>
        <w:t>von Client Management-Lizenzen (pro Betriebssystemumgebung/Nutzer) für System Center 2012</w:t>
      </w:r>
      <w:r w:rsidR="00B56A92">
        <w:rPr>
          <w:rFonts w:ascii="Tahoma" w:hAnsi="Tahoma" w:cs="Tahoma"/>
          <w:color w:val="000000"/>
          <w:sz w:val="18"/>
          <w:lang w:val="de-DE"/>
        </w:rPr>
        <w:t> </w:t>
      </w:r>
      <w:r w:rsidRPr="003002D3">
        <w:rPr>
          <w:rFonts w:ascii="Tahoma" w:hAnsi="Tahoma" w:cs="Tahoma"/>
          <w:color w:val="000000"/>
          <w:sz w:val="18"/>
          <w:lang w:val="de-DE"/>
        </w:rPr>
        <w:t>Configuration Manager</w:t>
      </w:r>
      <w:r w:rsidR="006257A7">
        <w:rPr>
          <w:rFonts w:ascii="Tahoma" w:hAnsi="Tahoma" w:cs="Tahoma"/>
          <w:color w:val="000000"/>
          <w:sz w:val="18"/>
          <w:lang w:val="de-DE"/>
        </w:rPr>
        <w:t xml:space="preserve">. </w:t>
      </w:r>
    </w:p>
    <w:p w:rsidR="00E73313" w:rsidRPr="003002D3" w:rsidRDefault="00E73313" w:rsidP="00E73313">
      <w:pPr>
        <w:pStyle w:val="EndnoteText"/>
        <w:ind w:left="720"/>
        <w:rPr>
          <w:lang w:val="de-DE"/>
        </w:rPr>
      </w:pPr>
      <w:r w:rsidRPr="003002D3">
        <w:rPr>
          <w:rFonts w:ascii="Tahoma" w:hAnsi="Tahoma" w:cs="Tahoma"/>
          <w:color w:val="000000"/>
          <w:sz w:val="18"/>
          <w:lang w:val="de-DE"/>
        </w:rPr>
        <w:t>Alle im Rahmen dieses Angebots gewährten Lizenzen umfassen Software Assurance</w:t>
      </w:r>
      <w:r w:rsidR="006257A7">
        <w:rPr>
          <w:rFonts w:ascii="Tahoma" w:hAnsi="Tahoma" w:cs="Tahoma"/>
          <w:color w:val="000000"/>
          <w:sz w:val="18"/>
          <w:lang w:val="de-DE"/>
        </w:rPr>
        <w:t xml:space="preserve">. </w:t>
      </w:r>
      <w:r w:rsidRPr="003002D3">
        <w:rPr>
          <w:rFonts w:ascii="Tahoma" w:hAnsi="Tahoma" w:cs="Tahoma"/>
          <w:color w:val="000000"/>
          <w:sz w:val="18"/>
          <w:lang w:val="de-DE"/>
        </w:rPr>
        <w:t>Diese gilt bis zum Ablauf von Software Assurance für die qualifizierenden Lizenzen</w:t>
      </w:r>
      <w:r w:rsidR="006257A7">
        <w:rPr>
          <w:rFonts w:ascii="Tahoma" w:hAnsi="Tahoma" w:cs="Tahoma"/>
          <w:color w:val="000000"/>
          <w:sz w:val="18"/>
          <w:lang w:val="de-DE"/>
        </w:rPr>
        <w:t xml:space="preserve">. </w:t>
      </w:r>
      <w:r w:rsidRPr="003002D3">
        <w:rPr>
          <w:rFonts w:ascii="Tahoma" w:hAnsi="Tahoma" w:cs="Tahoma"/>
          <w:color w:val="000000"/>
          <w:sz w:val="18"/>
          <w:lang w:val="de-DE"/>
        </w:rPr>
        <w:t>Danach können die Kunden Software Assurance für die gewährten Lizenzen verlängern</w:t>
      </w:r>
      <w:r w:rsidR="006257A7">
        <w:rPr>
          <w:rFonts w:ascii="Tahoma" w:hAnsi="Tahoma" w:cs="Tahoma"/>
          <w:color w:val="000000"/>
          <w:sz w:val="18"/>
          <w:lang w:val="de-DE"/>
        </w:rPr>
        <w:t xml:space="preserve">. </w:t>
      </w:r>
    </w:p>
    <w:p w:rsidR="00E73313" w:rsidRPr="003002D3" w:rsidRDefault="00E73313" w:rsidP="00E73313">
      <w:pPr>
        <w:pStyle w:val="EndnoteText"/>
        <w:ind w:left="720"/>
        <w:rPr>
          <w:lang w:val="de-DE"/>
        </w:rPr>
      </w:pPr>
    </w:p>
    <w:p w:rsidR="00E73313" w:rsidRPr="003002D3" w:rsidRDefault="00E73313" w:rsidP="00B56A92">
      <w:pPr>
        <w:pStyle w:val="EndnoteText"/>
        <w:ind w:left="720"/>
        <w:rPr>
          <w:lang w:val="de-DE"/>
        </w:rPr>
      </w:pPr>
      <w:r w:rsidRPr="003002D3">
        <w:rPr>
          <w:rFonts w:ascii="Tahoma" w:hAnsi="Tahoma" w:cs="Tahoma"/>
          <w:color w:val="000000"/>
          <w:sz w:val="18"/>
          <w:lang w:val="de-DE"/>
        </w:rPr>
        <w:t>Die Nutzung der laut diesem Angebot gewährten Software unterliegt den Bestimmungen des Lizenzvertrages des Kunden sowie den Produktbenutzungsrechten der Software</w:t>
      </w:r>
      <w:r w:rsidR="006257A7">
        <w:rPr>
          <w:rFonts w:ascii="Tahoma" w:hAnsi="Tahoma" w:cs="Tahoma"/>
          <w:color w:val="000000"/>
          <w:sz w:val="18"/>
          <w:lang w:val="de-DE"/>
        </w:rPr>
        <w:t xml:space="preserve">. </w:t>
      </w:r>
      <w:r w:rsidRPr="003002D3">
        <w:rPr>
          <w:rFonts w:ascii="Tahoma" w:hAnsi="Tahoma" w:cs="Tahoma"/>
          <w:color w:val="000000"/>
          <w:sz w:val="18"/>
          <w:lang w:val="de-DE"/>
        </w:rPr>
        <w:t>Das Recht zur Nutzung der</w:t>
      </w:r>
      <w:r w:rsidR="00B56A92">
        <w:rPr>
          <w:rFonts w:ascii="Tahoma" w:hAnsi="Tahoma" w:cs="Tahoma"/>
          <w:color w:val="000000"/>
          <w:sz w:val="18"/>
          <w:lang w:val="de-DE"/>
        </w:rPr>
        <w:t> </w:t>
      </w:r>
      <w:r w:rsidRPr="003002D3">
        <w:rPr>
          <w:rFonts w:ascii="Tahoma" w:hAnsi="Tahoma" w:cs="Tahoma"/>
          <w:color w:val="000000"/>
          <w:sz w:val="18"/>
          <w:lang w:val="de-DE"/>
        </w:rPr>
        <w:t>gewährten Software gilt bis zum Ablauf des Rechts zur Nutzung der Software unter der qualifizierenden Client-Management-Lizenz für Windows Embedded Device Manager 2011</w:t>
      </w:r>
      <w:r w:rsidR="006257A7">
        <w:rPr>
          <w:rFonts w:ascii="Tahoma" w:hAnsi="Tahoma" w:cs="Tahoma"/>
          <w:color w:val="000000"/>
          <w:sz w:val="18"/>
          <w:lang w:val="de-DE"/>
        </w:rPr>
        <w:t xml:space="preserve">. </w:t>
      </w:r>
      <w:r w:rsidRPr="003002D3">
        <w:rPr>
          <w:rFonts w:ascii="Tahoma" w:hAnsi="Tahoma" w:cs="Tahoma"/>
          <w:color w:val="000000"/>
          <w:sz w:val="18"/>
          <w:lang w:val="de-DE"/>
        </w:rPr>
        <w:t>Der Nachweis der qualifizierenden Lizenzen und dieser Produkthinweis belegen das Recht des Kunden, die Client-Management-Lizenz für System Center 2012 Configuration Manager unter den Bestimmungen dieses Angebots zu verwenden</w:t>
      </w:r>
      <w:r w:rsidR="006257A7">
        <w:rPr>
          <w:rFonts w:ascii="Tahoma" w:hAnsi="Tahoma" w:cs="Tahoma"/>
          <w:color w:val="000000"/>
          <w:sz w:val="18"/>
          <w:lang w:val="de-DE"/>
        </w:rPr>
        <w:t xml:space="preserve">. </w:t>
      </w:r>
      <w:r w:rsidRPr="003002D3">
        <w:rPr>
          <w:rFonts w:ascii="Tahoma" w:hAnsi="Tahoma" w:cs="Tahoma"/>
          <w:color w:val="000000"/>
          <w:sz w:val="18"/>
          <w:lang w:val="de-DE"/>
        </w:rPr>
        <w:t>Nach</w:t>
      </w:r>
      <w:r w:rsidR="00B56A92">
        <w:rPr>
          <w:rFonts w:ascii="Tahoma" w:hAnsi="Tahoma" w:cs="Tahoma"/>
          <w:color w:val="000000"/>
          <w:sz w:val="18"/>
          <w:lang w:val="de-DE"/>
        </w:rPr>
        <w:t> </w:t>
      </w:r>
      <w:r w:rsidRPr="003002D3">
        <w:rPr>
          <w:rFonts w:ascii="Tahoma" w:hAnsi="Tahoma" w:cs="Tahoma"/>
          <w:color w:val="000000"/>
          <w:sz w:val="18"/>
          <w:lang w:val="de-DE"/>
        </w:rPr>
        <w:t>der Verwendung der Software unter diesem Angebot hat der Kunde nicht mehr das Recht, die Software unter qualifizierenden Lizenzen, die dem Server zugewiesen sind, zu verwenden</w:t>
      </w:r>
      <w:r w:rsidR="006257A7">
        <w:rPr>
          <w:rFonts w:ascii="Tahoma" w:hAnsi="Tahoma" w:cs="Tahoma"/>
          <w:color w:val="000000"/>
          <w:sz w:val="18"/>
          <w:lang w:val="de-DE"/>
        </w:rPr>
        <w:t xml:space="preserve">. </w:t>
      </w:r>
      <w:r w:rsidRPr="003002D3">
        <w:rPr>
          <w:rFonts w:ascii="Tahoma" w:hAnsi="Tahoma" w:cs="Tahoma"/>
          <w:color w:val="000000"/>
          <w:sz w:val="18"/>
          <w:lang w:val="de-DE"/>
        </w:rPr>
        <w:t>Im Rahmen dieses Angebots gewährte Lizenzen dürfen nicht getrennt von den zugehörigen qualifizierenden Lizenzen übertragen werden</w:t>
      </w:r>
      <w:r w:rsidR="006257A7">
        <w:rPr>
          <w:rFonts w:ascii="Tahoma" w:hAnsi="Tahoma" w:cs="Tahoma"/>
          <w:color w:val="000000"/>
          <w:sz w:val="18"/>
          <w:lang w:val="de-DE"/>
        </w:rPr>
        <w:t xml:space="preserve">. </w:t>
      </w:r>
    </w:p>
    <w:p w:rsidR="00E73313" w:rsidRPr="003002D3" w:rsidRDefault="00E73313" w:rsidP="00E73313">
      <w:pPr>
        <w:pStyle w:val="EndnoteText"/>
        <w:ind w:left="720"/>
        <w:rPr>
          <w:lang w:val="de-DE"/>
        </w:rPr>
      </w:pPr>
    </w:p>
    <w:p w:rsidR="00E73313" w:rsidRPr="003002D3" w:rsidRDefault="00E73313" w:rsidP="00E73313">
      <w:pPr>
        <w:ind w:left="720"/>
        <w:rPr>
          <w:lang w:val="de-DE"/>
        </w:rPr>
      </w:pPr>
      <w:r w:rsidRPr="003002D3">
        <w:rPr>
          <w:rFonts w:cs="Tahoma"/>
          <w:color w:val="000000"/>
          <w:szCs w:val="24"/>
          <w:lang w:val="de-DE"/>
        </w:rPr>
        <w:t>Windows Embedded Device Manager 2011 Client-Management-Lizenzen, die nach dem 1</w:t>
      </w:r>
      <w:r w:rsidR="006257A7">
        <w:rPr>
          <w:rFonts w:cs="Tahoma"/>
          <w:color w:val="000000"/>
          <w:szCs w:val="24"/>
          <w:lang w:val="de-DE"/>
        </w:rPr>
        <w:t xml:space="preserve">. </w:t>
      </w:r>
      <w:r w:rsidRPr="003002D3">
        <w:rPr>
          <w:rFonts w:cs="Tahoma"/>
          <w:color w:val="000000"/>
          <w:szCs w:val="24"/>
          <w:lang w:val="de-DE"/>
        </w:rPr>
        <w:t>Januar 2013 im Rahmen des jährlichen True Up-Prozesses für Konzernbeitritte erworben wurden, bei dem Lizenzen für eine Windows Embedded Device Manager 2011 Client-Management-Lizenz erstmals vor dem 1</w:t>
      </w:r>
      <w:r w:rsidR="006257A7">
        <w:rPr>
          <w:rFonts w:cs="Tahoma"/>
          <w:color w:val="000000"/>
          <w:szCs w:val="24"/>
          <w:lang w:val="de-DE"/>
        </w:rPr>
        <w:t xml:space="preserve">. </w:t>
      </w:r>
      <w:r w:rsidRPr="003002D3">
        <w:rPr>
          <w:rFonts w:cs="Tahoma"/>
          <w:color w:val="000000"/>
          <w:szCs w:val="24"/>
          <w:lang w:val="de-DE"/>
        </w:rPr>
        <w:t>Januar 2013 erworben wurden, berechtigen im Rahmen dieses Angebots zu System Center 2012 Configuration Manager Client-Management-Lizenzen</w:t>
      </w:r>
      <w:r w:rsidR="006257A7">
        <w:rPr>
          <w:rFonts w:cs="Tahoma"/>
          <w:color w:val="000000"/>
          <w:szCs w:val="24"/>
          <w:lang w:val="de-DE"/>
        </w:rPr>
        <w:t xml:space="preserve">. </w:t>
      </w:r>
    </w:p>
    <w:p w:rsidR="00F25255" w:rsidRPr="003002D3" w:rsidRDefault="00F25255" w:rsidP="00E73313">
      <w:pPr>
        <w:ind w:left="720"/>
        <w:rPr>
          <w:lang w:val="de-DE"/>
        </w:rPr>
      </w:pPr>
    </w:p>
    <w:p w:rsidR="00E73313" w:rsidRPr="003002D3" w:rsidRDefault="00E73313" w:rsidP="00B56A92">
      <w:pPr>
        <w:ind w:left="720"/>
        <w:rPr>
          <w:lang w:val="de-DE"/>
        </w:rPr>
      </w:pPr>
      <w:r w:rsidRPr="003002D3">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B56A92">
        <w:rPr>
          <w:rFonts w:cs="Tahoma"/>
          <w:color w:val="000000"/>
          <w:szCs w:val="24"/>
          <w:lang w:val="de-DE"/>
        </w:rPr>
        <w:t> </w:t>
      </w:r>
      <w:r w:rsidRPr="003002D3">
        <w:rPr>
          <w:rFonts w:cs="Tahoma"/>
          <w:color w:val="000000"/>
          <w:szCs w:val="24"/>
          <w:lang w:val="de-DE"/>
        </w:rPr>
        <w:t>Kunde das Abonnement ununterbrochen aufrechterhält</w:t>
      </w:r>
      <w:r w:rsidR="006257A7">
        <w:rPr>
          <w:rFonts w:cs="Tahoma"/>
          <w:color w:val="000000"/>
          <w:szCs w:val="24"/>
          <w:lang w:val="de-DE"/>
        </w:rPr>
        <w:t xml:space="preserve">. </w:t>
      </w:r>
      <w:r w:rsidRPr="003002D3">
        <w:rPr>
          <w:rFonts w:cs="Tahoma"/>
          <w:color w:val="000000"/>
          <w:szCs w:val="24"/>
          <w:lang w:val="de-DE"/>
        </w:rPr>
        <w:t>Diese Rechte werden erst nach Ausübung der</w:t>
      </w:r>
      <w:r w:rsidR="00B56A92">
        <w:rPr>
          <w:rFonts w:cs="Tahoma"/>
          <w:color w:val="000000"/>
          <w:szCs w:val="24"/>
          <w:lang w:val="de-DE"/>
        </w:rPr>
        <w:t> </w:t>
      </w:r>
      <w:r w:rsidRPr="003002D3">
        <w:rPr>
          <w:rFonts w:cs="Tahoma"/>
          <w:color w:val="000000"/>
          <w:szCs w:val="24"/>
          <w:lang w:val="de-DE"/>
        </w:rPr>
        <w:t>Buy-Out-Option zeitlich unbeschränkt und unterliegen weiterhin allen Bestimmungen des Lizenzvertrages des Kunden</w:t>
      </w:r>
      <w:r w:rsidR="006257A7">
        <w:rPr>
          <w:rFonts w:cs="Tahoma"/>
          <w:color w:val="000000"/>
          <w:szCs w:val="24"/>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r w:rsidRPr="003002D3">
        <w:rPr>
          <w:rFonts w:cs="Tahoma"/>
          <w:color w:val="000000"/>
          <w:szCs w:val="24"/>
          <w:lang w:val="de-DE"/>
        </w:rPr>
        <w:t>Versions-Downgraderechte gelten für alle gewährten Client-Management-Lizenzen für System Center 2012 Configuration Manager</w:t>
      </w:r>
      <w:r w:rsidR="006257A7">
        <w:rPr>
          <w:rFonts w:cs="Tahoma"/>
          <w:color w:val="000000"/>
          <w:szCs w:val="24"/>
          <w:lang w:val="de-DE"/>
        </w:rPr>
        <w:t xml:space="preserve">. </w:t>
      </w:r>
    </w:p>
    <w:p w:rsidR="00E73313" w:rsidRPr="003002D3" w:rsidRDefault="00E73313" w:rsidP="00E73313">
      <w:pPr>
        <w:ind w:left="900"/>
        <w:rPr>
          <w:lang w:val="de-DE"/>
        </w:rPr>
      </w:pPr>
    </w:p>
    <w:p w:rsidR="00E73313" w:rsidRPr="003002D3" w:rsidRDefault="00E73313" w:rsidP="00E73313">
      <w:pPr>
        <w:ind w:left="900"/>
        <w:rPr>
          <w:lang w:val="de-DE"/>
        </w:rPr>
      </w:pPr>
    </w:p>
    <w:p w:rsidR="00E73313" w:rsidRPr="003002D3" w:rsidRDefault="00E73313" w:rsidP="00E73313">
      <w:pPr>
        <w:pStyle w:val="Heading3"/>
        <w:rPr>
          <w:lang w:val="de-DE"/>
        </w:rPr>
      </w:pPr>
      <w:bookmarkStart w:id="1584" w:name="_100_Windows_EBS"/>
      <w:bookmarkStart w:id="1585" w:name="_103_Windows_EBS"/>
      <w:bookmarkStart w:id="1586" w:name="_102_Windows_EBS"/>
      <w:bookmarkStart w:id="1587" w:name="_Toc336338364"/>
      <w:bookmarkStart w:id="1588" w:name="_Toc363999099"/>
      <w:bookmarkStart w:id="1589" w:name="Srv_101WindowsEssBusSvrStdPrem"/>
      <w:bookmarkEnd w:id="1584"/>
      <w:bookmarkEnd w:id="1585"/>
      <w:bookmarkEnd w:id="1586"/>
      <w:r w:rsidRPr="003002D3">
        <w:rPr>
          <w:rFonts w:ascii="Tahoma" w:hAnsi="Tahoma" w:cs="Tahoma"/>
          <w:caps/>
          <w:color w:val="FF6600"/>
          <w:sz w:val="22"/>
          <w:szCs w:val="24"/>
          <w:vertAlign w:val="superscript"/>
          <w:lang w:val="de-DE"/>
        </w:rPr>
        <w:t>102</w:t>
      </w:r>
      <w:r w:rsidRPr="00B56A92">
        <w:rPr>
          <w:rFonts w:ascii="Tahoma" w:hAnsi="Tahoma"/>
          <w:caps/>
          <w:color w:val="F66400"/>
          <w:sz w:val="24"/>
          <w:lang w:val="de-DE"/>
        </w:rPr>
        <w:t xml:space="preserve"> </w:t>
      </w:r>
      <w:r w:rsidRPr="003002D3">
        <w:rPr>
          <w:rFonts w:ascii="Tahoma" w:hAnsi="Tahoma"/>
          <w:color w:val="F66400"/>
          <w:sz w:val="22"/>
          <w:szCs w:val="22"/>
          <w:lang w:val="de-DE"/>
        </w:rPr>
        <w:t>Windows EBS 2008 Standard und EBS 2008 Premium</w:t>
      </w:r>
      <w:bookmarkEnd w:id="1583"/>
      <w:bookmarkEnd w:id="1587"/>
      <w:bookmarkEnd w:id="1588"/>
    </w:p>
    <w:bookmarkEnd w:id="1578"/>
    <w:bookmarkEnd w:id="1589"/>
    <w:p w:rsidR="00E73313" w:rsidRPr="003002D3" w:rsidRDefault="00E73313" w:rsidP="00E73313">
      <w:pPr>
        <w:rPr>
          <w:lang w:val="de-DE"/>
        </w:rPr>
      </w:pPr>
    </w:p>
    <w:p w:rsidR="00E73313" w:rsidRPr="003002D3" w:rsidRDefault="00E73313" w:rsidP="00E73313">
      <w:pPr>
        <w:pStyle w:val="EndnoteText"/>
        <w:ind w:left="720"/>
        <w:rPr>
          <w:lang w:val="de-DE"/>
        </w:rPr>
      </w:pPr>
      <w:r w:rsidRPr="003002D3">
        <w:rPr>
          <w:rFonts w:ascii="Tahoma" w:hAnsi="Tahoma" w:cs="Tahoma"/>
          <w:sz w:val="18"/>
          <w:szCs w:val="18"/>
          <w:lang w:val="de-DE"/>
        </w:rPr>
        <w:t>Diese Produkte haben den Status End-Of-Life (EOL) und werden nicht mehr angeboten</w:t>
      </w:r>
      <w:r w:rsidR="006257A7">
        <w:rPr>
          <w:rFonts w:ascii="Tahoma" w:hAnsi="Tahoma" w:cs="Tahoma"/>
          <w:sz w:val="18"/>
          <w:szCs w:val="18"/>
          <w:lang w:val="de-DE"/>
        </w:rPr>
        <w:t xml:space="preserve">. </w:t>
      </w:r>
    </w:p>
    <w:p w:rsidR="00E73313" w:rsidRPr="003002D3" w:rsidRDefault="00E73313" w:rsidP="00E73313">
      <w:pPr>
        <w:pStyle w:val="EndnoteText"/>
        <w:ind w:left="720"/>
        <w:rPr>
          <w:lang w:val="de-DE"/>
        </w:rPr>
      </w:pPr>
    </w:p>
    <w:p w:rsidR="00E73313" w:rsidRPr="003002D3" w:rsidRDefault="00E73313" w:rsidP="00E73313">
      <w:pPr>
        <w:pStyle w:val="EndnoteText"/>
        <w:spacing w:after="60"/>
        <w:ind w:left="720"/>
        <w:rPr>
          <w:lang w:val="de-DE"/>
        </w:rPr>
      </w:pPr>
      <w:r w:rsidRPr="003002D3">
        <w:rPr>
          <w:rFonts w:ascii="Tahoma" w:hAnsi="Tahoma" w:cs="Tahoma"/>
          <w:b/>
          <w:sz w:val="18"/>
          <w:szCs w:val="18"/>
          <w:lang w:val="de-DE"/>
        </w:rPr>
        <w:t>Einmalige Lizenzgewährung an Lizenzinhaber von EBS 2008 Standard und EBS 2008 Premium</w:t>
      </w:r>
    </w:p>
    <w:p w:rsidR="00E73313" w:rsidRPr="003002D3" w:rsidRDefault="00E73313" w:rsidP="00E73313">
      <w:pPr>
        <w:pStyle w:val="ListParagraph"/>
        <w:contextualSpacing w:val="0"/>
        <w:rPr>
          <w:lang w:val="de-DE"/>
        </w:rPr>
      </w:pPr>
      <w:r w:rsidRPr="003002D3">
        <w:rPr>
          <w:rFonts w:ascii="Tahoma" w:hAnsi="Tahoma" w:cs="Tahoma"/>
          <w:sz w:val="18"/>
          <w:szCs w:val="18"/>
          <w:u w:val="single"/>
          <w:lang w:val="de-DE"/>
        </w:rPr>
        <w:t>Alle Kunden mit Volumenlizenz für Windows Essential Business Server 2008 (EBS) Standard und Premium</w:t>
      </w:r>
      <w:r w:rsidRPr="003002D3">
        <w:rPr>
          <w:rFonts w:ascii="Tahoma" w:hAnsi="Tahoma" w:cs="Tahoma"/>
          <w:b/>
          <w:sz w:val="18"/>
          <w:szCs w:val="18"/>
          <w:lang w:val="de-DE"/>
        </w:rPr>
        <w:t xml:space="preserve"> </w:t>
      </w:r>
      <w:r w:rsidRPr="003002D3">
        <w:rPr>
          <w:rFonts w:ascii="Tahoma" w:hAnsi="Tahoma" w:cs="Tahoma"/>
          <w:sz w:val="18"/>
          <w:szCs w:val="18"/>
          <w:lang w:val="de-DE"/>
        </w:rPr>
        <w:t>haben ab dem 1</w:t>
      </w:r>
      <w:r w:rsidR="006257A7">
        <w:rPr>
          <w:rFonts w:ascii="Tahoma" w:hAnsi="Tahoma" w:cs="Tahoma"/>
          <w:sz w:val="18"/>
          <w:szCs w:val="18"/>
          <w:lang w:val="de-DE"/>
        </w:rPr>
        <w:t xml:space="preserve">. </w:t>
      </w:r>
      <w:r w:rsidRPr="003002D3">
        <w:rPr>
          <w:rFonts w:ascii="Tahoma" w:hAnsi="Tahoma" w:cs="Tahoma"/>
          <w:sz w:val="18"/>
          <w:szCs w:val="18"/>
          <w:lang w:val="de-DE"/>
        </w:rPr>
        <w:t>Juli 2010 Anspruch auf die folgenden zusätzlichen Lizenzen für jede EBS 2008 Standard- oder Premium-Lizenz:</w:t>
      </w:r>
    </w:p>
    <w:p w:rsidR="00E73313" w:rsidRPr="003002D3" w:rsidRDefault="00E73313" w:rsidP="00E73313">
      <w:pPr>
        <w:pStyle w:val="ListParagraph"/>
        <w:ind w:left="1260"/>
        <w:contextualSpacing w:val="0"/>
        <w:rPr>
          <w:lang w:val="de-DE"/>
        </w:rPr>
      </w:pPr>
    </w:p>
    <w:p w:rsidR="00E73313" w:rsidRPr="0062435A" w:rsidRDefault="00E73313" w:rsidP="00E73313">
      <w:pPr>
        <w:pStyle w:val="ListParagraph"/>
        <w:numPr>
          <w:ilvl w:val="0"/>
          <w:numId w:val="24"/>
        </w:numPr>
        <w:spacing w:after="60"/>
        <w:ind w:left="1440"/>
        <w:contextualSpacing w:val="0"/>
      </w:pPr>
      <w:r>
        <w:rPr>
          <w:rFonts w:ascii="Tahoma" w:hAnsi="Tahoma" w:cs="Tahoma"/>
          <w:sz w:val="18"/>
          <w:szCs w:val="18"/>
        </w:rPr>
        <w:t>3 Softwarelizenzen für Windows Server 2008 Standard</w:t>
      </w:r>
    </w:p>
    <w:p w:rsidR="00E73313" w:rsidRPr="0062435A" w:rsidRDefault="00E73313" w:rsidP="00E73313">
      <w:pPr>
        <w:pStyle w:val="ListParagraph"/>
        <w:numPr>
          <w:ilvl w:val="0"/>
          <w:numId w:val="24"/>
        </w:numPr>
        <w:spacing w:after="60"/>
        <w:ind w:left="1440"/>
        <w:contextualSpacing w:val="0"/>
      </w:pPr>
      <w:r>
        <w:rPr>
          <w:rFonts w:ascii="Tahoma" w:hAnsi="Tahoma" w:cs="Tahoma"/>
          <w:sz w:val="18"/>
          <w:szCs w:val="18"/>
        </w:rPr>
        <w:t>2 Softwarelizenzen für Exchange Server 2007 Standard</w:t>
      </w:r>
    </w:p>
    <w:p w:rsidR="00E73313" w:rsidRPr="003002D3" w:rsidRDefault="00E73313" w:rsidP="00B56A92">
      <w:pPr>
        <w:pStyle w:val="ListParagraph"/>
        <w:numPr>
          <w:ilvl w:val="0"/>
          <w:numId w:val="24"/>
        </w:numPr>
        <w:spacing w:after="60"/>
        <w:ind w:left="1440"/>
        <w:contextualSpacing w:val="0"/>
        <w:rPr>
          <w:lang w:val="de-DE"/>
        </w:rPr>
      </w:pPr>
      <w:r w:rsidRPr="003002D3">
        <w:rPr>
          <w:rFonts w:ascii="Tahoma" w:hAnsi="Tahoma" w:cs="Tahoma"/>
          <w:sz w:val="18"/>
          <w:szCs w:val="18"/>
          <w:lang w:val="de-DE"/>
        </w:rPr>
        <w:t>1 Softwarelizenz für System Center Essentials 2007 und 10 Server-Management-Lizenzen und 50</w:t>
      </w:r>
      <w:r w:rsidR="00B56A92">
        <w:rPr>
          <w:rFonts w:ascii="Tahoma" w:hAnsi="Tahoma" w:cs="Tahoma"/>
          <w:sz w:val="18"/>
          <w:szCs w:val="18"/>
          <w:lang w:val="de-DE"/>
        </w:rPr>
        <w:t> </w:t>
      </w:r>
      <w:r w:rsidRPr="003002D3">
        <w:rPr>
          <w:rFonts w:ascii="Tahoma" w:hAnsi="Tahoma" w:cs="Tahoma"/>
          <w:sz w:val="18"/>
          <w:szCs w:val="18"/>
          <w:lang w:val="de-DE"/>
        </w:rPr>
        <w:t>Client-Management-Lizenzen</w:t>
      </w:r>
    </w:p>
    <w:p w:rsidR="00E73313" w:rsidRPr="003002D3" w:rsidRDefault="00E73313" w:rsidP="00E73313">
      <w:pPr>
        <w:ind w:left="1260"/>
        <w:rPr>
          <w:lang w:val="de-DE"/>
        </w:rPr>
      </w:pPr>
    </w:p>
    <w:p w:rsidR="00E73313" w:rsidRPr="003002D3" w:rsidRDefault="00E73313" w:rsidP="00B56A92">
      <w:pPr>
        <w:ind w:left="720"/>
        <w:rPr>
          <w:lang w:val="de-DE"/>
        </w:rPr>
      </w:pPr>
      <w:r w:rsidRPr="003002D3">
        <w:rPr>
          <w:rFonts w:cs="Tahoma"/>
          <w:szCs w:val="18"/>
          <w:lang w:val="de-DE"/>
        </w:rPr>
        <w:t>Durch den Volumenlizenzvertrag des Kunden und diesen Hinweis auf die Produktbedingungen werden die zusätzlichen Lizenzen belegt</w:t>
      </w:r>
      <w:r w:rsidR="006257A7">
        <w:rPr>
          <w:rFonts w:cs="Tahoma"/>
          <w:szCs w:val="18"/>
          <w:lang w:val="de-DE"/>
        </w:rPr>
        <w:t xml:space="preserve">. </w:t>
      </w:r>
      <w:r w:rsidRPr="003002D3">
        <w:rPr>
          <w:rFonts w:cs="Tahoma"/>
          <w:szCs w:val="18"/>
          <w:lang w:val="de-DE"/>
        </w:rPr>
        <w:t>Die Nutzung der Software im Rahmen der zusätzlichen Lizenzen unterliegt den</w:t>
      </w:r>
      <w:r w:rsidR="00B56A92">
        <w:rPr>
          <w:rFonts w:cs="Tahoma"/>
          <w:szCs w:val="18"/>
          <w:lang w:val="de-DE"/>
        </w:rPr>
        <w:t> </w:t>
      </w:r>
      <w:r w:rsidRPr="003002D3">
        <w:rPr>
          <w:rFonts w:cs="Tahoma"/>
          <w:szCs w:val="18"/>
          <w:lang w:val="de-DE"/>
        </w:rPr>
        <w:t>Bestimmungen des Volumenlizenzvertrages des Kunden und den Produktbenutzungsrechten für die jeweiligen Produkte</w:t>
      </w:r>
      <w:r w:rsidR="006257A7">
        <w:rPr>
          <w:rFonts w:cs="Tahoma"/>
          <w:szCs w:val="18"/>
          <w:lang w:val="de-DE"/>
        </w:rPr>
        <w:t xml:space="preserve">. </w:t>
      </w:r>
      <w:r w:rsidRPr="003002D3">
        <w:rPr>
          <w:rFonts w:cs="Tahoma"/>
          <w:szCs w:val="18"/>
          <w:lang w:val="de-DE"/>
        </w:rPr>
        <w:t>Das Recht zur Nutzung der Software im Rahmen der zusätzlichen Lizenzen gilt bis zum</w:t>
      </w:r>
      <w:r w:rsidR="00B56A92">
        <w:rPr>
          <w:rFonts w:cs="Tahoma"/>
          <w:szCs w:val="18"/>
          <w:lang w:val="de-DE"/>
        </w:rPr>
        <w:t> </w:t>
      </w:r>
      <w:r w:rsidRPr="003002D3">
        <w:rPr>
          <w:rFonts w:cs="Tahoma"/>
          <w:szCs w:val="18"/>
          <w:lang w:val="de-DE"/>
        </w:rPr>
        <w:t>Ablauf des Rechts zur Nutzung der Software gemäß den zugehörigen qualifizierenden Lizenzen</w:t>
      </w:r>
      <w:r w:rsidR="006257A7">
        <w:rPr>
          <w:rFonts w:cs="Tahoma"/>
          <w:szCs w:val="18"/>
          <w:lang w:val="de-DE"/>
        </w:rPr>
        <w:t xml:space="preserve">. </w:t>
      </w:r>
      <w:r w:rsidRPr="003002D3">
        <w:rPr>
          <w:rFonts w:cs="Tahoma"/>
          <w:szCs w:val="18"/>
          <w:lang w:val="de-DE"/>
        </w:rPr>
        <w:t>Die</w:t>
      </w:r>
      <w:r w:rsidR="00B56A92">
        <w:rPr>
          <w:rFonts w:cs="Tahoma"/>
          <w:szCs w:val="18"/>
          <w:lang w:val="de-DE"/>
        </w:rPr>
        <w:t> </w:t>
      </w:r>
      <w:r w:rsidRPr="003002D3">
        <w:rPr>
          <w:rFonts w:cs="Tahoma"/>
          <w:szCs w:val="18"/>
          <w:lang w:val="de-DE"/>
        </w:rPr>
        <w:t>zusätzlichen Lizenzen können nicht separat von den qualifizierenden Lizenzen übertragen werden</w:t>
      </w:r>
      <w:r w:rsidR="006257A7">
        <w:rPr>
          <w:rFonts w:cs="Tahoma"/>
          <w:szCs w:val="18"/>
          <w:lang w:val="de-DE"/>
        </w:rPr>
        <w:t xml:space="preserve">. </w:t>
      </w:r>
    </w:p>
    <w:p w:rsidR="00B56A92" w:rsidRPr="003002D3" w:rsidRDefault="00B56A92" w:rsidP="00E73313">
      <w:pPr>
        <w:ind w:left="720"/>
        <w:rPr>
          <w:lang w:val="de-DE"/>
        </w:rPr>
      </w:pPr>
    </w:p>
    <w:p w:rsidR="00DD788F" w:rsidRDefault="00DD788F" w:rsidP="00B56A92">
      <w:pPr>
        <w:pStyle w:val="ListParagraph"/>
        <w:contextualSpacing w:val="0"/>
        <w:rPr>
          <w:rFonts w:ascii="Tahoma" w:hAnsi="Tahoma" w:cs="Tahoma"/>
          <w:sz w:val="18"/>
          <w:szCs w:val="18"/>
          <w:u w:val="single"/>
          <w:lang w:val="de-DE"/>
        </w:rPr>
      </w:pPr>
    </w:p>
    <w:p w:rsidR="00DD788F" w:rsidRDefault="00DD788F" w:rsidP="00B56A92">
      <w:pPr>
        <w:pStyle w:val="ListParagraph"/>
        <w:contextualSpacing w:val="0"/>
        <w:rPr>
          <w:rFonts w:ascii="Tahoma" w:hAnsi="Tahoma" w:cs="Tahoma"/>
          <w:sz w:val="18"/>
          <w:szCs w:val="18"/>
          <w:u w:val="single"/>
          <w:lang w:val="de-DE"/>
        </w:rPr>
      </w:pPr>
    </w:p>
    <w:p w:rsidR="00E73313" w:rsidRPr="003002D3" w:rsidRDefault="00E73313" w:rsidP="00B56A92">
      <w:pPr>
        <w:pStyle w:val="ListParagraph"/>
        <w:contextualSpacing w:val="0"/>
        <w:rPr>
          <w:lang w:val="de-DE"/>
        </w:rPr>
      </w:pPr>
      <w:r w:rsidRPr="003002D3">
        <w:rPr>
          <w:rFonts w:ascii="Tahoma" w:hAnsi="Tahoma" w:cs="Tahoma"/>
          <w:sz w:val="18"/>
          <w:szCs w:val="18"/>
          <w:u w:val="single"/>
          <w:lang w:val="de-DE"/>
        </w:rPr>
        <w:t>Alle Kunden mit Volumenlizenz für Windows Essential Business Server (EBS) 2008 Standard</w:t>
      </w:r>
      <w:r w:rsidRPr="003002D3">
        <w:rPr>
          <w:rFonts w:ascii="Tahoma" w:hAnsi="Tahoma" w:cs="Tahoma"/>
          <w:b/>
          <w:sz w:val="18"/>
          <w:szCs w:val="18"/>
          <w:lang w:val="de-DE"/>
        </w:rPr>
        <w:t xml:space="preserve"> </w:t>
      </w:r>
      <w:r w:rsidRPr="003002D3">
        <w:rPr>
          <w:rFonts w:ascii="Tahoma" w:hAnsi="Tahoma" w:cs="Tahoma"/>
          <w:sz w:val="18"/>
          <w:szCs w:val="18"/>
          <w:lang w:val="de-DE"/>
        </w:rPr>
        <w:t>haben ab dem</w:t>
      </w:r>
      <w:r w:rsidR="00B56A92">
        <w:rPr>
          <w:rFonts w:ascii="Tahoma" w:hAnsi="Tahoma" w:cs="Tahoma"/>
          <w:sz w:val="18"/>
          <w:szCs w:val="18"/>
          <w:lang w:val="de-DE"/>
        </w:rPr>
        <w:t> </w:t>
      </w:r>
      <w:r w:rsidRPr="003002D3">
        <w:rPr>
          <w:rFonts w:ascii="Tahoma" w:hAnsi="Tahoma" w:cs="Tahoma"/>
          <w:sz w:val="18"/>
          <w:szCs w:val="18"/>
          <w:lang w:val="de-DE"/>
        </w:rPr>
        <w:t>1</w:t>
      </w:r>
      <w:r w:rsidR="006257A7">
        <w:rPr>
          <w:rFonts w:ascii="Tahoma" w:hAnsi="Tahoma" w:cs="Tahoma"/>
          <w:sz w:val="18"/>
          <w:szCs w:val="18"/>
          <w:lang w:val="de-DE"/>
        </w:rPr>
        <w:t xml:space="preserve">. </w:t>
      </w:r>
      <w:r w:rsidRPr="003002D3">
        <w:rPr>
          <w:rFonts w:ascii="Tahoma" w:hAnsi="Tahoma" w:cs="Tahoma"/>
          <w:sz w:val="18"/>
          <w:szCs w:val="18"/>
          <w:lang w:val="de-DE"/>
        </w:rPr>
        <w:t>Juli 2010 einen zusätzlichen Anspruch auf die folgenden zusätzlichen Lizenzen für jede EBS 2008 Standard-Lizenz mit aktiver Software Assurance:</w:t>
      </w:r>
    </w:p>
    <w:p w:rsidR="00E73313" w:rsidRPr="003002D3" w:rsidRDefault="00E73313" w:rsidP="00E73313">
      <w:pPr>
        <w:pStyle w:val="ListParagraph"/>
        <w:ind w:left="1260"/>
        <w:contextualSpacing w:val="0"/>
        <w:rPr>
          <w:lang w:val="de-DE"/>
        </w:rPr>
      </w:pPr>
    </w:p>
    <w:p w:rsidR="00E73313" w:rsidRPr="003002D3" w:rsidRDefault="00E73313" w:rsidP="00E73313">
      <w:pPr>
        <w:pStyle w:val="ListParagraph"/>
        <w:numPr>
          <w:ilvl w:val="0"/>
          <w:numId w:val="25"/>
        </w:numPr>
        <w:spacing w:after="60"/>
        <w:ind w:left="1440"/>
        <w:contextualSpacing w:val="0"/>
        <w:rPr>
          <w:lang w:val="de-DE"/>
        </w:rPr>
      </w:pPr>
      <w:r w:rsidRPr="003002D3">
        <w:rPr>
          <w:rFonts w:ascii="Tahoma" w:hAnsi="Tahoma" w:cs="Tahoma"/>
          <w:sz w:val="18"/>
          <w:szCs w:val="18"/>
          <w:lang w:val="de-DE"/>
        </w:rPr>
        <w:t>3 Softwarelizenzen für Windows Server 2008 R2 Standard</w:t>
      </w:r>
    </w:p>
    <w:p w:rsidR="00E73313" w:rsidRPr="0062435A" w:rsidRDefault="00E73313" w:rsidP="00E73313">
      <w:pPr>
        <w:pStyle w:val="ListParagraph"/>
        <w:numPr>
          <w:ilvl w:val="0"/>
          <w:numId w:val="25"/>
        </w:numPr>
        <w:spacing w:after="60"/>
        <w:ind w:left="1440"/>
        <w:contextualSpacing w:val="0"/>
      </w:pPr>
      <w:r>
        <w:rPr>
          <w:rFonts w:ascii="Tahoma" w:hAnsi="Tahoma" w:cs="Tahoma"/>
          <w:sz w:val="18"/>
          <w:szCs w:val="18"/>
        </w:rPr>
        <w:t>1 Softwarelizenz für Exchange Server 2010 Standard</w:t>
      </w:r>
    </w:p>
    <w:p w:rsidR="00E73313" w:rsidRPr="003002D3" w:rsidRDefault="00E73313" w:rsidP="00B56A92">
      <w:pPr>
        <w:pStyle w:val="ListParagraph"/>
        <w:numPr>
          <w:ilvl w:val="0"/>
          <w:numId w:val="25"/>
        </w:numPr>
        <w:spacing w:after="60"/>
        <w:ind w:left="1440"/>
        <w:contextualSpacing w:val="0"/>
        <w:rPr>
          <w:lang w:val="de-DE"/>
        </w:rPr>
      </w:pPr>
      <w:r w:rsidRPr="003002D3">
        <w:rPr>
          <w:rFonts w:ascii="Tahoma" w:hAnsi="Tahoma" w:cs="Tahoma"/>
          <w:sz w:val="18"/>
          <w:szCs w:val="18"/>
          <w:lang w:val="de-DE"/>
        </w:rPr>
        <w:t>1 Softwarelizenz für System Center Essentials 2010 und 10 Server-Management-Lizenzen und 50</w:t>
      </w:r>
      <w:r w:rsidR="00B56A92">
        <w:rPr>
          <w:rFonts w:ascii="Tahoma" w:hAnsi="Tahoma" w:cs="Tahoma"/>
          <w:sz w:val="18"/>
          <w:szCs w:val="18"/>
          <w:lang w:val="de-DE"/>
        </w:rPr>
        <w:t> </w:t>
      </w:r>
      <w:r w:rsidRPr="003002D3">
        <w:rPr>
          <w:rFonts w:ascii="Tahoma" w:hAnsi="Tahoma" w:cs="Tahoma"/>
          <w:sz w:val="18"/>
          <w:szCs w:val="18"/>
          <w:lang w:val="de-DE"/>
        </w:rPr>
        <w:t>Client-Management-Lizenzen</w:t>
      </w:r>
    </w:p>
    <w:p w:rsidR="00E73313" w:rsidRPr="0062435A" w:rsidRDefault="00E73313" w:rsidP="00E73313">
      <w:pPr>
        <w:pStyle w:val="ListParagraph"/>
        <w:numPr>
          <w:ilvl w:val="0"/>
          <w:numId w:val="25"/>
        </w:numPr>
        <w:spacing w:after="60"/>
        <w:ind w:left="1440"/>
        <w:contextualSpacing w:val="0"/>
      </w:pPr>
      <w:r>
        <w:rPr>
          <w:rFonts w:ascii="Tahoma" w:hAnsi="Tahoma" w:cs="Tahoma"/>
          <w:sz w:val="18"/>
          <w:szCs w:val="18"/>
        </w:rPr>
        <w:t>1 Softwarelizenz für Forefront Threat Management Gateway, Medium Business Edition 2010</w:t>
      </w:r>
    </w:p>
    <w:p w:rsidR="00E73313" w:rsidRPr="0062435A" w:rsidRDefault="00E73313" w:rsidP="00E73313">
      <w:pPr>
        <w:pStyle w:val="ListParagraph"/>
        <w:ind w:left="1260"/>
      </w:pPr>
    </w:p>
    <w:p w:rsidR="00E73313" w:rsidRPr="003002D3" w:rsidRDefault="00E73313" w:rsidP="00E73313">
      <w:pPr>
        <w:pStyle w:val="ListParagraph"/>
        <w:rPr>
          <w:lang w:val="de-DE"/>
        </w:rPr>
      </w:pPr>
      <w:r w:rsidRPr="003002D3">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r w:rsidR="006257A7">
        <w:rPr>
          <w:rFonts w:ascii="Tahoma" w:hAnsi="Tahoma" w:cs="Tahoma"/>
          <w:sz w:val="18"/>
          <w:szCs w:val="18"/>
          <w:lang w:val="de-DE"/>
        </w:rPr>
        <w:t xml:space="preserve">. </w:t>
      </w:r>
    </w:p>
    <w:p w:rsidR="00E73313" w:rsidRPr="003002D3" w:rsidRDefault="00E73313" w:rsidP="00E73313">
      <w:pPr>
        <w:pStyle w:val="ListParagraph"/>
        <w:rPr>
          <w:lang w:val="de-DE"/>
        </w:rPr>
      </w:pPr>
    </w:p>
    <w:p w:rsidR="00E73313" w:rsidRDefault="00E73313" w:rsidP="00B56A92">
      <w:pPr>
        <w:ind w:left="720"/>
        <w:rPr>
          <w:rFonts w:cs="Tahoma"/>
          <w:szCs w:val="18"/>
          <w:lang w:val="de-DE"/>
        </w:rPr>
      </w:pPr>
      <w:r w:rsidRPr="003002D3">
        <w:rPr>
          <w:rFonts w:cs="Tahoma"/>
          <w:szCs w:val="18"/>
          <w:lang w:val="de-DE"/>
        </w:rPr>
        <w:t>Durch den Volumenlizenzvertrag des Kunden und diesen Hinweis auf die Produktbedingungen werden die zusätzlichen Lizenzen belegt</w:t>
      </w:r>
      <w:r w:rsidR="006257A7">
        <w:rPr>
          <w:rFonts w:cs="Tahoma"/>
          <w:szCs w:val="18"/>
          <w:lang w:val="de-DE"/>
        </w:rPr>
        <w:t xml:space="preserve">. </w:t>
      </w:r>
      <w:r w:rsidRPr="003002D3">
        <w:rPr>
          <w:rFonts w:cs="Tahoma"/>
          <w:szCs w:val="18"/>
          <w:lang w:val="de-DE"/>
        </w:rPr>
        <w:t>Die Nutzung der Software im Rahmen der zusätzlichen Lizenzen unterliegt den</w:t>
      </w:r>
      <w:r w:rsidR="00B56A92">
        <w:rPr>
          <w:rFonts w:cs="Tahoma"/>
          <w:szCs w:val="18"/>
          <w:lang w:val="de-DE"/>
        </w:rPr>
        <w:t> </w:t>
      </w:r>
      <w:r w:rsidRPr="003002D3">
        <w:rPr>
          <w:rFonts w:cs="Tahoma"/>
          <w:szCs w:val="18"/>
          <w:lang w:val="de-DE"/>
        </w:rPr>
        <w:t>Bestimmungen des Volumenlizenzvertrages des Kunden und den Produktbenutzungsrechten für die jeweiligen Produkte</w:t>
      </w:r>
      <w:r w:rsidR="006257A7">
        <w:rPr>
          <w:rFonts w:cs="Tahoma"/>
          <w:szCs w:val="18"/>
          <w:lang w:val="de-DE"/>
        </w:rPr>
        <w:t xml:space="preserve">. </w:t>
      </w:r>
      <w:r w:rsidRPr="003002D3">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6257A7">
        <w:rPr>
          <w:rFonts w:cs="Tahoma"/>
          <w:szCs w:val="18"/>
          <w:lang w:val="de-DE"/>
        </w:rPr>
        <w:t xml:space="preserve">. </w:t>
      </w:r>
      <w:r w:rsidRPr="003002D3">
        <w:rPr>
          <w:rFonts w:cs="Tahoma"/>
          <w:szCs w:val="18"/>
          <w:lang w:val="de-DE"/>
        </w:rPr>
        <w:t>Das Recht zur Nutzung von Forefront Protection 2010 für Exchange Server gilt bis zum Ablauf von Software Assurance für die zugehörigen qualifizierenden Lizenzen</w:t>
      </w:r>
      <w:r w:rsidR="006257A7">
        <w:rPr>
          <w:rFonts w:cs="Tahoma"/>
          <w:szCs w:val="18"/>
          <w:lang w:val="de-DE"/>
        </w:rPr>
        <w:t xml:space="preserve">. </w:t>
      </w:r>
      <w:r w:rsidRPr="003002D3">
        <w:rPr>
          <w:rFonts w:cs="Tahoma"/>
          <w:szCs w:val="18"/>
          <w:lang w:val="de-DE"/>
        </w:rPr>
        <w:t>In sämtlichen Fällen können die zusätzlichen Lizenzen nicht separat von den qualifizierenden Lizenzen übertragen werden</w:t>
      </w:r>
      <w:r w:rsidR="00835467">
        <w:rPr>
          <w:rFonts w:cs="Tahoma"/>
          <w:szCs w:val="18"/>
          <w:lang w:val="de-DE"/>
        </w:rPr>
        <w:t>.</w:t>
      </w:r>
    </w:p>
    <w:p w:rsidR="00835467" w:rsidRPr="003002D3" w:rsidRDefault="00835467" w:rsidP="00B56A92">
      <w:pPr>
        <w:ind w:left="720"/>
        <w:rPr>
          <w:lang w:val="de-DE"/>
        </w:rPr>
      </w:pPr>
    </w:p>
    <w:p w:rsidR="00E73313" w:rsidRPr="003002D3" w:rsidRDefault="00E73313" w:rsidP="00B56A92">
      <w:pPr>
        <w:tabs>
          <w:tab w:val="left" w:pos="1260"/>
        </w:tabs>
        <w:ind w:left="720"/>
        <w:rPr>
          <w:lang w:val="de-DE"/>
        </w:rPr>
      </w:pPr>
      <w:r w:rsidRPr="003002D3">
        <w:rPr>
          <w:rFonts w:cs="Tahoma"/>
          <w:szCs w:val="18"/>
          <w:u w:val="single"/>
          <w:lang w:val="de-DE"/>
        </w:rPr>
        <w:t>Alle Kunden mit Volumenlizenz für Windows Essential Business Server (EBS) 2008 Premium</w:t>
      </w:r>
      <w:r w:rsidRPr="00B56A92">
        <w:rPr>
          <w:rFonts w:cs="Tahoma"/>
          <w:szCs w:val="18"/>
          <w:lang w:val="de-DE"/>
        </w:rPr>
        <w:t xml:space="preserve"> </w:t>
      </w:r>
      <w:r w:rsidRPr="003002D3">
        <w:rPr>
          <w:rFonts w:cs="Tahoma"/>
          <w:szCs w:val="18"/>
          <w:lang w:val="de-DE"/>
        </w:rPr>
        <w:t>haben ab dem</w:t>
      </w:r>
      <w:r w:rsidR="00B56A92">
        <w:rPr>
          <w:rFonts w:cs="Tahoma"/>
          <w:szCs w:val="18"/>
          <w:lang w:val="de-DE"/>
        </w:rPr>
        <w:t> </w:t>
      </w:r>
      <w:r w:rsidRPr="003002D3">
        <w:rPr>
          <w:rFonts w:cs="Tahoma"/>
          <w:szCs w:val="18"/>
          <w:lang w:val="de-DE"/>
        </w:rPr>
        <w:t>1</w:t>
      </w:r>
      <w:r w:rsidR="006257A7">
        <w:rPr>
          <w:rFonts w:cs="Tahoma"/>
          <w:szCs w:val="18"/>
          <w:lang w:val="de-DE"/>
        </w:rPr>
        <w:t xml:space="preserve">. </w:t>
      </w:r>
      <w:r w:rsidRPr="003002D3">
        <w:rPr>
          <w:rFonts w:cs="Tahoma"/>
          <w:szCs w:val="18"/>
          <w:lang w:val="de-DE"/>
        </w:rPr>
        <w:t>Juli 2010 einen zusätzlichen Anspruch auf die folgenden zusätzlichen Lizenzen für jede EBS 2008 Premium-Lizenz mit aktiver Software Assurance:</w:t>
      </w:r>
    </w:p>
    <w:p w:rsidR="00E73313" w:rsidRPr="003002D3" w:rsidRDefault="00E73313" w:rsidP="00E73313">
      <w:pPr>
        <w:pStyle w:val="ListParagraph"/>
        <w:ind w:left="1620"/>
        <w:contextualSpacing w:val="0"/>
        <w:rPr>
          <w:lang w:val="de-DE"/>
        </w:rPr>
      </w:pPr>
    </w:p>
    <w:p w:rsidR="00E73313" w:rsidRPr="003002D3" w:rsidRDefault="00E73313" w:rsidP="00E73313">
      <w:pPr>
        <w:pStyle w:val="ListParagraph"/>
        <w:numPr>
          <w:ilvl w:val="0"/>
          <w:numId w:val="26"/>
        </w:numPr>
        <w:spacing w:after="60"/>
        <w:contextualSpacing w:val="0"/>
        <w:rPr>
          <w:lang w:val="de-DE"/>
        </w:rPr>
      </w:pPr>
      <w:r w:rsidRPr="003002D3">
        <w:rPr>
          <w:rFonts w:ascii="Tahoma" w:hAnsi="Tahoma" w:cs="Tahoma"/>
          <w:sz w:val="18"/>
          <w:szCs w:val="18"/>
          <w:lang w:val="de-DE"/>
        </w:rPr>
        <w:t>4 Softwarelizenzen für Windows Server 2008 R2 Standard</w:t>
      </w:r>
    </w:p>
    <w:p w:rsidR="00E73313" w:rsidRPr="003002D3" w:rsidRDefault="00E73313" w:rsidP="00E73313">
      <w:pPr>
        <w:pStyle w:val="ListParagraph"/>
        <w:numPr>
          <w:ilvl w:val="0"/>
          <w:numId w:val="26"/>
        </w:numPr>
        <w:spacing w:after="60"/>
        <w:contextualSpacing w:val="0"/>
        <w:rPr>
          <w:lang w:val="de-DE"/>
        </w:rPr>
      </w:pPr>
      <w:r w:rsidRPr="003002D3">
        <w:rPr>
          <w:rFonts w:ascii="Tahoma" w:hAnsi="Tahoma" w:cs="Tahoma"/>
          <w:sz w:val="18"/>
          <w:szCs w:val="18"/>
          <w:lang w:val="de-DE"/>
        </w:rPr>
        <w:t>1 Softwarelizenz für SQL Server 2008 R2 Standard</w:t>
      </w:r>
    </w:p>
    <w:p w:rsidR="00E73313" w:rsidRPr="0062435A" w:rsidRDefault="00E73313" w:rsidP="00E73313">
      <w:pPr>
        <w:pStyle w:val="ListParagraph"/>
        <w:numPr>
          <w:ilvl w:val="0"/>
          <w:numId w:val="26"/>
        </w:numPr>
        <w:spacing w:after="60"/>
        <w:contextualSpacing w:val="0"/>
      </w:pPr>
      <w:r>
        <w:rPr>
          <w:rFonts w:ascii="Tahoma" w:hAnsi="Tahoma" w:cs="Tahoma"/>
          <w:sz w:val="18"/>
          <w:szCs w:val="18"/>
        </w:rPr>
        <w:t>2 Softwarelizenzen für Exchange Server 2010 Standard</w:t>
      </w:r>
    </w:p>
    <w:p w:rsidR="00E73313" w:rsidRPr="003002D3" w:rsidRDefault="00E73313" w:rsidP="00E73313">
      <w:pPr>
        <w:pStyle w:val="ListParagraph"/>
        <w:numPr>
          <w:ilvl w:val="0"/>
          <w:numId w:val="26"/>
        </w:numPr>
        <w:spacing w:after="60"/>
        <w:contextualSpacing w:val="0"/>
        <w:rPr>
          <w:lang w:val="de-DE"/>
        </w:rPr>
      </w:pPr>
      <w:r w:rsidRPr="003002D3">
        <w:rPr>
          <w:rFonts w:ascii="Tahoma" w:hAnsi="Tahoma" w:cs="Tahoma"/>
          <w:sz w:val="18"/>
          <w:szCs w:val="18"/>
          <w:lang w:val="de-DE"/>
        </w:rPr>
        <w:t>1 Softwarelizenz für System Center Essentials 2010 und 10 Server-Management-Lizenzen und 50 Client-Management-Lizenzen</w:t>
      </w:r>
    </w:p>
    <w:p w:rsidR="00E73313" w:rsidRPr="0062435A" w:rsidRDefault="00E73313" w:rsidP="00E73313">
      <w:pPr>
        <w:pStyle w:val="ListParagraph"/>
        <w:numPr>
          <w:ilvl w:val="0"/>
          <w:numId w:val="26"/>
        </w:numPr>
        <w:spacing w:after="60"/>
        <w:contextualSpacing w:val="0"/>
      </w:pPr>
      <w:r>
        <w:rPr>
          <w:rFonts w:ascii="Tahoma" w:hAnsi="Tahoma" w:cs="Tahoma"/>
          <w:sz w:val="18"/>
          <w:szCs w:val="18"/>
        </w:rPr>
        <w:t>1 Softwarelizenz für Forefront Threat Management Gateway, Medium Business 2010</w:t>
      </w:r>
    </w:p>
    <w:p w:rsidR="00E73313" w:rsidRPr="0062435A" w:rsidRDefault="00E73313" w:rsidP="00E73313">
      <w:pPr>
        <w:pStyle w:val="ListParagraph"/>
        <w:ind w:left="1620"/>
      </w:pPr>
    </w:p>
    <w:p w:rsidR="00E73313" w:rsidRPr="003002D3" w:rsidRDefault="00E73313" w:rsidP="00E73313">
      <w:pPr>
        <w:pStyle w:val="ListParagraph"/>
        <w:rPr>
          <w:lang w:val="de-DE"/>
        </w:rPr>
      </w:pPr>
      <w:r w:rsidRPr="003002D3">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r w:rsidR="006257A7">
        <w:rPr>
          <w:rFonts w:ascii="Tahoma" w:hAnsi="Tahoma" w:cs="Tahoma"/>
          <w:sz w:val="18"/>
          <w:szCs w:val="18"/>
          <w:lang w:val="de-DE"/>
        </w:rPr>
        <w:t xml:space="preserve">. </w:t>
      </w:r>
      <w:r w:rsidRPr="003002D3">
        <w:rPr>
          <w:rFonts w:ascii="Tahoma" w:hAnsi="Tahoma" w:cs="Tahoma"/>
          <w:sz w:val="18"/>
          <w:szCs w:val="18"/>
          <w:lang w:val="de-DE"/>
        </w:rPr>
        <w:t>)</w:t>
      </w:r>
    </w:p>
    <w:p w:rsidR="00E73313" w:rsidRPr="003002D3" w:rsidRDefault="00E73313" w:rsidP="00E73313">
      <w:pPr>
        <w:pStyle w:val="ListParagraph"/>
        <w:ind w:left="1260"/>
        <w:rPr>
          <w:lang w:val="de-DE"/>
        </w:rPr>
      </w:pPr>
    </w:p>
    <w:p w:rsidR="00E73313" w:rsidRPr="003002D3" w:rsidRDefault="00E73313" w:rsidP="00B56A92">
      <w:pPr>
        <w:ind w:left="720"/>
        <w:rPr>
          <w:lang w:val="de-DE"/>
        </w:rPr>
      </w:pPr>
      <w:r w:rsidRPr="003002D3">
        <w:rPr>
          <w:rFonts w:cs="Tahoma"/>
          <w:szCs w:val="18"/>
          <w:lang w:val="de-DE"/>
        </w:rPr>
        <w:t>Durch den Volumenlizenzvertrag des Kunden und diesen Hinweis auf die Produktbedingungen werden die zusätzlichen Lizenzen belegt</w:t>
      </w:r>
      <w:r w:rsidR="006257A7">
        <w:rPr>
          <w:rFonts w:cs="Tahoma"/>
          <w:szCs w:val="18"/>
          <w:lang w:val="de-DE"/>
        </w:rPr>
        <w:t xml:space="preserve">. </w:t>
      </w:r>
      <w:r w:rsidRPr="003002D3">
        <w:rPr>
          <w:rFonts w:cs="Tahoma"/>
          <w:szCs w:val="18"/>
          <w:lang w:val="de-DE"/>
        </w:rPr>
        <w:t>Die Nutzung der Software im Rahmen der zusätzlichen Lizenzen unterliegt den</w:t>
      </w:r>
      <w:r w:rsidR="00B56A92">
        <w:rPr>
          <w:rFonts w:cs="Tahoma"/>
          <w:szCs w:val="18"/>
          <w:lang w:val="de-DE"/>
        </w:rPr>
        <w:t> </w:t>
      </w:r>
      <w:r w:rsidRPr="003002D3">
        <w:rPr>
          <w:rFonts w:cs="Tahoma"/>
          <w:szCs w:val="18"/>
          <w:lang w:val="de-DE"/>
        </w:rPr>
        <w:t>Bestimmungen des Volumenlizenzvertrages des Kunden und den Produktbenutzungsrechten für die jeweiligen Produkte</w:t>
      </w:r>
      <w:r w:rsidR="006257A7">
        <w:rPr>
          <w:rFonts w:cs="Tahoma"/>
          <w:szCs w:val="18"/>
          <w:lang w:val="de-DE"/>
        </w:rPr>
        <w:t xml:space="preserve">. </w:t>
      </w:r>
      <w:r w:rsidRPr="003002D3">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6257A7">
        <w:rPr>
          <w:rFonts w:cs="Tahoma"/>
          <w:szCs w:val="18"/>
          <w:lang w:val="de-DE"/>
        </w:rPr>
        <w:t xml:space="preserve">. </w:t>
      </w:r>
      <w:r w:rsidRPr="003002D3">
        <w:rPr>
          <w:rFonts w:cs="Tahoma"/>
          <w:szCs w:val="18"/>
          <w:lang w:val="de-DE"/>
        </w:rPr>
        <w:t>Das Recht zur Nutzung von Forefront Protection 2010 für Exchange Server gilt bis zum Ablauf von Software Assurance für die zugehörigen qualifizierenden Lizenzen</w:t>
      </w:r>
      <w:r w:rsidR="006257A7">
        <w:rPr>
          <w:rFonts w:cs="Tahoma"/>
          <w:szCs w:val="18"/>
          <w:lang w:val="de-DE"/>
        </w:rPr>
        <w:t xml:space="preserve">. </w:t>
      </w:r>
      <w:r w:rsidRPr="003002D3">
        <w:rPr>
          <w:rFonts w:cs="Tahoma"/>
          <w:szCs w:val="18"/>
          <w:lang w:val="de-DE"/>
        </w:rPr>
        <w:t>In sämtlichen Fällen können die zusätzlichen Lizenzen nicht separat von den qualifizierenden Lizenzen übertragen werden</w:t>
      </w:r>
      <w:r w:rsidR="006257A7">
        <w:rPr>
          <w:rFonts w:cs="Tahoma"/>
          <w:szCs w:val="18"/>
          <w:lang w:val="de-DE"/>
        </w:rPr>
        <w:t xml:space="preserve">. </w:t>
      </w:r>
    </w:p>
    <w:p w:rsidR="00B56A92" w:rsidRDefault="00B56A92" w:rsidP="00E73313">
      <w:pPr>
        <w:rPr>
          <w:lang w:val="de-DE"/>
        </w:rPr>
      </w:pPr>
    </w:p>
    <w:p w:rsidR="00835467" w:rsidRDefault="00835467" w:rsidP="00E73313">
      <w:pPr>
        <w:rPr>
          <w:lang w:val="de-DE"/>
        </w:rPr>
      </w:pPr>
    </w:p>
    <w:p w:rsidR="00835467" w:rsidRDefault="00835467" w:rsidP="00E73313">
      <w:pPr>
        <w:rPr>
          <w:lang w:val="de-DE"/>
        </w:rPr>
      </w:pPr>
    </w:p>
    <w:p w:rsidR="00835467" w:rsidRPr="003002D3" w:rsidRDefault="00835467" w:rsidP="00E73313">
      <w:pPr>
        <w:rPr>
          <w:lang w:val="de-DE"/>
        </w:rPr>
      </w:pPr>
    </w:p>
    <w:p w:rsidR="00E73313" w:rsidRPr="003002D3" w:rsidRDefault="00E73313" w:rsidP="00E73313">
      <w:pPr>
        <w:pStyle w:val="ListParagraph"/>
        <w:spacing w:after="60"/>
        <w:contextualSpacing w:val="0"/>
        <w:rPr>
          <w:lang w:val="de-DE"/>
        </w:rPr>
      </w:pPr>
      <w:r w:rsidRPr="003002D3">
        <w:rPr>
          <w:rFonts w:ascii="Tahoma" w:hAnsi="Tahoma" w:cs="Tahoma"/>
          <w:b/>
          <w:sz w:val="18"/>
          <w:szCs w:val="18"/>
          <w:lang w:val="de-DE"/>
        </w:rPr>
        <w:t>Zusätzliche Nutzungsrechte für CALs für Windows Essential Business Server (EBS) 2008</w:t>
      </w:r>
    </w:p>
    <w:p w:rsidR="00E73313" w:rsidRPr="003002D3" w:rsidRDefault="00E73313" w:rsidP="00E73313">
      <w:pPr>
        <w:ind w:left="720"/>
        <w:rPr>
          <w:lang w:val="de-DE"/>
        </w:rPr>
      </w:pPr>
      <w:r w:rsidRPr="003002D3">
        <w:rPr>
          <w:rFonts w:cs="Tahoma"/>
          <w:szCs w:val="18"/>
          <w:lang w:val="de-DE"/>
        </w:rPr>
        <w:t>Ungeachtet etwaiger anderslautender Bestimmungen in den Produktbenutzungsrechten für Windows Server 2008 und Exchange Server 2007 Standard können Kunden ihre EBS 2008 CAL-Suite und EBS 2008 CAL-Suite für Premium-Nutzer und –Geräte verwenden, um innerhalb oder außerhalb ihrer EBS 2008-Domäne auf ihre lizenzierten Instanzen dieser Software zuzugreifen</w:t>
      </w:r>
      <w:r w:rsidR="006257A7">
        <w:rPr>
          <w:rFonts w:cs="Tahoma"/>
          <w:szCs w:val="18"/>
          <w:lang w:val="de-DE"/>
        </w:rPr>
        <w:t xml:space="preserve">. </w:t>
      </w:r>
      <w:r w:rsidRPr="003002D3">
        <w:rPr>
          <w:rFonts w:cs="Tahoma"/>
          <w:szCs w:val="18"/>
          <w:lang w:val="de-DE"/>
        </w:rPr>
        <w:t>Darüber hinaus können Kunden ungeachtet etwaiger anderslautender Bestimmungen in den Produktbenutzungsrechten für SQL Server 2008 Standard ihre EBS 2008 CAL-Suite für Premium-Nutzer und -Geräte verwenden, um innerhalb oder außerhalb ihrer EBS 2008-Domäne auf ihre lizenzierten Instanzen von SQL Server 2008 Standard zuzugreifen</w:t>
      </w:r>
      <w:r w:rsidR="006257A7">
        <w:rPr>
          <w:rFonts w:cs="Tahoma"/>
          <w:szCs w:val="18"/>
          <w:lang w:val="de-DE"/>
        </w:rPr>
        <w:t xml:space="preserve">. </w:t>
      </w:r>
    </w:p>
    <w:p w:rsidR="00E73313" w:rsidRPr="00B56A92" w:rsidRDefault="00E73313" w:rsidP="00B56A92">
      <w:pPr>
        <w:tabs>
          <w:tab w:val="left" w:pos="1260"/>
        </w:tabs>
        <w:spacing w:line="160" w:lineRule="exact"/>
        <w:ind w:left="1260"/>
        <w:rPr>
          <w:szCs w:val="18"/>
          <w:lang w:val="de-DE"/>
        </w:rPr>
      </w:pPr>
    </w:p>
    <w:p w:rsidR="00E73313" w:rsidRPr="0062435A" w:rsidRDefault="00E73313" w:rsidP="00E73313">
      <w:pPr>
        <w:tabs>
          <w:tab w:val="left" w:pos="1260"/>
        </w:tabs>
        <w:ind w:left="720"/>
      </w:pPr>
      <w:r w:rsidRPr="003002D3">
        <w:rPr>
          <w:rFonts w:cs="Tahoma"/>
          <w:szCs w:val="18"/>
          <w:lang w:val="de-DE"/>
        </w:rPr>
        <w:t>Für Kunden mit CALs für Windows Essential Business Server (EBS) 2008 mit aktiver Software Assurance ab dem 1</w:t>
      </w:r>
      <w:r w:rsidR="006257A7">
        <w:rPr>
          <w:rFonts w:cs="Tahoma"/>
          <w:szCs w:val="18"/>
          <w:lang w:val="de-DE"/>
        </w:rPr>
        <w:t xml:space="preserve">. </w:t>
      </w:r>
      <w:r>
        <w:rPr>
          <w:rFonts w:cs="Tahoma"/>
          <w:szCs w:val="18"/>
        </w:rPr>
        <w:t>Juli 2010:</w:t>
      </w:r>
    </w:p>
    <w:p w:rsidR="00E73313" w:rsidRPr="00B56A92" w:rsidRDefault="00E73313" w:rsidP="00B56A92">
      <w:pPr>
        <w:pStyle w:val="ListParagraph"/>
        <w:tabs>
          <w:tab w:val="left" w:pos="1260"/>
        </w:tabs>
        <w:spacing w:line="160" w:lineRule="exact"/>
        <w:ind w:left="1260"/>
        <w:contextualSpacing w:val="0"/>
        <w:rPr>
          <w:sz w:val="18"/>
          <w:szCs w:val="18"/>
        </w:rPr>
      </w:pPr>
    </w:p>
    <w:p w:rsidR="00E73313" w:rsidRPr="003002D3" w:rsidRDefault="00E73313" w:rsidP="00E73313">
      <w:pPr>
        <w:pStyle w:val="ListParagraph"/>
        <w:numPr>
          <w:ilvl w:val="0"/>
          <w:numId w:val="120"/>
        </w:numPr>
        <w:tabs>
          <w:tab w:val="left" w:pos="1440"/>
        </w:tabs>
        <w:spacing w:after="60"/>
        <w:contextualSpacing w:val="0"/>
        <w:rPr>
          <w:lang w:val="de-DE"/>
        </w:rPr>
      </w:pPr>
      <w:r w:rsidRPr="003002D3">
        <w:rPr>
          <w:rFonts w:ascii="Tahoma" w:hAnsi="Tahoma" w:cs="Tahoma"/>
          <w:sz w:val="18"/>
          <w:szCs w:val="18"/>
          <w:lang w:val="de-DE"/>
        </w:rPr>
        <w:t>Für jede CAL-Suite des Kunden für EBS 2008 mit aktiver Software Assurance ab dem 1</w:t>
      </w:r>
      <w:r w:rsidR="006257A7">
        <w:rPr>
          <w:rFonts w:ascii="Tahoma" w:hAnsi="Tahoma" w:cs="Tahoma"/>
          <w:sz w:val="18"/>
          <w:szCs w:val="18"/>
          <w:lang w:val="de-DE"/>
        </w:rPr>
        <w:t xml:space="preserve">. </w:t>
      </w:r>
      <w:r w:rsidRPr="003002D3">
        <w:rPr>
          <w:rFonts w:ascii="Tahoma" w:hAnsi="Tahoma" w:cs="Tahoma"/>
          <w:sz w:val="18"/>
          <w:szCs w:val="18"/>
          <w:lang w:val="de-DE"/>
        </w:rPr>
        <w:t>Juli 2010 hat der Kunde Anspruch auf die folgenden zusätzlichen Lizenzen:</w:t>
      </w:r>
    </w:p>
    <w:p w:rsidR="00E73313" w:rsidRPr="0062435A" w:rsidRDefault="00E73313" w:rsidP="00E73313">
      <w:pPr>
        <w:pStyle w:val="ListParagraph"/>
        <w:numPr>
          <w:ilvl w:val="1"/>
          <w:numId w:val="121"/>
        </w:numPr>
        <w:tabs>
          <w:tab w:val="clear" w:pos="720"/>
        </w:tabs>
        <w:spacing w:after="60"/>
        <w:ind w:left="1980"/>
        <w:contextualSpacing w:val="0"/>
      </w:pPr>
      <w:r>
        <w:rPr>
          <w:rFonts w:ascii="Tahoma" w:hAnsi="Tahoma" w:cs="Tahoma"/>
          <w:sz w:val="18"/>
          <w:szCs w:val="18"/>
        </w:rPr>
        <w:t>1 CAL für Windows Server 2008</w:t>
      </w:r>
    </w:p>
    <w:p w:rsidR="00E73313" w:rsidRPr="0062435A" w:rsidRDefault="00E73313" w:rsidP="00E73313">
      <w:pPr>
        <w:pStyle w:val="ListParagraph"/>
        <w:numPr>
          <w:ilvl w:val="1"/>
          <w:numId w:val="121"/>
        </w:numPr>
        <w:tabs>
          <w:tab w:val="clear" w:pos="720"/>
        </w:tabs>
        <w:spacing w:after="60"/>
        <w:ind w:left="1980"/>
        <w:contextualSpacing w:val="0"/>
      </w:pPr>
      <w:r>
        <w:rPr>
          <w:rFonts w:ascii="Tahoma" w:hAnsi="Tahoma" w:cs="Tahoma"/>
          <w:sz w:val="18"/>
          <w:szCs w:val="18"/>
        </w:rPr>
        <w:t>1 Standard-CAL für Exchange Server 2010</w:t>
      </w:r>
    </w:p>
    <w:p w:rsidR="00E73313" w:rsidRPr="003002D3" w:rsidRDefault="00E73313" w:rsidP="00E73313">
      <w:pPr>
        <w:pStyle w:val="ListParagraph"/>
        <w:numPr>
          <w:ilvl w:val="1"/>
          <w:numId w:val="121"/>
        </w:numPr>
        <w:tabs>
          <w:tab w:val="clear" w:pos="720"/>
        </w:tabs>
        <w:spacing w:after="60"/>
        <w:ind w:left="1980"/>
        <w:contextualSpacing w:val="0"/>
        <w:rPr>
          <w:lang w:val="de-DE"/>
        </w:rPr>
      </w:pPr>
      <w:r w:rsidRPr="003002D3">
        <w:rPr>
          <w:rFonts w:ascii="Tahoma" w:hAnsi="Tahoma" w:cs="Tahoma"/>
          <w:sz w:val="18"/>
          <w:szCs w:val="18"/>
          <w:lang w:val="de-DE"/>
        </w:rPr>
        <w:t>1 Geräte- oder Nutzer-Abonnementlizenz für Forefront Protection 2010 für Exchange Server</w:t>
      </w:r>
    </w:p>
    <w:p w:rsidR="00E73313" w:rsidRPr="00B56A92" w:rsidRDefault="00E73313" w:rsidP="00B56A92">
      <w:pPr>
        <w:pStyle w:val="ListParagraph"/>
        <w:tabs>
          <w:tab w:val="num" w:pos="1800"/>
        </w:tabs>
        <w:spacing w:line="160" w:lineRule="exact"/>
        <w:ind w:left="1800"/>
        <w:contextualSpacing w:val="0"/>
        <w:rPr>
          <w:sz w:val="18"/>
          <w:szCs w:val="18"/>
          <w:lang w:val="de-DE"/>
        </w:rPr>
      </w:pPr>
    </w:p>
    <w:p w:rsidR="00E73313" w:rsidRPr="0062435A" w:rsidRDefault="00E73313" w:rsidP="00E73313">
      <w:pPr>
        <w:pStyle w:val="ListParagraph"/>
        <w:numPr>
          <w:ilvl w:val="0"/>
          <w:numId w:val="120"/>
        </w:numPr>
        <w:tabs>
          <w:tab w:val="left" w:pos="1440"/>
        </w:tabs>
        <w:spacing w:after="60"/>
        <w:contextualSpacing w:val="0"/>
      </w:pPr>
      <w:r w:rsidRPr="003002D3">
        <w:rPr>
          <w:rFonts w:ascii="Tahoma" w:hAnsi="Tahoma" w:cs="Tahoma"/>
          <w:sz w:val="18"/>
          <w:szCs w:val="18"/>
          <w:lang w:val="de-DE"/>
        </w:rPr>
        <w:t>Für jede CAL-Suite für EBS 2008 für Premium-Nutzer und -Geräte des Kunden mit aktiver Software Assurance ab dem 1</w:t>
      </w:r>
      <w:r w:rsidR="006257A7">
        <w:rPr>
          <w:rFonts w:ascii="Tahoma" w:hAnsi="Tahoma" w:cs="Tahoma"/>
          <w:sz w:val="18"/>
          <w:szCs w:val="18"/>
          <w:lang w:val="de-DE"/>
        </w:rPr>
        <w:t xml:space="preserve">. </w:t>
      </w:r>
      <w:r>
        <w:rPr>
          <w:rFonts w:ascii="Tahoma" w:hAnsi="Tahoma" w:cs="Tahoma"/>
          <w:sz w:val="18"/>
          <w:szCs w:val="18"/>
        </w:rPr>
        <w:t>Juli 2010 hat dieser Anspruch auf die folgenden zusätzlichen Lizenzen:</w:t>
      </w:r>
    </w:p>
    <w:p w:rsidR="00E73313" w:rsidRPr="0062435A" w:rsidRDefault="00E73313" w:rsidP="00E73313">
      <w:pPr>
        <w:pStyle w:val="ListParagraph"/>
        <w:numPr>
          <w:ilvl w:val="1"/>
          <w:numId w:val="121"/>
        </w:numPr>
        <w:tabs>
          <w:tab w:val="clear" w:pos="720"/>
        </w:tabs>
        <w:spacing w:after="60"/>
        <w:ind w:left="1980"/>
        <w:contextualSpacing w:val="0"/>
      </w:pPr>
      <w:r>
        <w:rPr>
          <w:rFonts w:ascii="Tahoma" w:hAnsi="Tahoma" w:cs="Tahoma"/>
          <w:sz w:val="18"/>
          <w:szCs w:val="18"/>
        </w:rPr>
        <w:t>CAL für Windows Server 2008</w:t>
      </w:r>
    </w:p>
    <w:p w:rsidR="00E73313" w:rsidRPr="0062435A" w:rsidRDefault="00E73313" w:rsidP="00E73313">
      <w:pPr>
        <w:pStyle w:val="ListParagraph"/>
        <w:numPr>
          <w:ilvl w:val="1"/>
          <w:numId w:val="121"/>
        </w:numPr>
        <w:tabs>
          <w:tab w:val="clear" w:pos="720"/>
        </w:tabs>
        <w:spacing w:after="60"/>
        <w:ind w:left="1980"/>
        <w:contextualSpacing w:val="0"/>
      </w:pPr>
      <w:r>
        <w:rPr>
          <w:rFonts w:ascii="Tahoma" w:hAnsi="Tahoma" w:cs="Tahoma"/>
          <w:sz w:val="18"/>
          <w:szCs w:val="18"/>
        </w:rPr>
        <w:t>Standard-CAL für Exchange Server 2010</w:t>
      </w:r>
    </w:p>
    <w:p w:rsidR="00E73313" w:rsidRPr="0062435A" w:rsidRDefault="00E73313" w:rsidP="00E73313">
      <w:pPr>
        <w:pStyle w:val="ListParagraph"/>
        <w:numPr>
          <w:ilvl w:val="1"/>
          <w:numId w:val="121"/>
        </w:numPr>
        <w:tabs>
          <w:tab w:val="clear" w:pos="720"/>
        </w:tabs>
        <w:spacing w:after="60"/>
        <w:ind w:left="1980"/>
        <w:contextualSpacing w:val="0"/>
      </w:pPr>
      <w:r>
        <w:rPr>
          <w:rFonts w:ascii="Tahoma" w:hAnsi="Tahoma" w:cs="Tahoma"/>
          <w:sz w:val="18"/>
          <w:szCs w:val="18"/>
        </w:rPr>
        <w:t>CAL für SQL Server 2008 R2</w:t>
      </w:r>
    </w:p>
    <w:p w:rsidR="00E73313" w:rsidRPr="003002D3" w:rsidRDefault="00E73313" w:rsidP="00E73313">
      <w:pPr>
        <w:pStyle w:val="ListParagraph"/>
        <w:numPr>
          <w:ilvl w:val="1"/>
          <w:numId w:val="121"/>
        </w:numPr>
        <w:tabs>
          <w:tab w:val="clear" w:pos="720"/>
        </w:tabs>
        <w:spacing w:after="60"/>
        <w:ind w:left="1980"/>
        <w:contextualSpacing w:val="0"/>
        <w:rPr>
          <w:lang w:val="de-DE"/>
        </w:rPr>
      </w:pPr>
      <w:r w:rsidRPr="003002D3">
        <w:rPr>
          <w:rFonts w:ascii="Tahoma" w:hAnsi="Tahoma" w:cs="Tahoma"/>
          <w:sz w:val="18"/>
          <w:szCs w:val="18"/>
          <w:lang w:val="de-DE"/>
        </w:rPr>
        <w:t>1 Geräte- oder Nutzer-Abonnementlizenz für Forefront Protection 2010 für Exchange Server</w:t>
      </w:r>
    </w:p>
    <w:p w:rsidR="00E73313" w:rsidRPr="003002D3" w:rsidRDefault="00E73313" w:rsidP="00E73313">
      <w:pPr>
        <w:pStyle w:val="ListParagraph"/>
        <w:spacing w:after="60"/>
        <w:ind w:left="1980"/>
        <w:contextualSpacing w:val="0"/>
        <w:rPr>
          <w:lang w:val="de-DE"/>
        </w:rPr>
      </w:pPr>
      <w:r w:rsidRPr="003002D3">
        <w:rPr>
          <w:rFonts w:ascii="Tahoma" w:hAnsi="Tahoma" w:cs="Tahoma"/>
          <w:sz w:val="18"/>
          <w:szCs w:val="18"/>
          <w:lang w:val="de-DE"/>
        </w:rPr>
        <w:t>(Wenn eine neue Version dieser Produkte im Rahmen des Volumenlizenzprogramms verfügbar ist, unter dem ein Kunde die qualifizierenden Lizenzen vor Ablauf der aktiven Software Assurance für seine qualifizierende CAL für EBS 2008 erworben hat, ist der Kunde zur Nutzung der CALs berechtigt, die dieser Version entsprechen</w:t>
      </w:r>
      <w:r w:rsidR="006257A7">
        <w:rPr>
          <w:rFonts w:ascii="Tahoma" w:hAnsi="Tahoma" w:cs="Tahoma"/>
          <w:sz w:val="18"/>
          <w:szCs w:val="18"/>
          <w:lang w:val="de-DE"/>
        </w:rPr>
        <w:t xml:space="preserve">. </w:t>
      </w:r>
      <w:r w:rsidRPr="003002D3">
        <w:rPr>
          <w:rFonts w:ascii="Tahoma" w:hAnsi="Tahoma" w:cs="Tahoma"/>
          <w:sz w:val="18"/>
          <w:szCs w:val="18"/>
          <w:lang w:val="de-DE"/>
        </w:rPr>
        <w:t>)</w:t>
      </w:r>
    </w:p>
    <w:p w:rsidR="00E73313" w:rsidRPr="00B56A92" w:rsidRDefault="00E73313" w:rsidP="00B56A92">
      <w:pPr>
        <w:spacing w:line="160" w:lineRule="exact"/>
        <w:rPr>
          <w:szCs w:val="18"/>
          <w:lang w:val="de-DE"/>
        </w:rPr>
      </w:pPr>
    </w:p>
    <w:p w:rsidR="00E73313" w:rsidRPr="003002D3" w:rsidRDefault="00E73313" w:rsidP="00B56A92">
      <w:pPr>
        <w:ind w:left="720"/>
        <w:rPr>
          <w:lang w:val="de-DE"/>
        </w:rPr>
      </w:pPr>
      <w:r w:rsidRPr="003002D3">
        <w:rPr>
          <w:rFonts w:cs="Tahoma"/>
          <w:szCs w:val="18"/>
          <w:lang w:val="de-DE"/>
        </w:rPr>
        <w:t>Durch den Volumenlizenzvertrag des Kunden und diesen Hinweis auf die Produktbedingungen werden die</w:t>
      </w:r>
      <w:r w:rsidR="00B56A92">
        <w:rPr>
          <w:rFonts w:cs="Tahoma"/>
          <w:szCs w:val="18"/>
          <w:lang w:val="de-DE"/>
        </w:rPr>
        <w:t> </w:t>
      </w:r>
      <w:r w:rsidRPr="003002D3">
        <w:rPr>
          <w:rFonts w:cs="Tahoma"/>
          <w:szCs w:val="18"/>
          <w:lang w:val="de-DE"/>
        </w:rPr>
        <w:t>zusätzlichen CALs belegt</w:t>
      </w:r>
      <w:r w:rsidR="006257A7">
        <w:rPr>
          <w:rFonts w:cs="Tahoma"/>
          <w:szCs w:val="18"/>
          <w:lang w:val="de-DE"/>
        </w:rPr>
        <w:t xml:space="preserve">. </w:t>
      </w:r>
      <w:r w:rsidRPr="003002D3">
        <w:rPr>
          <w:rFonts w:cs="Tahoma"/>
          <w:szCs w:val="18"/>
          <w:lang w:val="de-DE"/>
        </w:rPr>
        <w:t>Die Nutzung der Software im Rahmen der zusätzlichen CALs unterliegt den Bestimmungen des Volumenlizenzvertrages des Kunden und den Produktbenutzungsrechten für die jeweiligen Produkte</w:t>
      </w:r>
      <w:r w:rsidR="006257A7">
        <w:rPr>
          <w:rFonts w:cs="Tahoma"/>
          <w:szCs w:val="18"/>
          <w:lang w:val="de-DE"/>
        </w:rPr>
        <w:t xml:space="preserve">. </w:t>
      </w:r>
      <w:r w:rsidRPr="003002D3">
        <w:rPr>
          <w:rFonts w:cs="Tahoma"/>
          <w:szCs w:val="18"/>
          <w:lang w:val="de-DE"/>
        </w:rPr>
        <w:t>Das Recht zur Nutzung der Software im Rahmen der zusätzlichen CALs gilt bis zum Ablauf des Rechts zur Nutzung der Software im Rahmen der qualifizierenden CALs</w:t>
      </w:r>
      <w:r w:rsidR="006257A7">
        <w:rPr>
          <w:rFonts w:cs="Tahoma"/>
          <w:szCs w:val="18"/>
          <w:lang w:val="de-DE"/>
        </w:rPr>
        <w:t xml:space="preserve">. </w:t>
      </w:r>
      <w:r w:rsidRPr="003002D3">
        <w:rPr>
          <w:rFonts w:cs="Tahoma"/>
          <w:szCs w:val="18"/>
          <w:lang w:val="de-DE"/>
        </w:rPr>
        <w:t>In sämtlichen Fällen können die zusätzlichen CALs nicht separat von den qualifizierenden CALs übertragen werden</w:t>
      </w:r>
      <w:r w:rsidR="006257A7">
        <w:rPr>
          <w:rFonts w:cs="Tahoma"/>
          <w:szCs w:val="18"/>
          <w:lang w:val="de-DE"/>
        </w:rPr>
        <w:t xml:space="preserve">. </w:t>
      </w:r>
      <w:bookmarkStart w:id="1590" w:name="_107_Windows_Azure"/>
      <w:bookmarkEnd w:id="1590"/>
    </w:p>
    <w:p w:rsidR="00E73313" w:rsidRPr="00B56A92" w:rsidRDefault="00E73313" w:rsidP="00B56A92">
      <w:pPr>
        <w:spacing w:line="160" w:lineRule="exact"/>
        <w:rPr>
          <w:szCs w:val="18"/>
          <w:lang w:val="de-DE"/>
        </w:rPr>
      </w:pPr>
    </w:p>
    <w:p w:rsidR="00E73313" w:rsidRPr="00B56A92" w:rsidRDefault="00E73313" w:rsidP="00B56A92">
      <w:pPr>
        <w:spacing w:line="160" w:lineRule="exact"/>
        <w:rPr>
          <w:szCs w:val="18"/>
          <w:lang w:val="de-DE"/>
        </w:rPr>
      </w:pPr>
    </w:p>
    <w:p w:rsidR="00E73313" w:rsidRPr="003002D3" w:rsidRDefault="00E73313" w:rsidP="00E73313">
      <w:pPr>
        <w:pStyle w:val="Heading3"/>
        <w:rPr>
          <w:lang w:val="de-DE"/>
        </w:rPr>
      </w:pPr>
      <w:bookmarkStart w:id="1591" w:name="_104_Windows_HPC"/>
      <w:bookmarkStart w:id="1592" w:name="_103_Windows_HPC"/>
      <w:bookmarkStart w:id="1593" w:name="Srv_109HPCServer2008_R2Suite"/>
      <w:bookmarkStart w:id="1594" w:name="_Toc336338365"/>
      <w:bookmarkStart w:id="1595" w:name="_Toc363999100"/>
      <w:bookmarkStart w:id="1596" w:name="Srv_96WindowsHighPerfCompSvr08"/>
      <w:bookmarkStart w:id="1597" w:name="Srv_94HPCServer2008_R2Suite"/>
      <w:bookmarkStart w:id="1598" w:name="Srv_106HPCServer2008_R2Suite"/>
      <w:bookmarkEnd w:id="1591"/>
      <w:bookmarkEnd w:id="1592"/>
      <w:r w:rsidRPr="003002D3">
        <w:rPr>
          <w:rFonts w:ascii="Tahoma" w:hAnsi="Tahoma"/>
          <w:caps/>
          <w:color w:val="F66400"/>
          <w:sz w:val="22"/>
          <w:vertAlign w:val="superscript"/>
          <w:lang w:val="de-DE"/>
        </w:rPr>
        <w:t>103</w:t>
      </w:r>
      <w:r w:rsidRPr="00B56A92">
        <w:rPr>
          <w:rFonts w:ascii="Tahoma" w:hAnsi="Tahoma"/>
          <w:caps/>
          <w:color w:val="F66400"/>
          <w:sz w:val="22"/>
          <w:lang w:val="de-DE"/>
        </w:rPr>
        <w:t xml:space="preserve"> </w:t>
      </w:r>
      <w:r w:rsidRPr="003002D3">
        <w:rPr>
          <w:rFonts w:ascii="Tahoma" w:hAnsi="Tahoma"/>
          <w:color w:val="F66400"/>
          <w:sz w:val="22"/>
          <w:lang w:val="de-DE"/>
        </w:rPr>
        <w:t>Windows HPC Server 2008 R2 Suite</w:t>
      </w:r>
      <w:bookmarkEnd w:id="1593"/>
      <w:bookmarkEnd w:id="1594"/>
      <w:bookmarkEnd w:id="1595"/>
    </w:p>
    <w:bookmarkEnd w:id="1596"/>
    <w:bookmarkEnd w:id="1597"/>
    <w:bookmarkEnd w:id="1598"/>
    <w:p w:rsidR="00E73313" w:rsidRPr="00B56A92" w:rsidRDefault="00E73313" w:rsidP="00B56A92">
      <w:pPr>
        <w:pStyle w:val="EndnoteText"/>
        <w:spacing w:line="160" w:lineRule="exact"/>
        <w:rPr>
          <w:sz w:val="18"/>
          <w:szCs w:val="18"/>
          <w:lang w:val="de-DE"/>
        </w:rPr>
      </w:pPr>
    </w:p>
    <w:p w:rsidR="00E73313" w:rsidRPr="003002D3" w:rsidRDefault="00E73313" w:rsidP="00E73313">
      <w:pPr>
        <w:spacing w:after="60"/>
        <w:ind w:left="720"/>
        <w:rPr>
          <w:lang w:val="de-DE"/>
        </w:rPr>
      </w:pPr>
      <w:r w:rsidRPr="003002D3">
        <w:rPr>
          <w:b/>
          <w:color w:val="000000"/>
          <w:lang w:val="de-DE"/>
        </w:rPr>
        <w:t>Lizenzgewährungen im Zusammenhang mit dem Ende der Lebensdauer von HPC Server Suite</w:t>
      </w:r>
    </w:p>
    <w:p w:rsidR="00E73313" w:rsidRPr="003002D3" w:rsidRDefault="00E73313" w:rsidP="00E73313">
      <w:pPr>
        <w:ind w:left="720"/>
        <w:rPr>
          <w:lang w:val="de-DE"/>
        </w:rPr>
      </w:pPr>
      <w:r w:rsidRPr="003002D3">
        <w:rPr>
          <w:color w:val="000000"/>
          <w:lang w:val="de-DE"/>
        </w:rPr>
        <w:t>HPC Server Suite 2008 R2 ist die letzte Version von HPC Server Suite</w:t>
      </w:r>
      <w:r w:rsidR="006257A7">
        <w:rPr>
          <w:color w:val="000000"/>
          <w:lang w:val="de-DE"/>
        </w:rPr>
        <w:t xml:space="preserve">. </w:t>
      </w:r>
      <w:r w:rsidRPr="003002D3">
        <w:rPr>
          <w:color w:val="000000"/>
          <w:lang w:val="de-DE"/>
        </w:rPr>
        <w:t>Volumenlizenzkunden, die am 1</w:t>
      </w:r>
      <w:r w:rsidR="006257A7">
        <w:rPr>
          <w:color w:val="000000"/>
          <w:lang w:val="de-DE"/>
        </w:rPr>
        <w:t xml:space="preserve">. </w:t>
      </w:r>
      <w:r w:rsidRPr="003002D3">
        <w:rPr>
          <w:color w:val="000000"/>
          <w:lang w:val="de-DE"/>
        </w:rPr>
        <w:t>September 2012 oder am Datum der ersten Verfügbarkeit von Windows Server 2012 zum Download im Volume Licensing Service Center, wobei das frühere Datum maßgeblich ist, über aktive Software Assurance für HPC Server Suite-Lizenzen verfügen, („Qualifizierende Lizenzen“) sind berechtigt,</w:t>
      </w:r>
      <w:r w:rsidRPr="003002D3">
        <w:rPr>
          <w:rFonts w:eastAsia="Calibri" w:cs="Tahoma"/>
          <w:szCs w:val="18"/>
          <w:lang w:val="de-DE"/>
        </w:rPr>
        <w:t xml:space="preserve"> auf die Software Windows Server 2012 Standard upzugraden und sie anstelle von HPC Server Suite zu verwenden</w:t>
      </w:r>
      <w:r w:rsidR="006257A7">
        <w:rPr>
          <w:rFonts w:eastAsia="Calibri" w:cs="Tahoma"/>
          <w:szCs w:val="18"/>
          <w:lang w:val="de-DE"/>
        </w:rPr>
        <w:t xml:space="preserve">. </w:t>
      </w:r>
      <w:r w:rsidRPr="003002D3">
        <w:rPr>
          <w:rFonts w:eastAsia="Calibri" w:cs="Tahoma"/>
          <w:szCs w:val="18"/>
          <w:lang w:val="de-DE"/>
        </w:rPr>
        <w:t>Um dieses Upgrade zu erleichtern, wird angenommen, dass dem Kunden bei Verfügbarkeit von Windows Server 2012 für jede Qualifizierende Lizenz, die der Kunde besitzt, eine Windows Server 2012 Standard-Prozessorlizenz gewährt wird</w:t>
      </w:r>
      <w:r w:rsidR="006257A7">
        <w:rPr>
          <w:rFonts w:eastAsia="Calibri" w:cs="Tahoma"/>
          <w:szCs w:val="18"/>
          <w:lang w:val="de-DE"/>
        </w:rPr>
        <w:t xml:space="preserve">. </w:t>
      </w:r>
    </w:p>
    <w:p w:rsidR="00E73313" w:rsidRPr="00B56A92" w:rsidRDefault="00E73313" w:rsidP="00B56A92">
      <w:pPr>
        <w:spacing w:line="160" w:lineRule="exact"/>
        <w:ind w:left="720"/>
        <w:rPr>
          <w:szCs w:val="18"/>
          <w:lang w:val="de-DE"/>
        </w:rPr>
      </w:pPr>
    </w:p>
    <w:p w:rsidR="00E73313" w:rsidRPr="003002D3" w:rsidRDefault="00E73313" w:rsidP="00E73313">
      <w:pPr>
        <w:numPr>
          <w:ilvl w:val="0"/>
          <w:numId w:val="52"/>
        </w:numPr>
        <w:tabs>
          <w:tab w:val="left" w:pos="1440"/>
        </w:tabs>
        <w:spacing w:after="60"/>
        <w:ind w:left="1440"/>
        <w:rPr>
          <w:lang w:val="de-DE"/>
        </w:rPr>
      </w:pPr>
      <w:r w:rsidRPr="003002D3">
        <w:rPr>
          <w:rFonts w:eastAsia="Calibri" w:cs="Tahoma"/>
          <w:szCs w:val="18"/>
          <w:lang w:val="de-DE"/>
        </w:rPr>
        <w:t>Lizenzen, die im Rahmen dieser Gewährung erworben werden, umfassen Software Assurance</w:t>
      </w:r>
      <w:r w:rsidR="006257A7">
        <w:rPr>
          <w:rFonts w:eastAsia="Calibri" w:cs="Tahoma"/>
          <w:szCs w:val="18"/>
          <w:lang w:val="de-DE"/>
        </w:rPr>
        <w:t xml:space="preserve">. </w:t>
      </w:r>
      <w:r w:rsidRPr="003002D3">
        <w:rPr>
          <w:rFonts w:eastAsia="Calibri" w:cs="Tahoma"/>
          <w:szCs w:val="18"/>
          <w:lang w:val="de-DE"/>
        </w:rPr>
        <w:t>Diese Software Assurance gilt bis zum Ablauf der Software Assurance für die Qualifizierenden Lizenzen</w:t>
      </w:r>
      <w:r w:rsidR="006257A7">
        <w:rPr>
          <w:rFonts w:eastAsia="Calibri" w:cs="Tahoma"/>
          <w:szCs w:val="18"/>
          <w:lang w:val="de-DE"/>
        </w:rPr>
        <w:t xml:space="preserve">. </w:t>
      </w:r>
    </w:p>
    <w:p w:rsidR="00E73313" w:rsidRPr="003002D3" w:rsidRDefault="00E73313" w:rsidP="00E73313">
      <w:pPr>
        <w:numPr>
          <w:ilvl w:val="0"/>
          <w:numId w:val="52"/>
        </w:numPr>
        <w:tabs>
          <w:tab w:val="left" w:pos="1440"/>
        </w:tabs>
        <w:spacing w:after="60"/>
        <w:ind w:left="1440"/>
        <w:rPr>
          <w:lang w:val="de-DE"/>
        </w:rPr>
      </w:pPr>
      <w:r w:rsidRPr="003002D3">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6257A7">
        <w:rPr>
          <w:rFonts w:eastAsia="Calibri" w:cs="Tahoma"/>
          <w:szCs w:val="18"/>
          <w:lang w:val="de-DE"/>
        </w:rPr>
        <w:t xml:space="preserve">. </w:t>
      </w:r>
    </w:p>
    <w:p w:rsidR="00E73313" w:rsidRPr="00DD788F" w:rsidRDefault="00E73313" w:rsidP="00E73313">
      <w:pPr>
        <w:numPr>
          <w:ilvl w:val="0"/>
          <w:numId w:val="52"/>
        </w:numPr>
        <w:tabs>
          <w:tab w:val="left" w:pos="1440"/>
        </w:tabs>
        <w:spacing w:after="60"/>
        <w:ind w:left="1440"/>
        <w:rPr>
          <w:lang w:val="de-DE"/>
        </w:rPr>
      </w:pPr>
      <w:r w:rsidRPr="003002D3">
        <w:rPr>
          <w:rFonts w:eastAsia="Calibri" w:cs="Tahoma"/>
          <w:szCs w:val="18"/>
          <w:lang w:val="de-DE"/>
        </w:rPr>
        <w:t>Bei Upgrade auf Windows Server 2012 Standard unter dieser Gewährung sind die bestehenden Qualifizierenden Lizenzen für HPC Server Suite des Kunden nicht mehr gültig</w:t>
      </w:r>
      <w:r w:rsidR="006257A7">
        <w:rPr>
          <w:rFonts w:eastAsia="Calibri" w:cs="Tahoma"/>
          <w:szCs w:val="18"/>
          <w:lang w:val="de-DE"/>
        </w:rPr>
        <w:t xml:space="preserve">. </w:t>
      </w:r>
    </w:p>
    <w:p w:rsidR="00DD788F" w:rsidRPr="003002D3" w:rsidRDefault="00DD788F" w:rsidP="00DD788F">
      <w:pPr>
        <w:tabs>
          <w:tab w:val="left" w:pos="1440"/>
        </w:tabs>
        <w:spacing w:after="60"/>
        <w:rPr>
          <w:lang w:val="de-DE"/>
        </w:rPr>
      </w:pPr>
    </w:p>
    <w:p w:rsidR="00E73313" w:rsidRPr="003002D3" w:rsidRDefault="00E73313" w:rsidP="00E73313">
      <w:pPr>
        <w:numPr>
          <w:ilvl w:val="0"/>
          <w:numId w:val="56"/>
        </w:numPr>
        <w:tabs>
          <w:tab w:val="left" w:pos="1440"/>
        </w:tabs>
        <w:spacing w:after="60"/>
        <w:ind w:left="1440"/>
        <w:rPr>
          <w:lang w:val="de-DE"/>
        </w:rPr>
      </w:pPr>
      <w:r w:rsidRPr="003002D3">
        <w:rPr>
          <w:color w:val="000000"/>
          <w:lang w:val="de-DE"/>
        </w:rPr>
        <w:t xml:space="preserve">HPC Server Suite- </w:t>
      </w:r>
      <w:r w:rsidRPr="003002D3">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6257A7">
        <w:rPr>
          <w:rFonts w:cs="Tahoma"/>
          <w:bCs/>
          <w:color w:val="000000"/>
          <w:szCs w:val="18"/>
          <w:lang w:val="de-DE"/>
        </w:rPr>
        <w:t xml:space="preserve">. </w:t>
      </w:r>
    </w:p>
    <w:p w:rsidR="00E73313" w:rsidRPr="003002D3" w:rsidRDefault="00E73313" w:rsidP="00E73313">
      <w:pPr>
        <w:numPr>
          <w:ilvl w:val="0"/>
          <w:numId w:val="56"/>
        </w:numPr>
        <w:tabs>
          <w:tab w:val="left" w:pos="1440"/>
        </w:tabs>
        <w:spacing w:after="60"/>
        <w:ind w:left="1440"/>
        <w:rPr>
          <w:lang w:val="de-DE"/>
        </w:rPr>
      </w:pPr>
      <w:r w:rsidRPr="003002D3">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r w:rsidR="006257A7">
        <w:rPr>
          <w:rFonts w:cs="Tahoma"/>
          <w:bCs/>
          <w:color w:val="000000"/>
          <w:szCs w:val="18"/>
          <w:lang w:val="de-DE"/>
        </w:rPr>
        <w:t xml:space="preserve">. </w:t>
      </w:r>
    </w:p>
    <w:p w:rsidR="00E73313" w:rsidRPr="003002D3" w:rsidRDefault="00E73313" w:rsidP="00E73313">
      <w:pPr>
        <w:numPr>
          <w:ilvl w:val="0"/>
          <w:numId w:val="56"/>
        </w:numPr>
        <w:tabs>
          <w:tab w:val="left" w:pos="1440"/>
        </w:tabs>
        <w:spacing w:after="60"/>
        <w:ind w:left="1440"/>
        <w:rPr>
          <w:lang w:val="de-DE"/>
        </w:rPr>
      </w:pPr>
      <w:r w:rsidRPr="003002D3">
        <w:rPr>
          <w:rFonts w:cs="Tahoma"/>
          <w:bCs/>
          <w:color w:val="000000"/>
          <w:szCs w:val="18"/>
          <w:lang w:val="de-DE"/>
        </w:rPr>
        <w:t>Informieren Sie sich außerdem in den Hinweisen in der Produktliste für Windows Server 2008 R2 HPC Edition &amp; HPC Pack 2008 R2 Enterprise</w:t>
      </w:r>
      <w:r w:rsidR="006257A7">
        <w:rPr>
          <w:rFonts w:cs="Tahoma"/>
          <w:bCs/>
          <w:color w:val="000000"/>
          <w:szCs w:val="18"/>
          <w:lang w:val="de-DE"/>
        </w:rPr>
        <w:t xml:space="preserve">. </w:t>
      </w:r>
      <w:bookmarkStart w:id="1599" w:name="_109_Windows®_Intune"/>
      <w:bookmarkEnd w:id="1599"/>
    </w:p>
    <w:p w:rsidR="00E73313" w:rsidRPr="003002D3" w:rsidRDefault="00E73313" w:rsidP="00E73313">
      <w:pPr>
        <w:tabs>
          <w:tab w:val="left" w:pos="1440"/>
        </w:tabs>
        <w:ind w:left="1080"/>
        <w:contextualSpacing/>
        <w:rPr>
          <w:lang w:val="de-DE"/>
        </w:rPr>
      </w:pPr>
    </w:p>
    <w:p w:rsidR="00E73313" w:rsidRPr="003002D3" w:rsidRDefault="00E73313" w:rsidP="00E73313">
      <w:pPr>
        <w:ind w:left="720"/>
        <w:rPr>
          <w:lang w:val="de-DE"/>
        </w:rPr>
      </w:pPr>
    </w:p>
    <w:p w:rsidR="00E73313" w:rsidRPr="003002D3" w:rsidRDefault="00E73313" w:rsidP="00E73313">
      <w:pPr>
        <w:pStyle w:val="Heading2"/>
        <w:ind w:left="0"/>
        <w:rPr>
          <w:lang w:val="de-DE"/>
        </w:rPr>
      </w:pPr>
      <w:bookmarkStart w:id="1600" w:name="_105_Windows_Multipoint"/>
      <w:bookmarkStart w:id="1601" w:name="_104_Windows_Multipoint"/>
      <w:bookmarkStart w:id="1602" w:name="_Toc336338367"/>
      <w:bookmarkStart w:id="1603" w:name="_Toc363999101"/>
      <w:bookmarkEnd w:id="1600"/>
      <w:bookmarkEnd w:id="1601"/>
      <w:r w:rsidRPr="003002D3">
        <w:rPr>
          <w:rFonts w:ascii="Tahoma" w:hAnsi="Tahoma" w:cs="Tahoma"/>
          <w:caps/>
          <w:color w:val="FA6500"/>
          <w:sz w:val="22"/>
          <w:vertAlign w:val="superscript"/>
          <w:lang w:val="de-DE"/>
        </w:rPr>
        <w:t>104</w:t>
      </w:r>
      <w:r w:rsidRPr="00B56A92">
        <w:rPr>
          <w:rFonts w:ascii="Tahoma" w:hAnsi="Tahoma" w:cs="Tahoma"/>
          <w:caps/>
          <w:color w:val="FA6500"/>
          <w:sz w:val="22"/>
          <w:lang w:val="de-DE"/>
        </w:rPr>
        <w:t xml:space="preserve"> </w:t>
      </w:r>
      <w:r w:rsidRPr="003002D3">
        <w:rPr>
          <w:rFonts w:ascii="Tahoma" w:hAnsi="Tahoma" w:cs="Tahoma"/>
          <w:color w:val="FA6500"/>
          <w:sz w:val="22"/>
          <w:lang w:val="de-DE"/>
        </w:rPr>
        <w:t xml:space="preserve">Windows Multipoint Server </w:t>
      </w:r>
      <w:bookmarkEnd w:id="1602"/>
      <w:r w:rsidRPr="003002D3">
        <w:rPr>
          <w:rFonts w:ascii="Tahoma" w:hAnsi="Tahoma" w:cs="Tahoma"/>
          <w:color w:val="FA6500"/>
          <w:sz w:val="22"/>
          <w:lang w:val="de-DE"/>
        </w:rPr>
        <w:t>2012 Standard</w:t>
      </w:r>
      <w:bookmarkEnd w:id="1603"/>
      <w:r w:rsidRPr="003002D3">
        <w:rPr>
          <w:rFonts w:ascii="Tahoma" w:hAnsi="Tahoma" w:cs="Tahoma"/>
          <w:color w:val="FA6500"/>
          <w:sz w:val="22"/>
          <w:lang w:val="de-DE"/>
        </w:rPr>
        <w:t xml:space="preserve"> </w:t>
      </w:r>
    </w:p>
    <w:p w:rsidR="00E73313" w:rsidRPr="003002D3" w:rsidRDefault="00E73313" w:rsidP="00E73313">
      <w:pPr>
        <w:rPr>
          <w:lang w:val="de-DE"/>
        </w:rPr>
      </w:pPr>
    </w:p>
    <w:p w:rsidR="00E73313" w:rsidRPr="003002D3" w:rsidRDefault="00E73313" w:rsidP="00E73313">
      <w:pPr>
        <w:ind w:left="720"/>
        <w:rPr>
          <w:lang w:val="de-DE"/>
        </w:rPr>
      </w:pPr>
      <w:r w:rsidRPr="003002D3">
        <w:rPr>
          <w:rFonts w:eastAsia="Calibri" w:cs="Tahoma"/>
          <w:color w:val="000000"/>
          <w:szCs w:val="18"/>
          <w:lang w:val="de-DE"/>
        </w:rPr>
        <w:t>Windows Multipoint Server 2012 Standard ist die nächste Version von Windows Multipoint Server 2011 Standard</w:t>
      </w:r>
      <w:r w:rsidR="006257A7">
        <w:rPr>
          <w:rFonts w:eastAsia="Calibri" w:cs="Tahoma"/>
          <w:color w:val="000000"/>
          <w:szCs w:val="18"/>
          <w:lang w:val="de-DE"/>
        </w:rPr>
        <w:t xml:space="preserve">. </w:t>
      </w:r>
    </w:p>
    <w:p w:rsidR="00E73313" w:rsidRPr="003002D3" w:rsidRDefault="00E73313" w:rsidP="00E73313">
      <w:pPr>
        <w:rPr>
          <w:lang w:val="de-DE"/>
        </w:rPr>
      </w:pPr>
    </w:p>
    <w:p w:rsidR="00E73313" w:rsidRPr="003002D3" w:rsidRDefault="00E73313" w:rsidP="00E73313">
      <w:pPr>
        <w:rPr>
          <w:lang w:val="de-DE"/>
        </w:rPr>
      </w:pPr>
    </w:p>
    <w:p w:rsidR="00E73313" w:rsidRPr="003002D3" w:rsidRDefault="00E73313" w:rsidP="00E73313">
      <w:pPr>
        <w:pStyle w:val="Heading2"/>
        <w:ind w:left="0"/>
        <w:rPr>
          <w:lang w:val="de-DE"/>
        </w:rPr>
      </w:pPr>
      <w:bookmarkStart w:id="1604" w:name="_106_Windows_Multipoint"/>
      <w:bookmarkStart w:id="1605" w:name="_Toc336338368"/>
      <w:bookmarkStart w:id="1606" w:name="_Toc363999102"/>
      <w:bookmarkStart w:id="1607" w:name="Srv_103WinMultipointSvr2011Premium"/>
      <w:bookmarkStart w:id="1608" w:name="Srv_107WinMultipointSvr2011Premium"/>
      <w:bookmarkStart w:id="1609" w:name="Srv_111WinMultipointSvr2011Premium"/>
      <w:bookmarkEnd w:id="1604"/>
      <w:r w:rsidRPr="003002D3">
        <w:rPr>
          <w:rFonts w:ascii="Tahoma" w:hAnsi="Tahoma" w:cs="Tahoma"/>
          <w:caps/>
          <w:color w:val="FA6500"/>
          <w:sz w:val="22"/>
          <w:szCs w:val="22"/>
          <w:vertAlign w:val="superscript"/>
          <w:lang w:val="de-DE"/>
        </w:rPr>
        <w:t>105</w:t>
      </w:r>
      <w:r w:rsidRPr="00B56A92">
        <w:rPr>
          <w:rFonts w:ascii="Tahoma" w:hAnsi="Tahoma" w:cs="Tahoma"/>
          <w:caps/>
          <w:color w:val="FA6500"/>
          <w:sz w:val="22"/>
          <w:lang w:val="de-DE"/>
        </w:rPr>
        <w:t xml:space="preserve"> </w:t>
      </w:r>
      <w:r w:rsidRPr="003002D3">
        <w:rPr>
          <w:rFonts w:ascii="Tahoma" w:hAnsi="Tahoma" w:cs="Tahoma"/>
          <w:color w:val="FA6500"/>
          <w:sz w:val="22"/>
          <w:lang w:val="de-DE"/>
        </w:rPr>
        <w:t xml:space="preserve">Windows Multipoint Server </w:t>
      </w:r>
      <w:bookmarkEnd w:id="1605"/>
      <w:r w:rsidRPr="003002D3">
        <w:rPr>
          <w:rFonts w:ascii="Tahoma" w:hAnsi="Tahoma" w:cs="Tahoma"/>
          <w:color w:val="FA6500"/>
          <w:sz w:val="22"/>
          <w:lang w:val="de-DE"/>
        </w:rPr>
        <w:t>2012 Premium</w:t>
      </w:r>
      <w:bookmarkEnd w:id="1606"/>
      <w:r w:rsidRPr="003002D3">
        <w:rPr>
          <w:rFonts w:ascii="Tahoma" w:hAnsi="Tahoma" w:cs="Tahoma"/>
          <w:color w:val="FA6500"/>
          <w:sz w:val="22"/>
          <w:lang w:val="de-DE"/>
        </w:rPr>
        <w:t xml:space="preserve"> </w:t>
      </w:r>
      <w:bookmarkEnd w:id="1607"/>
      <w:bookmarkEnd w:id="1608"/>
      <w:bookmarkEnd w:id="1609"/>
    </w:p>
    <w:p w:rsidR="00E73313" w:rsidRPr="003002D3" w:rsidRDefault="00E73313" w:rsidP="00E73313">
      <w:pPr>
        <w:rPr>
          <w:lang w:val="de-DE"/>
        </w:rPr>
      </w:pPr>
    </w:p>
    <w:p w:rsidR="00E73313" w:rsidRPr="003002D3" w:rsidRDefault="00E73313" w:rsidP="00E73313">
      <w:pPr>
        <w:ind w:left="720"/>
        <w:rPr>
          <w:lang w:val="de-DE"/>
        </w:rPr>
      </w:pPr>
      <w:r w:rsidRPr="003002D3">
        <w:rPr>
          <w:rFonts w:eastAsia="Calibri" w:cs="Tahoma"/>
          <w:color w:val="000000"/>
          <w:szCs w:val="18"/>
          <w:lang w:val="de-DE"/>
        </w:rPr>
        <w:t>Windows Multipoint Server 2012 Premium ist die nächste Version von Windows Multipoint Server 2011 Premium</w:t>
      </w:r>
      <w:r w:rsidR="006257A7">
        <w:rPr>
          <w:rFonts w:eastAsia="Calibri" w:cs="Tahoma"/>
          <w:color w:val="000000"/>
          <w:szCs w:val="18"/>
          <w:lang w:val="de-DE"/>
        </w:rPr>
        <w:t xml:space="preserve">. </w:t>
      </w:r>
      <w:bookmarkStart w:id="1610" w:name="_Toc280612355"/>
    </w:p>
    <w:p w:rsidR="00E73313" w:rsidRPr="003002D3" w:rsidRDefault="00E73313" w:rsidP="00E73313">
      <w:pPr>
        <w:rPr>
          <w:lang w:val="de-DE"/>
        </w:rPr>
      </w:pPr>
    </w:p>
    <w:p w:rsidR="00E73313" w:rsidRPr="003002D3" w:rsidRDefault="00E73313" w:rsidP="00E73313">
      <w:pPr>
        <w:rPr>
          <w:lang w:val="de-DE"/>
        </w:rPr>
      </w:pPr>
    </w:p>
    <w:p w:rsidR="00E73313" w:rsidRPr="0062435A" w:rsidRDefault="00E73313" w:rsidP="00E73313">
      <w:pPr>
        <w:pStyle w:val="Heading2"/>
        <w:ind w:left="0"/>
      </w:pPr>
      <w:bookmarkStart w:id="1611" w:name="_106_CAL_für"/>
      <w:bookmarkStart w:id="1612" w:name="_Toc363999103"/>
      <w:bookmarkStart w:id="1613" w:name="Srv_104WinMultipointSvr2011CAL"/>
      <w:bookmarkStart w:id="1614" w:name="Srv_108WinMultipointSvr2011CAL"/>
      <w:bookmarkStart w:id="1615" w:name="Srv_112WinMultipointSvr2011CAL"/>
      <w:bookmarkEnd w:id="1611"/>
      <w:r>
        <w:rPr>
          <w:rFonts w:ascii="Tahoma" w:hAnsi="Tahoma" w:cs="Tahoma"/>
          <w:caps/>
          <w:color w:val="FA6500"/>
          <w:sz w:val="22"/>
          <w:szCs w:val="22"/>
          <w:vertAlign w:val="superscript"/>
        </w:rPr>
        <w:t>106</w:t>
      </w:r>
      <w:r>
        <w:rPr>
          <w:rFonts w:ascii="Tahoma" w:hAnsi="Tahoma" w:cs="Tahoma"/>
          <w:color w:val="FA6500"/>
          <w:sz w:val="22"/>
          <w:szCs w:val="22"/>
        </w:rPr>
        <w:t xml:space="preserve"> CAL für Windows </w:t>
      </w:r>
      <w:bookmarkEnd w:id="1610"/>
      <w:r>
        <w:rPr>
          <w:rFonts w:ascii="Tahoma" w:hAnsi="Tahoma" w:cs="Tahoma"/>
          <w:color w:val="FA6500"/>
          <w:sz w:val="22"/>
          <w:szCs w:val="22"/>
        </w:rPr>
        <w:t>Multipoint Server 2012</w:t>
      </w:r>
      <w:bookmarkEnd w:id="1612"/>
    </w:p>
    <w:bookmarkEnd w:id="1613"/>
    <w:bookmarkEnd w:id="1614"/>
    <w:bookmarkEnd w:id="1615"/>
    <w:p w:rsidR="00E73313" w:rsidRPr="0062435A" w:rsidRDefault="00E73313" w:rsidP="00E73313">
      <w:pPr>
        <w:ind w:firstLine="360"/>
      </w:pPr>
    </w:p>
    <w:p w:rsidR="00E73313" w:rsidRPr="003002D3" w:rsidRDefault="00E73313" w:rsidP="00F25255">
      <w:pPr>
        <w:ind w:left="720"/>
        <w:rPr>
          <w:lang w:val="de-DE"/>
        </w:rPr>
      </w:pPr>
      <w:r w:rsidRPr="003002D3">
        <w:rPr>
          <w:rFonts w:eastAsia="Calibri" w:cs="Tahoma"/>
          <w:color w:val="000000"/>
          <w:szCs w:val="18"/>
          <w:lang w:val="de-DE"/>
        </w:rPr>
        <w:t>CAL für Windows Multipoint Server 2012 ist die nächste Version von CAL für Windows Multipoint Server</w:t>
      </w:r>
      <w:r w:rsidR="00F25255">
        <w:rPr>
          <w:rFonts w:eastAsia="Calibri" w:cs="Tahoma"/>
          <w:color w:val="000000"/>
          <w:szCs w:val="18"/>
          <w:lang w:val="de-DE"/>
        </w:rPr>
        <w:t> </w:t>
      </w:r>
      <w:r w:rsidRPr="003002D3">
        <w:rPr>
          <w:rFonts w:eastAsia="Calibri" w:cs="Tahoma"/>
          <w:color w:val="000000"/>
          <w:szCs w:val="18"/>
          <w:lang w:val="de-DE"/>
        </w:rPr>
        <w:t>2011</w:t>
      </w:r>
      <w:r w:rsidR="006257A7">
        <w:rPr>
          <w:rFonts w:eastAsia="Calibri" w:cs="Tahoma"/>
          <w:color w:val="000000"/>
          <w:szCs w:val="18"/>
          <w:lang w:val="de-DE"/>
        </w:rPr>
        <w:t xml:space="preserve">. </w:t>
      </w:r>
    </w:p>
    <w:p w:rsidR="00E73313" w:rsidRPr="003002D3" w:rsidRDefault="00E73313" w:rsidP="00E73313">
      <w:pPr>
        <w:rPr>
          <w:lang w:val="de-DE"/>
        </w:rPr>
      </w:pPr>
    </w:p>
    <w:p w:rsidR="00E73313" w:rsidRPr="003002D3" w:rsidRDefault="00E73313" w:rsidP="00E73313">
      <w:pPr>
        <w:rPr>
          <w:lang w:val="de-DE"/>
        </w:rPr>
      </w:pPr>
    </w:p>
    <w:p w:rsidR="00E73313" w:rsidRPr="003002D3" w:rsidRDefault="00E73313" w:rsidP="00E73313">
      <w:pPr>
        <w:pStyle w:val="Heading3"/>
        <w:ind w:left="360" w:hanging="360"/>
        <w:rPr>
          <w:lang w:val="de-DE"/>
        </w:rPr>
      </w:pPr>
      <w:bookmarkStart w:id="1616" w:name="_108_Windows_Server"/>
      <w:bookmarkStart w:id="1617" w:name="_Toc336338369"/>
      <w:bookmarkStart w:id="1618" w:name="_Toc363999104"/>
      <w:bookmarkStart w:id="1619" w:name="Srv_97WinSvr08HighPerfCompandHyperV"/>
      <w:bookmarkStart w:id="1620" w:name="Srv_98WinSvr08HighPerfCompandHyperV"/>
      <w:bookmarkStart w:id="1621" w:name="Srv_110WinSvr08R2HPC"/>
      <w:bookmarkStart w:id="1622" w:name="Srv_114WinSvr08R2HPC"/>
      <w:bookmarkEnd w:id="1616"/>
      <w:r w:rsidRPr="003002D3">
        <w:rPr>
          <w:rFonts w:ascii="Tahoma" w:hAnsi="Tahoma"/>
          <w:caps/>
          <w:color w:val="F66400"/>
          <w:sz w:val="22"/>
          <w:vertAlign w:val="superscript"/>
          <w:lang w:val="de-DE"/>
        </w:rPr>
        <w:t>107</w:t>
      </w:r>
      <w:r w:rsidRPr="003002D3">
        <w:rPr>
          <w:rFonts w:ascii="Tahoma" w:hAnsi="Tahoma"/>
          <w:color w:val="F66400"/>
          <w:sz w:val="22"/>
          <w:lang w:val="de-DE"/>
        </w:rPr>
        <w:t xml:space="preserve"> Windows Server 2008 R2 HPC</w:t>
      </w:r>
      <w:r w:rsidRPr="003002D3">
        <w:rPr>
          <w:rStyle w:val="Heading3Char"/>
          <w:rFonts w:ascii="Tahoma" w:hAnsi="Tahoma"/>
          <w:b/>
          <w:color w:val="F66400"/>
          <w:sz w:val="22"/>
          <w:lang w:val="de-DE"/>
        </w:rPr>
        <w:t xml:space="preserve"> Edition</w:t>
      </w:r>
      <w:bookmarkEnd w:id="1617"/>
      <w:bookmarkEnd w:id="1618"/>
      <w:r w:rsidRPr="003002D3">
        <w:rPr>
          <w:rStyle w:val="Heading3Char"/>
          <w:rFonts w:ascii="Tahoma" w:hAnsi="Tahoma"/>
          <w:b/>
          <w:color w:val="F66400"/>
          <w:sz w:val="22"/>
          <w:lang w:val="de-DE"/>
        </w:rPr>
        <w:t xml:space="preserve"> </w:t>
      </w:r>
    </w:p>
    <w:bookmarkEnd w:id="1619"/>
    <w:bookmarkEnd w:id="1620"/>
    <w:bookmarkEnd w:id="1621"/>
    <w:bookmarkEnd w:id="1622"/>
    <w:p w:rsidR="00E73313" w:rsidRPr="003002D3" w:rsidRDefault="00E73313" w:rsidP="00E73313">
      <w:pPr>
        <w:rPr>
          <w:lang w:val="de-DE"/>
        </w:rPr>
      </w:pPr>
    </w:p>
    <w:p w:rsidR="00E73313" w:rsidRPr="003002D3" w:rsidRDefault="00E73313" w:rsidP="00E73313">
      <w:pPr>
        <w:spacing w:after="60"/>
        <w:ind w:left="720"/>
        <w:rPr>
          <w:lang w:val="de-DE"/>
        </w:rPr>
      </w:pPr>
      <w:r w:rsidRPr="003002D3">
        <w:rPr>
          <w:b/>
          <w:color w:val="000000"/>
          <w:lang w:val="de-DE"/>
        </w:rPr>
        <w:t>Lizenzgewährungen im Zusammenhang mit dem Ende der Lebensdauer von Windows Server HPC Edition</w:t>
      </w:r>
    </w:p>
    <w:p w:rsidR="00E73313" w:rsidRPr="003002D3" w:rsidRDefault="00E73313" w:rsidP="00B56A92">
      <w:pPr>
        <w:ind w:left="720"/>
        <w:rPr>
          <w:lang w:val="de-DE"/>
        </w:rPr>
      </w:pPr>
      <w:r w:rsidRPr="003002D3">
        <w:rPr>
          <w:color w:val="000000"/>
          <w:lang w:val="de-DE"/>
        </w:rPr>
        <w:t>Windows Server 2008 R2 ist die letzte Version von Windows Server HPC Edition</w:t>
      </w:r>
      <w:r w:rsidR="006257A7">
        <w:rPr>
          <w:color w:val="000000"/>
          <w:lang w:val="de-DE"/>
        </w:rPr>
        <w:t xml:space="preserve">. </w:t>
      </w:r>
      <w:r w:rsidRPr="003002D3">
        <w:rPr>
          <w:color w:val="000000"/>
          <w:lang w:val="de-DE"/>
        </w:rPr>
        <w:t>Volumenlizenzkunden, die</w:t>
      </w:r>
      <w:r w:rsidR="00B56A92">
        <w:rPr>
          <w:color w:val="000000"/>
          <w:lang w:val="de-DE"/>
        </w:rPr>
        <w:t> </w:t>
      </w:r>
      <w:r w:rsidRPr="003002D3">
        <w:rPr>
          <w:color w:val="000000"/>
          <w:lang w:val="de-DE"/>
        </w:rPr>
        <w:t>am 1</w:t>
      </w:r>
      <w:r w:rsidR="006257A7">
        <w:rPr>
          <w:color w:val="000000"/>
          <w:lang w:val="de-DE"/>
        </w:rPr>
        <w:t xml:space="preserve">. </w:t>
      </w:r>
      <w:r w:rsidRPr="003002D3">
        <w:rPr>
          <w:color w:val="000000"/>
          <w:lang w:val="de-DE"/>
        </w:rPr>
        <w:t xml:space="preserve">September 2012 oder am Datum der ersten Verfügbarkeit von Windows Server 2012 zum Download im Volume Licensing Service Center, wobei das frühere Datum maßgeblich ist, über aktive Software Assurance für Windows Server 2008 R2 HPC Edition-Lizenzen verfügen, („Qualifizierende Lizenzen“) sind berechtigt, </w:t>
      </w:r>
      <w:r w:rsidRPr="003002D3">
        <w:rPr>
          <w:rFonts w:eastAsia="Calibri" w:cs="Tahoma"/>
          <w:szCs w:val="18"/>
          <w:lang w:val="de-DE"/>
        </w:rPr>
        <w:t>die Software Windows Server 2012 Standard zu verwenden</w:t>
      </w:r>
      <w:r w:rsidR="006257A7">
        <w:rPr>
          <w:rFonts w:eastAsia="Calibri" w:cs="Tahoma"/>
          <w:szCs w:val="18"/>
          <w:lang w:val="de-DE"/>
        </w:rPr>
        <w:t xml:space="preserve">. </w:t>
      </w:r>
      <w:r w:rsidRPr="003002D3">
        <w:rPr>
          <w:rFonts w:eastAsia="Calibri" w:cs="Tahoma"/>
          <w:szCs w:val="18"/>
          <w:lang w:val="de-DE"/>
        </w:rPr>
        <w:t>Um diese Verwendung zu erleichtern, wird angenommen, dass dem Kunden bei Verfügbarkeit von Windows Server 2012 für jeweils zwei Qualifizierende Lizenzen, die der Kunde besitzt, eine Windows Server 2012 Standard-Prozessorlizenz gewährt wird</w:t>
      </w:r>
      <w:r w:rsidR="006257A7">
        <w:rPr>
          <w:rFonts w:eastAsia="Calibri" w:cs="Tahoma"/>
          <w:szCs w:val="18"/>
          <w:lang w:val="de-DE"/>
        </w:rPr>
        <w:t xml:space="preserve">. </w:t>
      </w:r>
    </w:p>
    <w:p w:rsidR="00E73313" w:rsidRPr="003002D3" w:rsidRDefault="00E73313" w:rsidP="00E73313">
      <w:pPr>
        <w:ind w:left="720"/>
        <w:rPr>
          <w:lang w:val="de-DE"/>
        </w:rPr>
      </w:pPr>
    </w:p>
    <w:p w:rsidR="00E73313" w:rsidRPr="003002D3" w:rsidRDefault="00E73313" w:rsidP="00E73313">
      <w:pPr>
        <w:numPr>
          <w:ilvl w:val="0"/>
          <w:numId w:val="56"/>
        </w:numPr>
        <w:tabs>
          <w:tab w:val="clear" w:pos="360"/>
          <w:tab w:val="num" w:pos="1440"/>
        </w:tabs>
        <w:spacing w:after="60"/>
        <w:ind w:left="1440"/>
        <w:rPr>
          <w:lang w:val="de-DE"/>
        </w:rPr>
      </w:pPr>
      <w:r w:rsidRPr="003002D3">
        <w:rPr>
          <w:color w:val="000000"/>
          <w:lang w:val="de-DE"/>
        </w:rPr>
        <w:t>Wenn ein Kunde über eine ungerade Anzahl von Windows Server HPC Edition-Lizenzen verfügt, muss der Kunde auf die nächste gerade Zahl aufrunden, um festzustellen, wie viele Lizenzen ihm gewährt werden</w:t>
      </w:r>
      <w:r w:rsidR="006257A7">
        <w:rPr>
          <w:color w:val="000000"/>
          <w:lang w:val="de-DE"/>
        </w:rPr>
        <w:t xml:space="preserve">. </w:t>
      </w:r>
      <w:r w:rsidRPr="003002D3">
        <w:rPr>
          <w:color w:val="000000"/>
          <w:lang w:val="de-DE"/>
        </w:rPr>
        <w:t>Beispiel: Einem Kunden, der über drei Windows Server HPC Edition-Lizenzen verfügt, werden insgesamt zwei Windows Server 2012 Standard-Lizenzen gewährt</w:t>
      </w:r>
      <w:r w:rsidR="006257A7">
        <w:rPr>
          <w:color w:val="000000"/>
          <w:lang w:val="de-DE"/>
        </w:rPr>
        <w:t xml:space="preserve">. </w:t>
      </w:r>
    </w:p>
    <w:p w:rsidR="00E73313" w:rsidRPr="003002D3" w:rsidRDefault="00E73313" w:rsidP="00E73313">
      <w:pPr>
        <w:pStyle w:val="ListParagraph"/>
        <w:numPr>
          <w:ilvl w:val="0"/>
          <w:numId w:val="56"/>
        </w:numPr>
        <w:tabs>
          <w:tab w:val="clear" w:pos="360"/>
          <w:tab w:val="num" w:pos="1440"/>
        </w:tabs>
        <w:spacing w:after="60"/>
        <w:ind w:left="1440"/>
        <w:contextualSpacing w:val="0"/>
        <w:rPr>
          <w:lang w:val="de-DE"/>
        </w:rPr>
      </w:pPr>
      <w:r w:rsidRPr="003002D3">
        <w:rPr>
          <w:rFonts w:ascii="Tahoma" w:eastAsia="Calibri" w:hAnsi="Tahoma" w:cs="Tahoma"/>
          <w:sz w:val="18"/>
          <w:szCs w:val="18"/>
          <w:lang w:val="de-DE"/>
        </w:rPr>
        <w:t>Lizenzen, die im Rahmen dieser Gewährung erworben werden, umfassen Software Assurance</w:t>
      </w:r>
      <w:r w:rsidR="006257A7">
        <w:rPr>
          <w:rFonts w:ascii="Tahoma" w:eastAsia="Calibri" w:hAnsi="Tahoma" w:cs="Tahoma"/>
          <w:sz w:val="18"/>
          <w:szCs w:val="18"/>
          <w:lang w:val="de-DE"/>
        </w:rPr>
        <w:t xml:space="preserve">. </w:t>
      </w:r>
      <w:r w:rsidRPr="003002D3">
        <w:rPr>
          <w:rFonts w:ascii="Tahoma" w:eastAsia="Calibri" w:hAnsi="Tahoma" w:cs="Tahoma"/>
          <w:sz w:val="18"/>
          <w:szCs w:val="18"/>
          <w:lang w:val="de-DE"/>
        </w:rPr>
        <w:t>Diese Software Assurance gilt bis zum Ablauf der Software Assurance für die Qualifizierenden Lizenzen</w:t>
      </w:r>
      <w:r w:rsidR="006257A7">
        <w:rPr>
          <w:rFonts w:ascii="Tahoma" w:eastAsia="Calibri" w:hAnsi="Tahoma" w:cs="Tahoma"/>
          <w:sz w:val="18"/>
          <w:szCs w:val="18"/>
          <w:lang w:val="de-DE"/>
        </w:rPr>
        <w:t xml:space="preserve">. </w:t>
      </w:r>
    </w:p>
    <w:p w:rsidR="00E73313" w:rsidRPr="003002D3" w:rsidRDefault="00E73313" w:rsidP="00E73313">
      <w:pPr>
        <w:pStyle w:val="ListParagraph"/>
        <w:numPr>
          <w:ilvl w:val="0"/>
          <w:numId w:val="56"/>
        </w:numPr>
        <w:tabs>
          <w:tab w:val="clear" w:pos="360"/>
          <w:tab w:val="num" w:pos="1440"/>
        </w:tabs>
        <w:spacing w:after="60"/>
        <w:ind w:left="1440"/>
        <w:contextualSpacing w:val="0"/>
        <w:rPr>
          <w:lang w:val="de-DE"/>
        </w:rPr>
      </w:pPr>
      <w:r w:rsidRPr="003002D3">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r w:rsidR="006257A7">
        <w:rPr>
          <w:rFonts w:ascii="Tahoma" w:eastAsia="Calibri" w:hAnsi="Tahoma" w:cs="Tahoma"/>
          <w:sz w:val="18"/>
          <w:szCs w:val="18"/>
          <w:lang w:val="de-DE"/>
        </w:rPr>
        <w:t xml:space="preserve">. </w:t>
      </w:r>
    </w:p>
    <w:p w:rsidR="00E73313" w:rsidRPr="003002D3" w:rsidRDefault="00E73313" w:rsidP="00E73313">
      <w:pPr>
        <w:numPr>
          <w:ilvl w:val="0"/>
          <w:numId w:val="56"/>
        </w:numPr>
        <w:tabs>
          <w:tab w:val="clear" w:pos="360"/>
          <w:tab w:val="num" w:pos="1440"/>
          <w:tab w:val="left" w:pos="2160"/>
        </w:tabs>
        <w:spacing w:after="60"/>
        <w:ind w:left="1440"/>
        <w:rPr>
          <w:lang w:val="de-DE"/>
        </w:rPr>
      </w:pPr>
      <w:r w:rsidRPr="003002D3">
        <w:rPr>
          <w:rFonts w:eastAsia="Calibri" w:cs="Tahoma"/>
          <w:szCs w:val="18"/>
          <w:lang w:val="de-DE"/>
        </w:rPr>
        <w:t xml:space="preserve">Bei Upgrade auf Windows Server 2012 Standard unter dieser Gewährung bleiben die bestehenden </w:t>
      </w:r>
      <w:r w:rsidRPr="003002D3">
        <w:rPr>
          <w:color w:val="000000"/>
          <w:lang w:val="de-DE"/>
        </w:rPr>
        <w:t>Windows Server 2008 R2 HPC Edition</w:t>
      </w:r>
      <w:r w:rsidRPr="003002D3">
        <w:rPr>
          <w:rFonts w:eastAsia="Calibri" w:cs="Tahoma"/>
          <w:szCs w:val="18"/>
          <w:lang w:val="de-DE"/>
        </w:rPr>
        <w:t>-Lizenzen des Kunden gültig</w:t>
      </w:r>
      <w:r w:rsidR="006257A7">
        <w:rPr>
          <w:rFonts w:eastAsia="Calibri" w:cs="Tahoma"/>
          <w:szCs w:val="18"/>
          <w:lang w:val="de-DE"/>
        </w:rPr>
        <w:t xml:space="preserve">. </w:t>
      </w:r>
    </w:p>
    <w:p w:rsidR="00E73313" w:rsidRPr="003002D3" w:rsidRDefault="00E73313" w:rsidP="00E73313">
      <w:pPr>
        <w:numPr>
          <w:ilvl w:val="0"/>
          <w:numId w:val="56"/>
        </w:numPr>
        <w:tabs>
          <w:tab w:val="clear" w:pos="360"/>
          <w:tab w:val="num" w:pos="1440"/>
        </w:tabs>
        <w:spacing w:after="60"/>
        <w:ind w:left="1440"/>
        <w:rPr>
          <w:lang w:val="de-DE"/>
        </w:rPr>
      </w:pPr>
      <w:r w:rsidRPr="003002D3">
        <w:rPr>
          <w:color w:val="000000"/>
          <w:lang w:val="de-DE"/>
        </w:rPr>
        <w:t>Windows Server 2008 R2 HPC Edition-</w:t>
      </w:r>
      <w:r w:rsidRPr="003002D3">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6257A7">
        <w:rPr>
          <w:rFonts w:cs="Tahoma"/>
          <w:bCs/>
          <w:color w:val="000000"/>
          <w:szCs w:val="18"/>
          <w:lang w:val="de-DE"/>
        </w:rPr>
        <w:t xml:space="preserve">. </w:t>
      </w:r>
    </w:p>
    <w:p w:rsidR="00E73313" w:rsidRPr="003002D3" w:rsidRDefault="00E73313" w:rsidP="00E73313">
      <w:pPr>
        <w:numPr>
          <w:ilvl w:val="0"/>
          <w:numId w:val="56"/>
        </w:numPr>
        <w:tabs>
          <w:tab w:val="clear" w:pos="360"/>
          <w:tab w:val="num" w:pos="1440"/>
        </w:tabs>
        <w:spacing w:after="60"/>
        <w:ind w:left="1440"/>
        <w:rPr>
          <w:lang w:val="de-DE"/>
        </w:rPr>
      </w:pPr>
      <w:r w:rsidRPr="003002D3">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r w:rsidR="006257A7">
        <w:rPr>
          <w:rFonts w:cs="Tahoma"/>
          <w:bCs/>
          <w:color w:val="000000"/>
          <w:szCs w:val="18"/>
          <w:lang w:val="de-DE"/>
        </w:rPr>
        <w:t xml:space="preserve">. </w:t>
      </w:r>
    </w:p>
    <w:p w:rsidR="00E73313" w:rsidRPr="003002D3" w:rsidRDefault="00E73313" w:rsidP="00E73313">
      <w:pPr>
        <w:contextualSpacing/>
        <w:rPr>
          <w:lang w:val="de-DE"/>
        </w:rPr>
      </w:pPr>
    </w:p>
    <w:p w:rsidR="00E73313" w:rsidRPr="003002D3" w:rsidRDefault="00E73313" w:rsidP="00E73313">
      <w:pPr>
        <w:spacing w:after="60"/>
        <w:ind w:left="720"/>
        <w:rPr>
          <w:lang w:val="de-DE"/>
        </w:rPr>
      </w:pPr>
      <w:r w:rsidRPr="003002D3">
        <w:rPr>
          <w:rFonts w:eastAsia="Calibri" w:cs="Tahoma"/>
          <w:b/>
          <w:szCs w:val="18"/>
          <w:lang w:val="de-DE"/>
        </w:rPr>
        <w:t>Zusätzliche Informationen zur Verwendung von Windows Server 2012 für High Performance Computing (HPC)</w:t>
      </w:r>
    </w:p>
    <w:p w:rsidR="00E73313" w:rsidRPr="003002D3" w:rsidRDefault="00E73313" w:rsidP="00E73313">
      <w:pPr>
        <w:ind w:left="720"/>
        <w:contextualSpacing/>
        <w:rPr>
          <w:lang w:val="de-DE"/>
        </w:rPr>
      </w:pPr>
      <w:r w:rsidRPr="003002D3">
        <w:rPr>
          <w:rFonts w:eastAsia="Calibri" w:cs="Tahoma"/>
          <w:szCs w:val="18"/>
          <w:lang w:val="de-DE"/>
        </w:rPr>
        <w:t>Wenn Windows Server 2012 Standard oder Datacenter für High Performance Computing verwendet wird, benötigen Sie keine CALs für den Zugriff auf die Software</w:t>
      </w:r>
      <w:r w:rsidR="006257A7">
        <w:rPr>
          <w:rFonts w:eastAsia="Calibri" w:cs="Tahoma"/>
          <w:szCs w:val="18"/>
          <w:lang w:val="de-DE"/>
        </w:rPr>
        <w:t xml:space="preserve">. </w:t>
      </w:r>
      <w:r w:rsidRPr="003002D3">
        <w:rPr>
          <w:rFonts w:eastAsia="Calibri" w:cs="Tahoma"/>
          <w:szCs w:val="18"/>
          <w:lang w:val="de-DE"/>
        </w:rPr>
        <w:t>Eine „</w:t>
      </w:r>
      <w:r w:rsidRPr="003002D3">
        <w:rPr>
          <w:lang w:val="de-DE"/>
        </w:rPr>
        <w:t>High Performance Computing („HPC“) Workload“</w:t>
      </w:r>
      <w:r w:rsidRPr="003002D3">
        <w:rPr>
          <w:b/>
          <w:bCs/>
          <w:lang w:val="de-DE"/>
        </w:rPr>
        <w:t xml:space="preserve"> </w:t>
      </w:r>
      <w:r w:rsidRPr="003002D3">
        <w:rPr>
          <w:lang w:val="de-DE"/>
        </w:rPr>
        <w:t>ist eine Workload, bei der die Serversoftware zur Ausführung eines Clusterknotens verwendet wird und in Verbindung mit anderer Software</w:t>
      </w:r>
      <w:r w:rsidR="00FB29A2">
        <w:rPr>
          <w:lang w:val="de-DE"/>
        </w:rPr>
        <w:t xml:space="preserve"> </w:t>
      </w:r>
      <w:r w:rsidRPr="003002D3">
        <w:rPr>
          <w:u w:val="single"/>
          <w:lang w:val="de-DE"/>
        </w:rPr>
        <w:t xml:space="preserve">genutzt wird, </w:t>
      </w:r>
      <w:r w:rsidRPr="003002D3">
        <w:rPr>
          <w:lang w:val="de-DE"/>
        </w:rPr>
        <w:t>sofern dies notwendig ist, um die Sicherheits-, Speicher-, Leistungsverbesserungs- und Systemverwaltung auf einem Clusterknoten zur Unterstützung der geclusterten HPC-Anwendungen zu ermöglichen</w:t>
      </w:r>
      <w:r w:rsidR="006257A7">
        <w:rPr>
          <w:lang w:val="de-DE"/>
        </w:rPr>
        <w:t xml:space="preserve">. </w:t>
      </w:r>
      <w:r w:rsidRPr="003002D3">
        <w:rPr>
          <w:rFonts w:eastAsia="Calibri" w:cs="Tahoma"/>
          <w:szCs w:val="18"/>
          <w:lang w:val="de-DE"/>
        </w:rPr>
        <w:t>Zusätzliche Informationen finden Sie in den Produktbenutzungsrechten</w:t>
      </w:r>
      <w:r w:rsidR="006257A7">
        <w:rPr>
          <w:rFonts w:eastAsia="Calibri" w:cs="Tahoma"/>
          <w:szCs w:val="18"/>
          <w:lang w:val="de-DE"/>
        </w:rPr>
        <w:t xml:space="preserve">. </w:t>
      </w:r>
      <w:bookmarkStart w:id="1623" w:name="Srv_1120WinSvr08R2Enterprise"/>
    </w:p>
    <w:p w:rsidR="006732D8" w:rsidRDefault="006732D8" w:rsidP="00E73313">
      <w:pPr>
        <w:rPr>
          <w:lang w:val="de-DE"/>
        </w:rPr>
      </w:pPr>
      <w:bookmarkStart w:id="1624" w:name="_Toc336338370"/>
      <w:bookmarkStart w:id="1625" w:name="Srv_116WinSvr08R2Enterprise"/>
      <w:bookmarkStart w:id="1626" w:name="Srv_100WinSvr08R2Enterprise"/>
    </w:p>
    <w:p w:rsidR="006732D8" w:rsidRPr="003002D3" w:rsidRDefault="006732D8" w:rsidP="00E73313">
      <w:pPr>
        <w:rPr>
          <w:lang w:val="de-DE"/>
        </w:rPr>
      </w:pPr>
    </w:p>
    <w:p w:rsidR="00E73313" w:rsidRPr="003002D3" w:rsidRDefault="00E73313" w:rsidP="00E73313">
      <w:pPr>
        <w:pStyle w:val="Heading3"/>
        <w:keepNext/>
        <w:ind w:left="360" w:hanging="360"/>
        <w:rPr>
          <w:lang w:val="de-DE"/>
        </w:rPr>
      </w:pPr>
      <w:bookmarkStart w:id="1627" w:name="_109_Windows_Server"/>
      <w:bookmarkStart w:id="1628" w:name="_Toc363999105"/>
      <w:bookmarkEnd w:id="1627"/>
      <w:r w:rsidRPr="003002D3">
        <w:rPr>
          <w:rFonts w:ascii="Tahoma" w:hAnsi="Tahoma"/>
          <w:caps/>
          <w:color w:val="F66400"/>
          <w:sz w:val="22"/>
          <w:vertAlign w:val="superscript"/>
          <w:lang w:val="de-DE"/>
        </w:rPr>
        <w:t>108</w:t>
      </w:r>
      <w:r w:rsidRPr="003002D3">
        <w:rPr>
          <w:rFonts w:ascii="Tahoma" w:hAnsi="Tahoma"/>
          <w:color w:val="F66400"/>
          <w:sz w:val="22"/>
          <w:lang w:val="de-DE"/>
        </w:rPr>
        <w:t xml:space="preserve"> Windows Server 2008 R2 Enterprise</w:t>
      </w:r>
      <w:bookmarkEnd w:id="1624"/>
      <w:bookmarkEnd w:id="1628"/>
      <w:r w:rsidRPr="003002D3">
        <w:rPr>
          <w:rFonts w:ascii="Tahoma" w:hAnsi="Tahoma"/>
          <w:color w:val="F66400"/>
          <w:sz w:val="22"/>
          <w:lang w:val="de-DE"/>
        </w:rPr>
        <w:t xml:space="preserve"> </w:t>
      </w:r>
      <w:bookmarkEnd w:id="1625"/>
    </w:p>
    <w:bookmarkEnd w:id="1623"/>
    <w:bookmarkEnd w:id="1626"/>
    <w:p w:rsidR="00E73313" w:rsidRPr="003002D3" w:rsidRDefault="00E73313" w:rsidP="00E73313">
      <w:pPr>
        <w:ind w:left="900"/>
        <w:rPr>
          <w:lang w:val="de-DE"/>
        </w:rPr>
      </w:pPr>
    </w:p>
    <w:p w:rsidR="00E73313" w:rsidRPr="003002D3" w:rsidRDefault="00E73313" w:rsidP="00E73313">
      <w:pPr>
        <w:spacing w:after="60"/>
        <w:ind w:left="720"/>
        <w:rPr>
          <w:lang w:val="de-DE"/>
        </w:rPr>
      </w:pPr>
      <w:r w:rsidRPr="003002D3">
        <w:rPr>
          <w:b/>
          <w:color w:val="000000"/>
          <w:lang w:val="de-DE"/>
        </w:rPr>
        <w:t>Lizenzgewährungen im Zusammenhang mit dem Ende der Lebensdauer von Windows Server Enterprise</w:t>
      </w:r>
    </w:p>
    <w:p w:rsidR="00E73313" w:rsidRPr="003002D3" w:rsidRDefault="00E73313" w:rsidP="00E73313">
      <w:pPr>
        <w:ind w:left="720"/>
        <w:rPr>
          <w:lang w:val="de-DE"/>
        </w:rPr>
      </w:pPr>
      <w:r w:rsidRPr="003002D3">
        <w:rPr>
          <w:color w:val="000000"/>
          <w:lang w:val="de-DE"/>
        </w:rPr>
        <w:t>Windows Server 2008 R2 ist die letzte Version von Windows Server Enterprise</w:t>
      </w:r>
      <w:r w:rsidR="006257A7">
        <w:rPr>
          <w:color w:val="000000"/>
          <w:lang w:val="de-DE"/>
        </w:rPr>
        <w:t xml:space="preserve">. </w:t>
      </w:r>
      <w:r w:rsidRPr="003002D3">
        <w:rPr>
          <w:color w:val="000000"/>
          <w:lang w:val="de-DE"/>
        </w:rPr>
        <w:t>Volumenlizenzkunden, die am 1</w:t>
      </w:r>
      <w:r w:rsidR="006257A7">
        <w:rPr>
          <w:color w:val="000000"/>
          <w:lang w:val="de-DE"/>
        </w:rPr>
        <w:t xml:space="preserve">. </w:t>
      </w:r>
      <w:r w:rsidRPr="003002D3">
        <w:rPr>
          <w:color w:val="000000"/>
          <w:lang w:val="de-DE"/>
        </w:rPr>
        <w:t xml:space="preserve">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w:t>
      </w:r>
      <w:r w:rsidRPr="003002D3">
        <w:rPr>
          <w:rFonts w:eastAsia="Calibri" w:cs="Tahoma"/>
          <w:szCs w:val="18"/>
          <w:lang w:val="de-DE"/>
        </w:rPr>
        <w:t>sind berechtigt, auf die Software Windows Server 2012 Standard upzugraden und sie anstelle von Windows Server 2008 R2 Enterprise zu verwenden</w:t>
      </w:r>
      <w:r w:rsidR="006257A7">
        <w:rPr>
          <w:rFonts w:eastAsia="Calibri" w:cs="Tahoma"/>
          <w:szCs w:val="18"/>
          <w:lang w:val="de-DE"/>
        </w:rPr>
        <w:t xml:space="preserve">. </w:t>
      </w:r>
      <w:r w:rsidRPr="003002D3">
        <w:rPr>
          <w:rFonts w:eastAsia="Calibri" w:cs="Tahoma"/>
          <w:szCs w:val="18"/>
          <w:lang w:val="de-DE"/>
        </w:rPr>
        <w:t>Um dieses Upgrade zu erleichtern, wird angenommen, dass dem Kunden bei Verfügbarkeit von Windows Server 2012 für jede Qualifizierende Lizenz, die der Kunde besitzt, Folgendes gewährt wird:</w:t>
      </w:r>
    </w:p>
    <w:p w:rsidR="00E73313" w:rsidRPr="003002D3" w:rsidRDefault="00E73313" w:rsidP="00E73313">
      <w:pPr>
        <w:spacing w:after="60"/>
        <w:ind w:left="720"/>
        <w:rPr>
          <w:lang w:val="de-DE"/>
        </w:rPr>
      </w:pPr>
    </w:p>
    <w:p w:rsidR="00E73313" w:rsidRPr="003002D3" w:rsidRDefault="00E73313" w:rsidP="00E73313">
      <w:pPr>
        <w:numPr>
          <w:ilvl w:val="0"/>
          <w:numId w:val="52"/>
        </w:numPr>
        <w:spacing w:after="60"/>
        <w:ind w:left="1440"/>
        <w:rPr>
          <w:lang w:val="de-DE"/>
        </w:rPr>
      </w:pPr>
      <w:r w:rsidRPr="003002D3">
        <w:rPr>
          <w:rFonts w:eastAsia="Calibri" w:cs="Tahoma"/>
          <w:szCs w:val="18"/>
          <w:lang w:val="de-DE"/>
        </w:rPr>
        <w:t>Zwei Windows Server 2012 Standard-Lizenzen ODER</w:t>
      </w:r>
    </w:p>
    <w:p w:rsidR="00E73313" w:rsidRPr="0062435A" w:rsidRDefault="00E73313" w:rsidP="00E73313">
      <w:pPr>
        <w:numPr>
          <w:ilvl w:val="0"/>
          <w:numId w:val="52"/>
        </w:numPr>
        <w:spacing w:after="60"/>
        <w:ind w:left="1440"/>
      </w:pPr>
      <w:r w:rsidRPr="003002D3">
        <w:rPr>
          <w:rFonts w:eastAsia="Calibri" w:cs="Tahoma"/>
          <w:szCs w:val="18"/>
          <w:lang w:val="de-DE"/>
        </w:rPr>
        <w:t>Drei bei Qualifizierenden Lizenzen, die mit SA erworben oder zwischen dem 1</w:t>
      </w:r>
      <w:r w:rsidR="006257A7">
        <w:rPr>
          <w:rFonts w:eastAsia="Calibri" w:cs="Tahoma"/>
          <w:szCs w:val="18"/>
          <w:lang w:val="de-DE"/>
        </w:rPr>
        <w:t xml:space="preserve">. </w:t>
      </w:r>
      <w:r>
        <w:rPr>
          <w:rFonts w:eastAsia="Calibri" w:cs="Tahoma"/>
          <w:szCs w:val="18"/>
        </w:rPr>
        <w:t>April 2012 und dem 31</w:t>
      </w:r>
      <w:r w:rsidR="006257A7">
        <w:rPr>
          <w:rFonts w:eastAsia="Calibri" w:cs="Tahoma"/>
          <w:szCs w:val="18"/>
        </w:rPr>
        <w:t xml:space="preserve">. </w:t>
      </w:r>
      <w:r>
        <w:rPr>
          <w:rFonts w:eastAsia="Calibri" w:cs="Tahoma"/>
          <w:szCs w:val="18"/>
        </w:rPr>
        <w:t>August 2012 verlängert wurden, ODER</w:t>
      </w:r>
    </w:p>
    <w:p w:rsidR="00E73313" w:rsidRPr="003002D3" w:rsidRDefault="00E73313" w:rsidP="00B56A92">
      <w:pPr>
        <w:numPr>
          <w:ilvl w:val="0"/>
          <w:numId w:val="52"/>
        </w:numPr>
        <w:spacing w:after="60"/>
        <w:ind w:left="1440"/>
        <w:rPr>
          <w:lang w:val="de-DE"/>
        </w:rPr>
      </w:pPr>
      <w:r w:rsidRPr="003002D3">
        <w:rPr>
          <w:rFonts w:eastAsia="Calibri" w:cs="Tahoma"/>
          <w:szCs w:val="18"/>
          <w:lang w:val="de-DE"/>
        </w:rPr>
        <w:t>Vier Windows Server 20123 Standard-Lizenzen, wenn die tatsächliche Anzahl physischer Prozessoren auf dem Server, dem die Qualifizierende Lizenz zugewiesen ist, vier übersteigt</w:t>
      </w:r>
      <w:r w:rsidR="006257A7">
        <w:rPr>
          <w:rFonts w:eastAsia="Calibri" w:cs="Tahoma"/>
          <w:szCs w:val="18"/>
          <w:lang w:val="de-DE"/>
        </w:rPr>
        <w:t xml:space="preserve">. </w:t>
      </w:r>
      <w:r w:rsidRPr="003002D3">
        <w:rPr>
          <w:rFonts w:eastAsia="Calibri" w:cs="Tahoma"/>
          <w:szCs w:val="18"/>
          <w:lang w:val="de-DE"/>
        </w:rPr>
        <w:t>(In</w:t>
      </w:r>
      <w:r w:rsidR="00B56A92">
        <w:rPr>
          <w:rFonts w:eastAsia="Calibri" w:cs="Tahoma"/>
          <w:szCs w:val="18"/>
          <w:lang w:val="de-DE"/>
        </w:rPr>
        <w:t> </w:t>
      </w:r>
      <w:r w:rsidRPr="003002D3">
        <w:rPr>
          <w:rFonts w:eastAsia="Calibri" w:cs="Tahoma"/>
          <w:szCs w:val="18"/>
          <w:lang w:val="de-DE"/>
        </w:rPr>
        <w:t>diesen Fällen müssen Kunden die Konfiguration der physischen Hardware dokumentieren, die</w:t>
      </w:r>
      <w:r w:rsidR="00B56A92">
        <w:rPr>
          <w:rFonts w:eastAsia="Calibri" w:cs="Tahoma"/>
          <w:szCs w:val="18"/>
          <w:lang w:val="de-DE"/>
        </w:rPr>
        <w:t> </w:t>
      </w:r>
      <w:r w:rsidRPr="003002D3">
        <w:rPr>
          <w:rFonts w:eastAsia="Calibri" w:cs="Tahoma"/>
          <w:szCs w:val="18"/>
          <w:lang w:val="de-DE"/>
        </w:rPr>
        <w:t>diese Software vor Ablauf von Software Assurance für die Qualifizierenden Lizenzen unter dem</w:t>
      </w:r>
      <w:r w:rsidR="00B56A92">
        <w:rPr>
          <w:rFonts w:eastAsia="Calibri" w:cs="Tahoma"/>
          <w:szCs w:val="18"/>
          <w:lang w:val="de-DE"/>
        </w:rPr>
        <w:t> </w:t>
      </w:r>
      <w:r w:rsidRPr="003002D3">
        <w:rPr>
          <w:rFonts w:eastAsia="Calibri" w:cs="Tahoma"/>
          <w:szCs w:val="18"/>
          <w:lang w:val="de-DE"/>
        </w:rPr>
        <w:t>aktuellen Vertrag unterstützt, entweder mit dem Microsoft MAP-Tool oder einer gleichwertigen Software</w:t>
      </w:r>
      <w:r w:rsidR="006257A7">
        <w:rPr>
          <w:rFonts w:eastAsia="Calibri" w:cs="Tahoma"/>
          <w:szCs w:val="18"/>
          <w:lang w:val="de-DE"/>
        </w:rPr>
        <w:t xml:space="preserve">. </w:t>
      </w:r>
      <w:r w:rsidRPr="003002D3">
        <w:rPr>
          <w:rFonts w:eastAsia="Calibri" w:cs="Tahoma"/>
          <w:szCs w:val="18"/>
          <w:lang w:val="de-DE"/>
        </w:rPr>
        <w:t>Diese Gewährung ist nur für eine Qualifizierende Lizenz pro Server verfügbar</w:t>
      </w:r>
      <w:r w:rsidR="006257A7">
        <w:rPr>
          <w:rFonts w:eastAsia="Calibri" w:cs="Tahoma"/>
          <w:szCs w:val="18"/>
          <w:lang w:val="de-DE"/>
        </w:rPr>
        <w:t xml:space="preserve">. </w:t>
      </w:r>
      <w:r w:rsidRPr="003002D3">
        <w:rPr>
          <w:rFonts w:eastAsia="Calibri" w:cs="Tahoma"/>
          <w:szCs w:val="18"/>
          <w:lang w:val="de-DE"/>
        </w:rPr>
        <w:t>)</w:t>
      </w:r>
    </w:p>
    <w:p w:rsidR="00E73313" w:rsidRPr="003002D3" w:rsidRDefault="00E73313" w:rsidP="00E73313">
      <w:pPr>
        <w:numPr>
          <w:ilvl w:val="0"/>
          <w:numId w:val="52"/>
        </w:numPr>
        <w:spacing w:after="60"/>
        <w:ind w:left="1440"/>
        <w:rPr>
          <w:lang w:val="de-DE"/>
        </w:rPr>
      </w:pPr>
      <w:r w:rsidRPr="003002D3">
        <w:rPr>
          <w:rFonts w:eastAsia="Calibri" w:cs="Tahoma"/>
          <w:szCs w:val="18"/>
          <w:lang w:val="de-DE"/>
        </w:rPr>
        <w:t>Lizenzen, die im Rahmen dieser Gewährung erworben werden, umfassen Software Assurance</w:t>
      </w:r>
      <w:r w:rsidR="006257A7">
        <w:rPr>
          <w:rFonts w:eastAsia="Calibri" w:cs="Tahoma"/>
          <w:szCs w:val="18"/>
          <w:lang w:val="de-DE"/>
        </w:rPr>
        <w:t xml:space="preserve">. </w:t>
      </w:r>
      <w:r w:rsidRPr="003002D3">
        <w:rPr>
          <w:rFonts w:eastAsia="Calibri" w:cs="Tahoma"/>
          <w:szCs w:val="18"/>
          <w:lang w:val="de-DE"/>
        </w:rPr>
        <w:t>Diese Software Assurance gilt bis zum Ablauf der Software Assurance für die Qualifizierenden Lizenzen</w:t>
      </w:r>
      <w:r w:rsidR="006257A7">
        <w:rPr>
          <w:rFonts w:eastAsia="Calibri" w:cs="Tahoma"/>
          <w:szCs w:val="18"/>
          <w:lang w:val="de-DE"/>
        </w:rPr>
        <w:t xml:space="preserve">. </w:t>
      </w:r>
    </w:p>
    <w:p w:rsidR="00E73313" w:rsidRPr="003002D3" w:rsidRDefault="00E73313" w:rsidP="00E73313">
      <w:pPr>
        <w:numPr>
          <w:ilvl w:val="0"/>
          <w:numId w:val="52"/>
        </w:numPr>
        <w:spacing w:after="60"/>
        <w:ind w:left="1440"/>
        <w:rPr>
          <w:lang w:val="de-DE"/>
        </w:rPr>
      </w:pPr>
      <w:r w:rsidRPr="003002D3">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6257A7">
        <w:rPr>
          <w:rFonts w:eastAsia="Calibri" w:cs="Tahoma"/>
          <w:szCs w:val="18"/>
          <w:lang w:val="de-DE"/>
        </w:rPr>
        <w:t xml:space="preserve">. </w:t>
      </w:r>
    </w:p>
    <w:p w:rsidR="00E73313" w:rsidRPr="00DD788F" w:rsidRDefault="00E73313" w:rsidP="00E73313">
      <w:pPr>
        <w:numPr>
          <w:ilvl w:val="0"/>
          <w:numId w:val="52"/>
        </w:numPr>
        <w:spacing w:after="60"/>
        <w:ind w:left="1440"/>
        <w:rPr>
          <w:lang w:val="de-DE"/>
        </w:rPr>
      </w:pPr>
      <w:r w:rsidRPr="003002D3">
        <w:rPr>
          <w:rFonts w:eastAsia="Calibri" w:cs="Tahoma"/>
          <w:szCs w:val="18"/>
          <w:lang w:val="de-DE"/>
        </w:rPr>
        <w:t>Bei Upgrade auf Windows Server 2012 Standard unter dieser Gewährung sind die bestehenden Qualifizierenden Lizenzen für Windows Server Enterprise des Kunden nicht mehr gültig</w:t>
      </w:r>
      <w:r w:rsidR="006257A7">
        <w:rPr>
          <w:rFonts w:eastAsia="Calibri" w:cs="Tahoma"/>
          <w:szCs w:val="18"/>
          <w:lang w:val="de-DE"/>
        </w:rPr>
        <w:t xml:space="preserve">. </w:t>
      </w:r>
    </w:p>
    <w:p w:rsidR="00DD788F" w:rsidRDefault="00DD788F" w:rsidP="00DD788F">
      <w:pPr>
        <w:spacing w:after="60"/>
        <w:rPr>
          <w:rFonts w:eastAsia="Calibri" w:cs="Tahoma"/>
          <w:szCs w:val="18"/>
          <w:lang w:val="de-DE"/>
        </w:rPr>
      </w:pPr>
    </w:p>
    <w:p w:rsidR="00DD788F" w:rsidRDefault="00DD788F" w:rsidP="00DD788F">
      <w:pPr>
        <w:spacing w:after="60"/>
        <w:rPr>
          <w:rFonts w:eastAsia="Calibri" w:cs="Tahoma"/>
          <w:szCs w:val="18"/>
          <w:lang w:val="de-DE"/>
        </w:rPr>
      </w:pPr>
    </w:p>
    <w:p w:rsidR="00E73313" w:rsidRPr="003002D3" w:rsidRDefault="00E73313" w:rsidP="00E73313">
      <w:pPr>
        <w:numPr>
          <w:ilvl w:val="0"/>
          <w:numId w:val="52"/>
        </w:numPr>
        <w:spacing w:after="60"/>
        <w:ind w:left="1440"/>
        <w:rPr>
          <w:lang w:val="de-DE"/>
        </w:rPr>
      </w:pPr>
      <w:r w:rsidRPr="003002D3">
        <w:rPr>
          <w:rFonts w:eastAsia="Calibri" w:cs="Tahoma"/>
          <w:szCs w:val="18"/>
          <w:lang w:val="de-DE"/>
        </w:rPr>
        <w:t>Windows Server 2008 R2 Enterprise-Lizenzen,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r w:rsidR="006257A7">
        <w:rPr>
          <w:rFonts w:eastAsia="Calibri" w:cs="Tahoma"/>
          <w:szCs w:val="18"/>
          <w:lang w:val="de-DE"/>
        </w:rPr>
        <w:t xml:space="preserve">. </w:t>
      </w:r>
    </w:p>
    <w:p w:rsidR="00E73313" w:rsidRPr="003002D3" w:rsidRDefault="00E73313" w:rsidP="00E73313">
      <w:pPr>
        <w:numPr>
          <w:ilvl w:val="0"/>
          <w:numId w:val="52"/>
        </w:numPr>
        <w:spacing w:after="60"/>
        <w:ind w:left="1440"/>
        <w:rPr>
          <w:lang w:val="de-DE"/>
        </w:rPr>
      </w:pPr>
      <w:r w:rsidRPr="003002D3">
        <w:rPr>
          <w:rFonts w:eastAsia="Calibri" w:cs="Tahoma"/>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r w:rsidR="006257A7">
        <w:rPr>
          <w:rFonts w:eastAsia="Calibri" w:cs="Tahoma"/>
          <w:szCs w:val="18"/>
          <w:lang w:val="de-DE"/>
        </w:rPr>
        <w:t xml:space="preserve">. </w:t>
      </w:r>
    </w:p>
    <w:p w:rsidR="00E73313" w:rsidRPr="003002D3" w:rsidRDefault="00E73313" w:rsidP="00E73313">
      <w:pPr>
        <w:pStyle w:val="EndnoteText"/>
        <w:ind w:left="0"/>
        <w:rPr>
          <w:lang w:val="de-DE"/>
        </w:rPr>
      </w:pPr>
    </w:p>
    <w:p w:rsidR="00E73313" w:rsidRPr="003002D3" w:rsidRDefault="00E73313" w:rsidP="00E73313">
      <w:pPr>
        <w:pStyle w:val="EndnoteText"/>
        <w:ind w:left="0"/>
        <w:rPr>
          <w:lang w:val="de-DE"/>
        </w:rPr>
      </w:pPr>
    </w:p>
    <w:p w:rsidR="00E73313" w:rsidRPr="003002D3" w:rsidRDefault="00E73313" w:rsidP="00B56A92">
      <w:pPr>
        <w:pStyle w:val="Heading3"/>
        <w:keepNext/>
        <w:ind w:left="360" w:hanging="360"/>
        <w:rPr>
          <w:lang w:val="de-DE"/>
        </w:rPr>
      </w:pPr>
      <w:bookmarkStart w:id="1629" w:name="_110_Windows_Server_1"/>
      <w:bookmarkStart w:id="1630" w:name="Srv_1102WinSvr08R2Itanium"/>
      <w:bookmarkStart w:id="1631" w:name="_Toc336338371"/>
      <w:bookmarkStart w:id="1632" w:name="_Toc363999106"/>
      <w:bookmarkStart w:id="1633" w:name="Srv_1132WinSvr08R2Itanium"/>
      <w:bookmarkStart w:id="1634" w:name="Srv_117WinSvr08R2Itanium"/>
      <w:bookmarkStart w:id="1635" w:name="Srv_98WinSvr08StdandHyperV"/>
      <w:bookmarkStart w:id="1636" w:name="Srv_99WinSvr08StdandHyperV"/>
      <w:bookmarkEnd w:id="1629"/>
      <w:r w:rsidRPr="003002D3">
        <w:rPr>
          <w:rFonts w:ascii="Tahoma" w:hAnsi="Tahoma"/>
          <w:caps/>
          <w:color w:val="F66400"/>
          <w:sz w:val="22"/>
          <w:vertAlign w:val="superscript"/>
          <w:lang w:val="de-DE"/>
        </w:rPr>
        <w:t>109</w:t>
      </w:r>
      <w:r w:rsidR="00B56A92" w:rsidRPr="003002D3">
        <w:rPr>
          <w:rFonts w:ascii="Tahoma" w:hAnsi="Tahoma"/>
          <w:color w:val="F66400"/>
          <w:sz w:val="22"/>
          <w:lang w:val="de-DE"/>
        </w:rPr>
        <w:t xml:space="preserve"> </w:t>
      </w:r>
      <w:r w:rsidRPr="003002D3">
        <w:rPr>
          <w:rFonts w:ascii="Tahoma" w:hAnsi="Tahoma"/>
          <w:color w:val="F66400"/>
          <w:sz w:val="22"/>
          <w:lang w:val="de-DE"/>
        </w:rPr>
        <w:t>Windows Server 2008 R2 für Itanium-basierte Systeme</w:t>
      </w:r>
      <w:bookmarkEnd w:id="1630"/>
      <w:bookmarkEnd w:id="1631"/>
      <w:bookmarkEnd w:id="1632"/>
    </w:p>
    <w:bookmarkEnd w:id="1633"/>
    <w:bookmarkEnd w:id="1634"/>
    <w:p w:rsidR="00E73313" w:rsidRPr="003002D3" w:rsidRDefault="00E73313" w:rsidP="00E73313">
      <w:pPr>
        <w:ind w:left="360"/>
        <w:rPr>
          <w:lang w:val="de-DE"/>
        </w:rPr>
      </w:pPr>
    </w:p>
    <w:p w:rsidR="00E73313" w:rsidRPr="003002D3" w:rsidRDefault="00E73313" w:rsidP="00E73313">
      <w:pPr>
        <w:spacing w:after="60"/>
        <w:ind w:left="720"/>
        <w:rPr>
          <w:lang w:val="de-DE"/>
        </w:rPr>
      </w:pPr>
      <w:r w:rsidRPr="003002D3">
        <w:rPr>
          <w:b/>
          <w:color w:val="000000"/>
          <w:lang w:val="de-DE"/>
        </w:rPr>
        <w:t>Lizenzgewährungen im Zusammenhang mit dem Ende der Lebensdauer von Windows Server für Itanium-basierte Systeme</w:t>
      </w:r>
    </w:p>
    <w:p w:rsidR="00E73313" w:rsidRDefault="00E73313" w:rsidP="00B27BD3">
      <w:pPr>
        <w:ind w:left="720"/>
        <w:rPr>
          <w:rFonts w:eastAsia="Calibri" w:cs="Tahoma"/>
          <w:szCs w:val="18"/>
          <w:lang w:val="de-DE"/>
        </w:rPr>
      </w:pPr>
      <w:r w:rsidRPr="003002D3">
        <w:rPr>
          <w:color w:val="000000"/>
          <w:lang w:val="de-DE"/>
        </w:rPr>
        <w:t>Windows Server 2008 R2 ist die letzte Version von Windows Server für Itanium-basierte Systeme</w:t>
      </w:r>
      <w:r w:rsidR="006257A7">
        <w:rPr>
          <w:color w:val="000000"/>
          <w:lang w:val="de-DE"/>
        </w:rPr>
        <w:t xml:space="preserve">. </w:t>
      </w:r>
      <w:r w:rsidRPr="003002D3">
        <w:rPr>
          <w:color w:val="000000"/>
          <w:lang w:val="de-DE"/>
        </w:rPr>
        <w:t>Volumenlizenzkunden, die am 1</w:t>
      </w:r>
      <w:r w:rsidR="006257A7">
        <w:rPr>
          <w:color w:val="000000"/>
          <w:lang w:val="de-DE"/>
        </w:rPr>
        <w:t xml:space="preserve">. </w:t>
      </w:r>
      <w:r w:rsidRPr="003002D3">
        <w:rPr>
          <w:color w:val="000000"/>
          <w:lang w:val="de-DE"/>
        </w:rPr>
        <w:t>September 2012 oder am Datum der ersten Verfügbarkeit von Windows Server 2012 zum Download im Volume Licensing Service Center, wobei das frühere Datum maßgeblich ist, über aktive Software Assurance für Lizenzen für Windows Server 2008 R2 für Itanium-basierte Systeme verfügen, („Qualifizierende Lizenzen“) sind berechtigt,</w:t>
      </w:r>
      <w:r w:rsidRPr="003002D3">
        <w:rPr>
          <w:rFonts w:eastAsia="Calibri" w:cs="Tahoma"/>
          <w:szCs w:val="18"/>
          <w:lang w:val="de-DE"/>
        </w:rPr>
        <w:t xml:space="preserve"> auf die Software Windows Server 2012 Datacenter upzugraden und sie anstelle von Windows Server 2008 R2 für Itanium-basierte Systeme zu verwenden</w:t>
      </w:r>
      <w:r w:rsidR="006257A7">
        <w:rPr>
          <w:rFonts w:eastAsia="Calibri" w:cs="Tahoma"/>
          <w:szCs w:val="18"/>
          <w:lang w:val="de-DE"/>
        </w:rPr>
        <w:t xml:space="preserve">. </w:t>
      </w:r>
      <w:r w:rsidRPr="003002D3">
        <w:rPr>
          <w:rFonts w:eastAsia="Calibri" w:cs="Tahoma"/>
          <w:szCs w:val="18"/>
          <w:lang w:val="de-DE"/>
        </w:rPr>
        <w:t>Um</w:t>
      </w:r>
      <w:r w:rsidR="00B27BD3">
        <w:rPr>
          <w:rFonts w:eastAsia="Calibri" w:cs="Tahoma"/>
          <w:szCs w:val="18"/>
          <w:lang w:val="de-DE"/>
        </w:rPr>
        <w:t> </w:t>
      </w:r>
      <w:r w:rsidRPr="003002D3">
        <w:rPr>
          <w:rFonts w:eastAsia="Calibri" w:cs="Tahoma"/>
          <w:szCs w:val="18"/>
          <w:lang w:val="de-DE"/>
        </w:rPr>
        <w:t>dieses Upgrade zu erleichtern, wird angenommen, dass dem Kunden bei Verfügbarkeit von Windows</w:t>
      </w:r>
      <w:r w:rsidR="00B27BD3">
        <w:rPr>
          <w:rFonts w:eastAsia="Calibri" w:cs="Tahoma"/>
          <w:szCs w:val="18"/>
          <w:lang w:val="de-DE"/>
        </w:rPr>
        <w:t> </w:t>
      </w:r>
      <w:r w:rsidRPr="003002D3">
        <w:rPr>
          <w:rFonts w:eastAsia="Calibri" w:cs="Tahoma"/>
          <w:szCs w:val="18"/>
          <w:lang w:val="de-DE"/>
        </w:rPr>
        <w:t>Server 2012 für jeweils zwei Qualifizierende Lizenzen, die der Kunde besitzt, eine Windows Server</w:t>
      </w:r>
      <w:r w:rsidR="00B27BD3">
        <w:rPr>
          <w:rFonts w:eastAsia="Calibri" w:cs="Tahoma"/>
          <w:szCs w:val="18"/>
          <w:lang w:val="de-DE"/>
        </w:rPr>
        <w:t> </w:t>
      </w:r>
      <w:r w:rsidRPr="003002D3">
        <w:rPr>
          <w:rFonts w:eastAsia="Calibri" w:cs="Tahoma"/>
          <w:szCs w:val="18"/>
          <w:lang w:val="de-DE"/>
        </w:rPr>
        <w:t>2012 Datacenter-Prozessorlizenz gewährt wird</w:t>
      </w:r>
      <w:r w:rsidR="006257A7">
        <w:rPr>
          <w:rFonts w:eastAsia="Calibri" w:cs="Tahoma"/>
          <w:szCs w:val="18"/>
          <w:lang w:val="de-DE"/>
        </w:rPr>
        <w:t xml:space="preserve">. </w:t>
      </w:r>
    </w:p>
    <w:p w:rsidR="00E73313" w:rsidRPr="003002D3" w:rsidRDefault="00E73313" w:rsidP="00E73313">
      <w:pPr>
        <w:ind w:left="720"/>
        <w:rPr>
          <w:lang w:val="de-DE"/>
        </w:rPr>
      </w:pPr>
    </w:p>
    <w:p w:rsidR="00E73313" w:rsidRPr="003002D3" w:rsidRDefault="00E73313" w:rsidP="00E73313">
      <w:pPr>
        <w:numPr>
          <w:ilvl w:val="0"/>
          <w:numId w:val="56"/>
        </w:numPr>
        <w:tabs>
          <w:tab w:val="clear" w:pos="360"/>
          <w:tab w:val="num" w:pos="1440"/>
        </w:tabs>
        <w:spacing w:after="60"/>
        <w:ind w:left="1440"/>
        <w:rPr>
          <w:lang w:val="de-DE"/>
        </w:rPr>
      </w:pPr>
      <w:r w:rsidRPr="003002D3">
        <w:rPr>
          <w:color w:val="000000"/>
          <w:lang w:val="de-DE"/>
        </w:rPr>
        <w:t>Wenn ein Kunde über eine ungerade Anzahl von Qualifizierenden Lizenzen verfügt, muss der Kunde auf die nächste gerade Zahl abrunden, um festzustellen, wie viele Lizenzen ihm gewährt werden</w:t>
      </w:r>
      <w:r w:rsidR="006257A7">
        <w:rPr>
          <w:color w:val="000000"/>
          <w:lang w:val="de-DE"/>
        </w:rPr>
        <w:t xml:space="preserve">. </w:t>
      </w:r>
      <w:r w:rsidRPr="003002D3">
        <w:rPr>
          <w:color w:val="000000"/>
          <w:lang w:val="de-DE"/>
        </w:rPr>
        <w:t>Beispiel: Einem Kunden, der über drei Qualifizierende Lizenzen verfügt, wird insgesamt eine Windows Server 2012 Datacenter-Lizenz gewährt</w:t>
      </w:r>
      <w:r w:rsidR="006257A7">
        <w:rPr>
          <w:color w:val="000000"/>
          <w:lang w:val="de-DE"/>
        </w:rPr>
        <w:t xml:space="preserve">. </w:t>
      </w:r>
    </w:p>
    <w:p w:rsidR="00E73313" w:rsidRPr="003002D3" w:rsidRDefault="00E73313" w:rsidP="00E73313">
      <w:pPr>
        <w:pStyle w:val="ListParagraph"/>
        <w:numPr>
          <w:ilvl w:val="0"/>
          <w:numId w:val="56"/>
        </w:numPr>
        <w:tabs>
          <w:tab w:val="clear" w:pos="360"/>
          <w:tab w:val="num" w:pos="1440"/>
        </w:tabs>
        <w:spacing w:after="60"/>
        <w:ind w:left="1440"/>
        <w:contextualSpacing w:val="0"/>
        <w:rPr>
          <w:lang w:val="de-DE"/>
        </w:rPr>
      </w:pPr>
      <w:r w:rsidRPr="003002D3">
        <w:rPr>
          <w:rFonts w:ascii="Tahoma" w:eastAsia="Calibri" w:hAnsi="Tahoma" w:cs="Tahoma"/>
          <w:sz w:val="18"/>
          <w:szCs w:val="18"/>
          <w:lang w:val="de-DE"/>
        </w:rPr>
        <w:t>Lizenzen, die im Rahmen dieser Gewährung erworben werden, umfassen Software Assurance</w:t>
      </w:r>
      <w:r w:rsidR="006257A7">
        <w:rPr>
          <w:rFonts w:ascii="Tahoma" w:eastAsia="Calibri" w:hAnsi="Tahoma" w:cs="Tahoma"/>
          <w:sz w:val="18"/>
          <w:szCs w:val="18"/>
          <w:lang w:val="de-DE"/>
        </w:rPr>
        <w:t xml:space="preserve">. </w:t>
      </w:r>
      <w:r w:rsidRPr="003002D3">
        <w:rPr>
          <w:rFonts w:ascii="Tahoma" w:eastAsia="Calibri" w:hAnsi="Tahoma" w:cs="Tahoma"/>
          <w:sz w:val="18"/>
          <w:szCs w:val="18"/>
          <w:lang w:val="de-DE"/>
        </w:rPr>
        <w:t>Diese Software Assurance gilt bis zum Ablauf der Software Assurance für die Qualifizierenden Lizenzen</w:t>
      </w:r>
      <w:r w:rsidR="006257A7">
        <w:rPr>
          <w:rFonts w:ascii="Tahoma" w:eastAsia="Calibri" w:hAnsi="Tahoma" w:cs="Tahoma"/>
          <w:sz w:val="18"/>
          <w:szCs w:val="18"/>
          <w:lang w:val="de-DE"/>
        </w:rPr>
        <w:t xml:space="preserve">. </w:t>
      </w:r>
    </w:p>
    <w:p w:rsidR="00E73313" w:rsidRPr="003002D3" w:rsidRDefault="00E73313" w:rsidP="00E73313">
      <w:pPr>
        <w:pStyle w:val="ListParagraph"/>
        <w:numPr>
          <w:ilvl w:val="0"/>
          <w:numId w:val="56"/>
        </w:numPr>
        <w:tabs>
          <w:tab w:val="clear" w:pos="360"/>
          <w:tab w:val="num" w:pos="1440"/>
        </w:tabs>
        <w:spacing w:after="60"/>
        <w:ind w:left="1440"/>
        <w:contextualSpacing w:val="0"/>
        <w:rPr>
          <w:lang w:val="de-DE"/>
        </w:rPr>
      </w:pPr>
      <w:r w:rsidRPr="003002D3">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6257A7">
        <w:rPr>
          <w:rFonts w:ascii="Tahoma" w:eastAsia="Calibri" w:hAnsi="Tahoma" w:cs="Tahoma"/>
          <w:sz w:val="18"/>
          <w:szCs w:val="18"/>
          <w:lang w:val="de-DE"/>
        </w:rPr>
        <w:t xml:space="preserve">. </w:t>
      </w:r>
    </w:p>
    <w:p w:rsidR="00E73313" w:rsidRPr="003002D3" w:rsidRDefault="00E73313" w:rsidP="00E73313">
      <w:pPr>
        <w:numPr>
          <w:ilvl w:val="0"/>
          <w:numId w:val="56"/>
        </w:numPr>
        <w:tabs>
          <w:tab w:val="clear" w:pos="360"/>
          <w:tab w:val="num" w:pos="1440"/>
        </w:tabs>
        <w:spacing w:after="60"/>
        <w:ind w:left="1440"/>
        <w:rPr>
          <w:lang w:val="de-DE"/>
        </w:rPr>
      </w:pPr>
      <w:r w:rsidRPr="003002D3">
        <w:rPr>
          <w:rFonts w:eastAsia="Calibri" w:cs="Tahoma"/>
          <w:szCs w:val="18"/>
          <w:lang w:val="de-DE"/>
        </w:rPr>
        <w:t>Bei Upgrade auf Windows Server 2012 Datacenter unter dieser Gewährung sind die bestehenden Qualifizierenden Lizenzen für Windows Server 2008 R2 für Itanium-basierte Systeme des Kunden nicht mehr gültig</w:t>
      </w:r>
      <w:r w:rsidR="006257A7">
        <w:rPr>
          <w:rFonts w:eastAsia="Calibri" w:cs="Tahoma"/>
          <w:szCs w:val="18"/>
          <w:lang w:val="de-DE"/>
        </w:rPr>
        <w:t xml:space="preserve">. </w:t>
      </w:r>
    </w:p>
    <w:p w:rsidR="00E73313" w:rsidRPr="003002D3" w:rsidRDefault="00E73313" w:rsidP="00E73313">
      <w:pPr>
        <w:numPr>
          <w:ilvl w:val="0"/>
          <w:numId w:val="56"/>
        </w:numPr>
        <w:tabs>
          <w:tab w:val="clear" w:pos="360"/>
          <w:tab w:val="num" w:pos="1440"/>
        </w:tabs>
        <w:spacing w:after="60"/>
        <w:ind w:left="1440"/>
        <w:rPr>
          <w:lang w:val="de-DE"/>
        </w:rPr>
      </w:pPr>
      <w:r w:rsidRPr="003002D3">
        <w:rPr>
          <w:color w:val="000000"/>
          <w:lang w:val="de-DE"/>
        </w:rPr>
        <w:t xml:space="preserve">Lizenzen für Windows Server 2008 R2 für Itanium-basierte Systeme, </w:t>
      </w:r>
      <w:r w:rsidRPr="003002D3">
        <w:rPr>
          <w:rFonts w:cs="Tahoma"/>
          <w:bCs/>
          <w:color w:val="000000"/>
          <w:szCs w:val="18"/>
          <w:lang w:val="de-DE"/>
        </w:rPr>
        <w:t>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6257A7">
        <w:rPr>
          <w:rFonts w:cs="Tahoma"/>
          <w:bCs/>
          <w:color w:val="000000"/>
          <w:szCs w:val="18"/>
          <w:lang w:val="de-DE"/>
        </w:rPr>
        <w:t xml:space="preserve">. </w:t>
      </w:r>
    </w:p>
    <w:p w:rsidR="00E73313" w:rsidRPr="003002D3" w:rsidRDefault="00E73313" w:rsidP="00E73313">
      <w:pPr>
        <w:numPr>
          <w:ilvl w:val="0"/>
          <w:numId w:val="56"/>
        </w:numPr>
        <w:tabs>
          <w:tab w:val="clear" w:pos="360"/>
          <w:tab w:val="num" w:pos="1440"/>
        </w:tabs>
        <w:spacing w:after="60"/>
        <w:ind w:left="1440"/>
        <w:rPr>
          <w:lang w:val="de-DE"/>
        </w:rPr>
      </w:pPr>
      <w:r w:rsidRPr="003002D3">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r w:rsidR="006257A7">
        <w:rPr>
          <w:rFonts w:cs="Tahoma"/>
          <w:bCs/>
          <w:color w:val="000000"/>
          <w:szCs w:val="18"/>
          <w:lang w:val="de-DE"/>
        </w:rPr>
        <w:t xml:space="preserve">. </w:t>
      </w:r>
    </w:p>
    <w:p w:rsidR="00E73313" w:rsidRPr="003002D3" w:rsidRDefault="00E73313" w:rsidP="00E73313">
      <w:pPr>
        <w:rPr>
          <w:lang w:val="de-DE"/>
        </w:rPr>
      </w:pPr>
      <w:bookmarkStart w:id="1637" w:name="_117_Windows_Server"/>
      <w:bookmarkEnd w:id="1635"/>
      <w:bookmarkEnd w:id="1636"/>
      <w:bookmarkEnd w:id="1637"/>
    </w:p>
    <w:p w:rsidR="00E73313" w:rsidRDefault="00E73313" w:rsidP="00E73313">
      <w:pPr>
        <w:rPr>
          <w:lang w:val="de-DE"/>
        </w:rPr>
      </w:pPr>
    </w:p>
    <w:p w:rsidR="00E73313" w:rsidRPr="003002D3" w:rsidRDefault="00E73313" w:rsidP="00B27BD3">
      <w:pPr>
        <w:pStyle w:val="Heading3"/>
        <w:rPr>
          <w:lang w:val="de-DE"/>
        </w:rPr>
      </w:pPr>
      <w:bookmarkStart w:id="1638" w:name="_116_Windows_Server"/>
      <w:bookmarkStart w:id="1639" w:name="_111_Windows_Server"/>
      <w:bookmarkStart w:id="1640" w:name="_110_CAL_für"/>
      <w:bookmarkStart w:id="1641" w:name="_Toc336338372"/>
      <w:bookmarkStart w:id="1642" w:name="_Toc363999107"/>
      <w:bookmarkStart w:id="1643" w:name="Srv_101Win2008RemoteCALandExtConn"/>
      <w:bookmarkStart w:id="1644" w:name="Srv_115Win2008RemoteCALandExtConn"/>
      <w:bookmarkStart w:id="1645" w:name="Srv_119Win2008RemoteCALandExtConn"/>
      <w:bookmarkStart w:id="1646" w:name="Srv_101WindowsSvr2008RemoteDesktop"/>
      <w:bookmarkEnd w:id="1638"/>
      <w:bookmarkEnd w:id="1639"/>
      <w:bookmarkEnd w:id="1640"/>
      <w:r w:rsidRPr="003002D3">
        <w:rPr>
          <w:rStyle w:val="Heading3Char"/>
          <w:rFonts w:ascii="Tahoma" w:hAnsi="Tahoma"/>
          <w:b/>
          <w:caps/>
          <w:color w:val="F66400"/>
          <w:sz w:val="22"/>
          <w:vertAlign w:val="superscript"/>
          <w:lang w:val="de-DE"/>
        </w:rPr>
        <w:t>110</w:t>
      </w:r>
      <w:r w:rsidR="00B27BD3" w:rsidRPr="003002D3">
        <w:rPr>
          <w:rFonts w:ascii="Tahoma" w:hAnsi="Tahoma"/>
          <w:color w:val="F66400"/>
          <w:sz w:val="22"/>
          <w:lang w:val="de-DE"/>
        </w:rPr>
        <w:t xml:space="preserve"> </w:t>
      </w:r>
      <w:r w:rsidRPr="003002D3">
        <w:rPr>
          <w:rFonts w:ascii="Tahoma" w:hAnsi="Tahoma"/>
          <w:color w:val="F66400"/>
          <w:sz w:val="22"/>
          <w:lang w:val="de-DE"/>
        </w:rPr>
        <w:t>CAL für Windows Server 2012</w:t>
      </w:r>
      <w:bookmarkEnd w:id="1641"/>
      <w:bookmarkEnd w:id="1642"/>
    </w:p>
    <w:p w:rsidR="00E73313" w:rsidRPr="003002D3" w:rsidRDefault="00E73313" w:rsidP="00E73313">
      <w:pPr>
        <w:rPr>
          <w:lang w:val="de-DE"/>
        </w:rPr>
      </w:pPr>
    </w:p>
    <w:p w:rsidR="00E73313" w:rsidRPr="003002D3" w:rsidRDefault="00E73313" w:rsidP="00E73313">
      <w:pPr>
        <w:ind w:left="720"/>
        <w:rPr>
          <w:lang w:val="de-DE"/>
        </w:rPr>
      </w:pPr>
      <w:r w:rsidRPr="003002D3">
        <w:rPr>
          <w:rFonts w:cs="Tahoma"/>
          <w:szCs w:val="18"/>
          <w:lang w:val="de-DE"/>
        </w:rPr>
        <w:t>CAL für Windows Server 2012 ist die nächste Version von CAL für Windows Server 2008</w:t>
      </w:r>
      <w:r w:rsidR="006257A7">
        <w:rPr>
          <w:rFonts w:cs="Tahoma"/>
          <w:szCs w:val="18"/>
          <w:lang w:val="de-DE"/>
        </w:rPr>
        <w:t xml:space="preserve">. </w:t>
      </w:r>
    </w:p>
    <w:p w:rsidR="00E73313" w:rsidRPr="003002D3" w:rsidRDefault="00E73313" w:rsidP="00E73313">
      <w:pPr>
        <w:ind w:left="720"/>
        <w:rPr>
          <w:lang w:val="de-DE"/>
        </w:rPr>
      </w:pPr>
    </w:p>
    <w:p w:rsidR="00E73313" w:rsidRPr="003002D3" w:rsidRDefault="00E73313" w:rsidP="00E73313">
      <w:pPr>
        <w:spacing w:after="60"/>
        <w:ind w:left="720"/>
        <w:rPr>
          <w:lang w:val="de-DE"/>
        </w:rPr>
      </w:pPr>
      <w:r w:rsidRPr="003002D3">
        <w:rPr>
          <w:rFonts w:eastAsia="Calibri" w:cs="Tahoma"/>
          <w:b/>
          <w:szCs w:val="18"/>
          <w:lang w:val="de-DE"/>
        </w:rPr>
        <w:t>Verwendung von Windows Server 2012 als Webserver</w:t>
      </w:r>
    </w:p>
    <w:p w:rsidR="00E73313" w:rsidRPr="003002D3" w:rsidRDefault="00E73313" w:rsidP="00E73313">
      <w:pPr>
        <w:ind w:left="720"/>
        <w:rPr>
          <w:lang w:val="de-DE"/>
        </w:rPr>
      </w:pPr>
      <w:r w:rsidRPr="003002D3">
        <w:rPr>
          <w:rFonts w:cs="Tahoma"/>
          <w:color w:val="000000"/>
          <w:szCs w:val="18"/>
          <w:lang w:val="de-DE"/>
        </w:rPr>
        <w:t>Wenn Windows Server 2012 Standard oder Datacenter als Webserver verwendet wird, benötigen Sie keine CALs für den Zugriff auf die Software</w:t>
      </w:r>
      <w:r w:rsidR="006257A7">
        <w:rPr>
          <w:rFonts w:cs="Tahoma"/>
          <w:color w:val="000000"/>
          <w:szCs w:val="18"/>
          <w:lang w:val="de-DE"/>
        </w:rPr>
        <w:t xml:space="preserve">. </w:t>
      </w:r>
      <w:r w:rsidRPr="003002D3">
        <w:rPr>
          <w:rFonts w:cs="Tahoma"/>
          <w:color w:val="000000"/>
          <w:szCs w:val="18"/>
          <w:lang w:val="de-DE"/>
        </w:rPr>
        <w:t>Eine „Web Workload“ bedeutet Folgendes:</w:t>
      </w:r>
    </w:p>
    <w:p w:rsidR="00E73313" w:rsidRDefault="00E73313" w:rsidP="00E73313">
      <w:pPr>
        <w:pStyle w:val="PURBody-Indented"/>
        <w:spacing w:after="0"/>
        <w:ind w:left="720"/>
        <w:rPr>
          <w:lang w:val="de-DE"/>
        </w:rPr>
      </w:pPr>
    </w:p>
    <w:p w:rsidR="00B27BD3" w:rsidRPr="003002D3" w:rsidRDefault="00B27BD3" w:rsidP="00E73313">
      <w:pPr>
        <w:pStyle w:val="PURBody-Indented"/>
        <w:spacing w:after="0"/>
        <w:ind w:left="720"/>
        <w:rPr>
          <w:lang w:val="de-DE"/>
        </w:rPr>
      </w:pPr>
    </w:p>
    <w:p w:rsidR="00E73313" w:rsidRPr="003002D3" w:rsidRDefault="00E73313" w:rsidP="00E73313">
      <w:pPr>
        <w:pStyle w:val="PURBody-Indented"/>
        <w:spacing w:after="60"/>
        <w:ind w:left="720"/>
        <w:rPr>
          <w:lang w:val="de-DE"/>
        </w:rPr>
      </w:pPr>
      <w:r w:rsidRPr="003002D3">
        <w:rPr>
          <w:rFonts w:ascii="Tahoma" w:hAnsi="Tahoma" w:cs="Tahoma"/>
          <w:b/>
          <w:bCs/>
          <w:sz w:val="18"/>
          <w:szCs w:val="18"/>
          <w:lang w:val="de-DE"/>
        </w:rPr>
        <w:t>Web Workload</w:t>
      </w:r>
      <w:r w:rsidRPr="003002D3">
        <w:rPr>
          <w:rFonts w:ascii="Tahoma" w:hAnsi="Tahoma" w:cs="Tahoma"/>
          <w:b/>
          <w:sz w:val="18"/>
          <w:szCs w:val="18"/>
          <w:lang w:val="de-DE"/>
        </w:rPr>
        <w:t xml:space="preserve"> (Internet-Weblösungen)</w:t>
      </w:r>
    </w:p>
    <w:p w:rsidR="00E73313" w:rsidRPr="003002D3" w:rsidRDefault="00E73313" w:rsidP="00E73313">
      <w:pPr>
        <w:pStyle w:val="PURBody-Indented"/>
        <w:spacing w:after="0"/>
        <w:ind w:left="720"/>
        <w:rPr>
          <w:lang w:val="de-DE"/>
        </w:rPr>
      </w:pPr>
      <w:r w:rsidRPr="003002D3">
        <w:rPr>
          <w:rFonts w:ascii="Tahoma" w:hAnsi="Tahoma" w:cs="Tahoma"/>
          <w:sz w:val="18"/>
          <w:szCs w:val="18"/>
          <w:lang w:val="de-DE"/>
        </w:rPr>
        <w:t>„Internet-Weblösungen“ sind öffentlich zugänglich und bestehen ausschließlich aus Webseiten, Websites, Webanwendungen, Webdiensten und/oder POP3-Mailservern</w:t>
      </w:r>
      <w:r w:rsidR="006257A7">
        <w:rPr>
          <w:rFonts w:ascii="Tahoma" w:hAnsi="Tahoma" w:cs="Tahoma"/>
          <w:sz w:val="18"/>
          <w:szCs w:val="18"/>
          <w:lang w:val="de-DE"/>
        </w:rPr>
        <w:t xml:space="preserve">. </w:t>
      </w:r>
      <w:r w:rsidRPr="003002D3">
        <w:rPr>
          <w:rFonts w:ascii="Tahoma" w:hAnsi="Tahoma" w:cs="Tahoma"/>
          <w:sz w:val="18"/>
          <w:szCs w:val="18"/>
          <w:lang w:val="de-DE"/>
        </w:rPr>
        <w:t>Aus Gründen der Deutlichkeit sei gesagt, dass der Zugriff auf Inhalte, Informationen und Anwendungen, die durch die Software innerhalb einer Internet-Weblösung bereitgestellt werden, nicht auf Ihre Mitarbeiter oder die Mitarbeiter Ihrer verbundenen Unternehmen beschränkt ist</w:t>
      </w:r>
      <w:r w:rsidR="006257A7">
        <w:rPr>
          <w:rFonts w:ascii="Tahoma" w:hAnsi="Tahoma" w:cs="Tahoma"/>
          <w:sz w:val="18"/>
          <w:szCs w:val="18"/>
          <w:lang w:val="de-DE"/>
        </w:rPr>
        <w:t xml:space="preserve">. </w:t>
      </w:r>
    </w:p>
    <w:p w:rsidR="00CF04E6" w:rsidRPr="003002D3" w:rsidRDefault="00CF04E6" w:rsidP="00E73313">
      <w:pPr>
        <w:pStyle w:val="PURBody-Indented"/>
        <w:spacing w:after="0"/>
        <w:ind w:firstLine="450"/>
        <w:rPr>
          <w:lang w:val="de-DE"/>
        </w:rPr>
      </w:pPr>
    </w:p>
    <w:p w:rsidR="00E73313" w:rsidRPr="003002D3" w:rsidRDefault="00E73313" w:rsidP="00E73313">
      <w:pPr>
        <w:pStyle w:val="PURBody-Indented"/>
        <w:spacing w:after="0"/>
        <w:ind w:firstLine="450"/>
        <w:rPr>
          <w:lang w:val="de-DE"/>
        </w:rPr>
      </w:pPr>
      <w:r w:rsidRPr="003002D3">
        <w:rPr>
          <w:rFonts w:ascii="Tahoma" w:hAnsi="Tahoma" w:cs="Tahoma"/>
          <w:sz w:val="18"/>
          <w:szCs w:val="18"/>
          <w:lang w:val="de-DE"/>
        </w:rPr>
        <w:t>Sie dürfen die Software in „Internet-Weblösungen“ zur Ausführung von Folgendem verwenden:</w:t>
      </w:r>
    </w:p>
    <w:p w:rsidR="00E73313" w:rsidRPr="003002D3" w:rsidRDefault="00E73313" w:rsidP="00E73313">
      <w:pPr>
        <w:pStyle w:val="PURBody-Indented"/>
        <w:spacing w:after="0"/>
        <w:ind w:firstLine="450"/>
        <w:rPr>
          <w:lang w:val="de-DE"/>
        </w:rPr>
      </w:pPr>
    </w:p>
    <w:p w:rsidR="00E73313" w:rsidRPr="003002D3" w:rsidRDefault="00E73313" w:rsidP="00E73313">
      <w:pPr>
        <w:pStyle w:val="PURBullet-Indented"/>
        <w:numPr>
          <w:ilvl w:val="0"/>
          <w:numId w:val="122"/>
        </w:numPr>
        <w:spacing w:after="60" w:line="240" w:lineRule="auto"/>
        <w:ind w:left="1440" w:hanging="360"/>
        <w:contextualSpacing w:val="0"/>
        <w:rPr>
          <w:lang w:val="de-DE"/>
        </w:rPr>
      </w:pPr>
      <w:r w:rsidRPr="003002D3">
        <w:rPr>
          <w:rFonts w:ascii="Tahoma" w:hAnsi="Tahoma" w:cs="Tahoma"/>
          <w:sz w:val="18"/>
          <w:szCs w:val="18"/>
          <w:lang w:val="de-DE"/>
        </w:rPr>
        <w:t>Webserver-Software (z</w:t>
      </w:r>
      <w:r w:rsidR="006257A7">
        <w:rPr>
          <w:rFonts w:ascii="Tahoma" w:hAnsi="Tahoma" w:cs="Tahoma"/>
          <w:sz w:val="18"/>
          <w:szCs w:val="18"/>
          <w:lang w:val="de-DE"/>
        </w:rPr>
        <w:t xml:space="preserve">. </w:t>
      </w:r>
      <w:r w:rsidRPr="003002D3">
        <w:rPr>
          <w:rFonts w:ascii="Tahoma" w:hAnsi="Tahoma" w:cs="Tahoma"/>
          <w:sz w:val="18"/>
          <w:szCs w:val="18"/>
          <w:lang w:val="de-DE"/>
        </w:rPr>
        <w:t>B</w:t>
      </w:r>
      <w:r w:rsidR="006257A7">
        <w:rPr>
          <w:rFonts w:ascii="Tahoma" w:hAnsi="Tahoma" w:cs="Tahoma"/>
          <w:sz w:val="18"/>
          <w:szCs w:val="18"/>
          <w:lang w:val="de-DE"/>
        </w:rPr>
        <w:t xml:space="preserve">. </w:t>
      </w:r>
      <w:r w:rsidRPr="003002D3">
        <w:rPr>
          <w:rFonts w:ascii="Tahoma" w:hAnsi="Tahoma" w:cs="Tahoma"/>
          <w:sz w:val="18"/>
          <w:szCs w:val="18"/>
          <w:lang w:val="de-DE"/>
        </w:rPr>
        <w:t>Microsoft-Internetinformationsdienste) und Management oder Security Agents (z</w:t>
      </w:r>
      <w:r w:rsidR="006257A7">
        <w:rPr>
          <w:rFonts w:ascii="Tahoma" w:hAnsi="Tahoma" w:cs="Tahoma"/>
          <w:sz w:val="18"/>
          <w:szCs w:val="18"/>
          <w:lang w:val="de-DE"/>
        </w:rPr>
        <w:t xml:space="preserve">. </w:t>
      </w:r>
      <w:r w:rsidRPr="003002D3">
        <w:rPr>
          <w:rFonts w:ascii="Tahoma" w:hAnsi="Tahoma" w:cs="Tahoma"/>
          <w:sz w:val="18"/>
          <w:szCs w:val="18"/>
          <w:lang w:val="de-DE"/>
        </w:rPr>
        <w:t>B</w:t>
      </w:r>
      <w:r w:rsidR="006257A7">
        <w:rPr>
          <w:rFonts w:ascii="Tahoma" w:hAnsi="Tahoma" w:cs="Tahoma"/>
          <w:sz w:val="18"/>
          <w:szCs w:val="18"/>
          <w:lang w:val="de-DE"/>
        </w:rPr>
        <w:t xml:space="preserve">. </w:t>
      </w:r>
      <w:r w:rsidRPr="003002D3">
        <w:rPr>
          <w:rFonts w:ascii="Tahoma" w:hAnsi="Tahoma" w:cs="Tahoma"/>
          <w:sz w:val="18"/>
          <w:szCs w:val="18"/>
          <w:lang w:val="de-DE"/>
        </w:rPr>
        <w:t>den System Center Operations Manager-Agent)</w:t>
      </w:r>
    </w:p>
    <w:p w:rsidR="00E73313" w:rsidRPr="003002D3" w:rsidRDefault="00E73313" w:rsidP="00E73313">
      <w:pPr>
        <w:pStyle w:val="PURBullet-Indented"/>
        <w:numPr>
          <w:ilvl w:val="0"/>
          <w:numId w:val="122"/>
        </w:numPr>
        <w:spacing w:after="60" w:line="240" w:lineRule="auto"/>
        <w:ind w:left="1440" w:hanging="360"/>
        <w:contextualSpacing w:val="0"/>
        <w:rPr>
          <w:lang w:val="de-DE"/>
        </w:rPr>
      </w:pPr>
      <w:r w:rsidRPr="003002D3">
        <w:rPr>
          <w:rFonts w:ascii="Tahoma" w:hAnsi="Tahoma" w:cs="Tahoma"/>
          <w:sz w:val="18"/>
          <w:szCs w:val="18"/>
          <w:lang w:val="de-DE"/>
        </w:rPr>
        <w:t>Datenbankmodulsoftware (z</w:t>
      </w:r>
      <w:r w:rsidR="006257A7">
        <w:rPr>
          <w:rFonts w:ascii="Tahoma" w:hAnsi="Tahoma" w:cs="Tahoma"/>
          <w:sz w:val="18"/>
          <w:szCs w:val="18"/>
          <w:lang w:val="de-DE"/>
        </w:rPr>
        <w:t xml:space="preserve">. </w:t>
      </w:r>
      <w:r w:rsidRPr="003002D3">
        <w:rPr>
          <w:rFonts w:ascii="Tahoma" w:hAnsi="Tahoma" w:cs="Tahoma"/>
          <w:sz w:val="18"/>
          <w:szCs w:val="18"/>
          <w:lang w:val="de-DE"/>
        </w:rPr>
        <w:t>B</w:t>
      </w:r>
      <w:r w:rsidR="006257A7">
        <w:rPr>
          <w:rFonts w:ascii="Tahoma" w:hAnsi="Tahoma" w:cs="Tahoma"/>
          <w:sz w:val="18"/>
          <w:szCs w:val="18"/>
          <w:lang w:val="de-DE"/>
        </w:rPr>
        <w:t xml:space="preserve">. </w:t>
      </w:r>
      <w:r w:rsidRPr="003002D3">
        <w:rPr>
          <w:rFonts w:ascii="Tahoma" w:hAnsi="Tahoma" w:cs="Tahoma"/>
          <w:sz w:val="18"/>
          <w:szCs w:val="18"/>
          <w:lang w:val="de-DE"/>
        </w:rPr>
        <w:t xml:space="preserve">Microsoft SQL Server) ausschließlich zur Unterstützung von Internet-Weblösungen </w:t>
      </w:r>
    </w:p>
    <w:p w:rsidR="00E73313" w:rsidRPr="003002D3" w:rsidRDefault="00B27BD3" w:rsidP="00E73313">
      <w:pPr>
        <w:pStyle w:val="PURBullet-Indented"/>
        <w:numPr>
          <w:ilvl w:val="0"/>
          <w:numId w:val="122"/>
        </w:numPr>
        <w:spacing w:after="60" w:line="240" w:lineRule="auto"/>
        <w:ind w:left="1440" w:hanging="360"/>
        <w:contextualSpacing w:val="0"/>
        <w:rPr>
          <w:lang w:val="de-DE"/>
        </w:rPr>
      </w:pPr>
      <w:r>
        <w:rPr>
          <w:rFonts w:ascii="Tahoma" w:hAnsi="Tahoma" w:cs="Tahoma"/>
          <w:sz w:val="18"/>
          <w:szCs w:val="18"/>
          <w:lang w:val="de-DE"/>
        </w:rPr>
        <w:t>D</w:t>
      </w:r>
      <w:r w:rsidR="00E73313" w:rsidRPr="003002D3">
        <w:rPr>
          <w:rFonts w:ascii="Tahoma" w:hAnsi="Tahoma" w:cs="Tahoma"/>
          <w:sz w:val="18"/>
          <w:szCs w:val="18"/>
          <w:lang w:val="de-DE"/>
        </w:rPr>
        <w:t>er Domain Name System (DNS)-Dienst zur Auflösung von Internetnamen in IP-Adressen, sofern es sich hierbei nicht um die einzige Funktion dieser Instanz der Software handelt</w:t>
      </w:r>
      <w:r w:rsidR="006257A7">
        <w:rPr>
          <w:rFonts w:ascii="Tahoma" w:hAnsi="Tahoma" w:cs="Tahoma"/>
          <w:sz w:val="18"/>
          <w:szCs w:val="18"/>
          <w:lang w:val="de-DE"/>
        </w:rPr>
        <w:t xml:space="preserve">. </w:t>
      </w:r>
    </w:p>
    <w:p w:rsidR="00E73313" w:rsidRPr="003002D3" w:rsidRDefault="00E73313" w:rsidP="00E73313">
      <w:pPr>
        <w:rPr>
          <w:lang w:val="de-DE"/>
        </w:rPr>
      </w:pPr>
    </w:p>
    <w:p w:rsidR="00E73313" w:rsidRPr="003002D3" w:rsidRDefault="00E73313" w:rsidP="00E73313">
      <w:pPr>
        <w:spacing w:after="60"/>
        <w:ind w:left="720"/>
        <w:rPr>
          <w:lang w:val="de-DE"/>
        </w:rPr>
      </w:pPr>
      <w:r w:rsidRPr="003002D3">
        <w:rPr>
          <w:rFonts w:eastAsia="Calibri" w:cs="Tahoma"/>
          <w:b/>
          <w:szCs w:val="18"/>
          <w:lang w:val="de-DE"/>
        </w:rPr>
        <w:t>Verwenden von Windows Server 2012 für High Performance Computing (HPC)</w:t>
      </w:r>
    </w:p>
    <w:p w:rsidR="00E73313" w:rsidRDefault="00E73313" w:rsidP="00E73313">
      <w:pPr>
        <w:ind w:left="720"/>
        <w:rPr>
          <w:color w:val="000000"/>
          <w:lang w:val="de-DE"/>
        </w:rPr>
      </w:pPr>
      <w:r w:rsidRPr="003002D3">
        <w:rPr>
          <w:color w:val="000000"/>
          <w:lang w:val="de-DE"/>
        </w:rPr>
        <w:t>Wenn Windows Server 2012 Standard oder Datacenter für High Performance Computing verwendet wird, benötigen Sie keine CALs für den Zugriff auf die Software</w:t>
      </w:r>
      <w:r w:rsidR="006257A7">
        <w:rPr>
          <w:color w:val="000000"/>
          <w:lang w:val="de-DE"/>
        </w:rPr>
        <w:t xml:space="preserve">. </w:t>
      </w:r>
      <w:r w:rsidRPr="003002D3">
        <w:rPr>
          <w:color w:val="000000"/>
          <w:lang w:val="de-DE"/>
        </w:rPr>
        <w:t>Eine „High Performance Computing (“HPC”) Workload“ ist eine Workload, bei der die Server</w:t>
      </w:r>
      <w:r w:rsidR="00CF04E6">
        <w:rPr>
          <w:color w:val="000000"/>
          <w:lang w:val="de-DE"/>
        </w:rPr>
        <w:t xml:space="preserve"> </w:t>
      </w:r>
      <w:r w:rsidRPr="003002D3">
        <w:rPr>
          <w:color w:val="000000"/>
          <w:lang w:val="de-DE"/>
        </w:rPr>
        <w:t>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w:t>
      </w:r>
      <w:r w:rsidR="006257A7">
        <w:rPr>
          <w:color w:val="000000"/>
          <w:lang w:val="de-DE"/>
        </w:rPr>
        <w:t xml:space="preserve">. </w:t>
      </w:r>
      <w:r w:rsidRPr="003002D3">
        <w:rPr>
          <w:color w:val="000000"/>
          <w:lang w:val="de-DE"/>
        </w:rPr>
        <w:t>Zusätzliche Informationen finden Sie in den Produktbenutzungsrechten</w:t>
      </w:r>
      <w:r w:rsidR="006257A7">
        <w:rPr>
          <w:color w:val="000000"/>
          <w:lang w:val="de-DE"/>
        </w:rPr>
        <w:t xml:space="preserve">. </w:t>
      </w:r>
      <w:bookmarkEnd w:id="1643"/>
      <w:bookmarkEnd w:id="1644"/>
      <w:bookmarkEnd w:id="1645"/>
    </w:p>
    <w:p w:rsidR="00DD788F" w:rsidRDefault="00DD788F" w:rsidP="00E73313">
      <w:pPr>
        <w:ind w:left="720"/>
        <w:rPr>
          <w:color w:val="000000"/>
          <w:lang w:val="de-DE"/>
        </w:rPr>
      </w:pPr>
    </w:p>
    <w:p w:rsidR="00DD788F" w:rsidRDefault="00DD788F" w:rsidP="00E73313">
      <w:pPr>
        <w:ind w:left="720"/>
        <w:rPr>
          <w:color w:val="000000"/>
          <w:lang w:val="de-DE"/>
        </w:rPr>
      </w:pPr>
    </w:p>
    <w:p w:rsidR="00E73313" w:rsidRPr="003002D3" w:rsidRDefault="00E73313" w:rsidP="00E73313">
      <w:pPr>
        <w:pStyle w:val="Heading3"/>
        <w:ind w:left="360" w:hanging="360"/>
        <w:rPr>
          <w:lang w:val="de-DE"/>
        </w:rPr>
      </w:pPr>
      <w:bookmarkStart w:id="1647" w:name="_114_Windows_Server"/>
      <w:bookmarkStart w:id="1648" w:name="_112_Windows_Server"/>
      <w:bookmarkStart w:id="1649" w:name="_Toc336338373"/>
      <w:bookmarkStart w:id="1650" w:name="_Toc363999108"/>
      <w:bookmarkStart w:id="1651" w:name="Srv_111WinSvr08R2Datacenter"/>
      <w:bookmarkStart w:id="1652" w:name="Srv_115WinSvr08R2Datacenter"/>
      <w:bookmarkEnd w:id="1647"/>
      <w:bookmarkEnd w:id="1648"/>
      <w:r w:rsidRPr="003002D3">
        <w:rPr>
          <w:rFonts w:ascii="Tahoma" w:hAnsi="Tahoma"/>
          <w:caps/>
          <w:color w:val="F66400"/>
          <w:sz w:val="22"/>
          <w:vertAlign w:val="superscript"/>
          <w:lang w:val="de-DE"/>
        </w:rPr>
        <w:t>111</w:t>
      </w:r>
      <w:r w:rsidRPr="006732D8">
        <w:rPr>
          <w:rFonts w:ascii="Tahoma" w:hAnsi="Tahoma"/>
          <w:caps/>
          <w:color w:val="F66400"/>
          <w:sz w:val="22"/>
          <w:lang w:val="de-DE"/>
        </w:rPr>
        <w:t xml:space="preserve"> </w:t>
      </w:r>
      <w:r w:rsidRPr="003002D3">
        <w:rPr>
          <w:rFonts w:ascii="Tahoma" w:hAnsi="Tahoma"/>
          <w:color w:val="F66400"/>
          <w:sz w:val="22"/>
          <w:lang w:val="de-DE"/>
        </w:rPr>
        <w:t>Windows Server 2008 R2 Datacenter</w:t>
      </w:r>
      <w:bookmarkEnd w:id="1649"/>
      <w:bookmarkEnd w:id="1650"/>
      <w:r w:rsidRPr="003002D3">
        <w:rPr>
          <w:rFonts w:ascii="Tahoma" w:hAnsi="Tahoma"/>
          <w:color w:val="F66400"/>
          <w:sz w:val="22"/>
          <w:lang w:val="de-DE"/>
        </w:rPr>
        <w:t xml:space="preserve"> </w:t>
      </w:r>
    </w:p>
    <w:bookmarkEnd w:id="1651"/>
    <w:bookmarkEnd w:id="1652"/>
    <w:p w:rsidR="00E73313" w:rsidRPr="003002D3" w:rsidRDefault="00E73313" w:rsidP="00E73313">
      <w:pPr>
        <w:ind w:left="900"/>
        <w:rPr>
          <w:lang w:val="de-DE"/>
        </w:rPr>
      </w:pPr>
    </w:p>
    <w:p w:rsidR="00E73313" w:rsidRPr="003002D3" w:rsidRDefault="00E73313" w:rsidP="00E73313">
      <w:pPr>
        <w:spacing w:after="60"/>
        <w:ind w:left="720"/>
        <w:rPr>
          <w:lang w:val="de-DE"/>
        </w:rPr>
      </w:pPr>
      <w:r w:rsidRPr="003002D3">
        <w:rPr>
          <w:b/>
          <w:color w:val="000000"/>
          <w:lang w:val="de-DE"/>
        </w:rPr>
        <w:t>Lizenzgewährungen im Zusammenhang mit der Änderung des Lizenzmodells für Windows Server Datacenter</w:t>
      </w:r>
    </w:p>
    <w:p w:rsidR="00E73313" w:rsidRDefault="00E73313" w:rsidP="00E73313">
      <w:pPr>
        <w:spacing w:after="200"/>
        <w:ind w:left="720"/>
        <w:rPr>
          <w:rFonts w:eastAsia="Calibri" w:cs="Tahoma"/>
          <w:szCs w:val="18"/>
          <w:lang w:val="de-DE"/>
        </w:rPr>
      </w:pPr>
      <w:r w:rsidRPr="003002D3">
        <w:rPr>
          <w:color w:val="000000"/>
          <w:lang w:val="de-DE"/>
        </w:rPr>
        <w:t>Windows Server 2012 Datacenter wird unter einem neuen Lizenzmodell lizenziert, unter dem jede Lizenz bis zu zwei physische Prozessoren abdecken kann</w:t>
      </w:r>
      <w:r w:rsidR="006257A7">
        <w:rPr>
          <w:color w:val="000000"/>
          <w:lang w:val="de-DE"/>
        </w:rPr>
        <w:t xml:space="preserve">. </w:t>
      </w:r>
      <w:r w:rsidRPr="003002D3">
        <w:rPr>
          <w:color w:val="000000"/>
          <w:lang w:val="de-DE"/>
        </w:rPr>
        <w:t>Volumenlizenzkunden, die am 1</w:t>
      </w:r>
      <w:r w:rsidR="006257A7">
        <w:rPr>
          <w:color w:val="000000"/>
          <w:lang w:val="de-DE"/>
        </w:rPr>
        <w:t xml:space="preserve">. </w:t>
      </w:r>
      <w:r w:rsidRPr="003002D3">
        <w:rPr>
          <w:color w:val="000000"/>
          <w:lang w:val="de-DE"/>
        </w:rPr>
        <w:t>September 2012 oder am Datum der ersten Verfügbarkeit von Windows Server 2012 zum Download im Volume Licensing Service Center, wobei das frühere Datum maßgeblich ist, über aktive Software Assurance für Windows Server 2008 R2 Datacenter-Lizenzen verfügen, („Qualifizierende Lizenzen“) sind berechtigt,</w:t>
      </w:r>
      <w:r w:rsidRPr="003002D3">
        <w:rPr>
          <w:rFonts w:eastAsia="Calibri" w:cs="Tahoma"/>
          <w:szCs w:val="18"/>
          <w:lang w:val="de-DE"/>
        </w:rPr>
        <w:t xml:space="preserve"> auf die Software Windows Server 2012 Datacenter upzugraden und sie anstelle von Windows Server 2008 R2 Datacenter zu verwenden</w:t>
      </w:r>
      <w:r w:rsidR="006257A7">
        <w:rPr>
          <w:rFonts w:eastAsia="Calibri" w:cs="Tahoma"/>
          <w:szCs w:val="18"/>
          <w:lang w:val="de-DE"/>
        </w:rPr>
        <w:t xml:space="preserve">. </w:t>
      </w:r>
      <w:r w:rsidRPr="003002D3">
        <w:rPr>
          <w:rFonts w:eastAsia="Calibri" w:cs="Tahoma"/>
          <w:szCs w:val="18"/>
          <w:lang w:val="de-DE"/>
        </w:rPr>
        <w:t>Um dieses Upgrade zu erleichtern, wird angenommen, dass dem Kunden bei Verfügbarkeit von Windows Server 2012 für jeweils zwei Qualifizierende Lizenzen, die der Kunde besitzt, eine Windows Server 2012 Datacenter-Prozessorlizenz gewährt wird</w:t>
      </w:r>
      <w:r w:rsidR="006257A7">
        <w:rPr>
          <w:rFonts w:eastAsia="Calibri" w:cs="Tahoma"/>
          <w:szCs w:val="18"/>
          <w:lang w:val="de-DE"/>
        </w:rPr>
        <w:t xml:space="preserve">. </w:t>
      </w:r>
    </w:p>
    <w:p w:rsidR="00E73313" w:rsidRPr="003002D3" w:rsidRDefault="00E73313" w:rsidP="00E73313">
      <w:pPr>
        <w:numPr>
          <w:ilvl w:val="0"/>
          <w:numId w:val="52"/>
        </w:numPr>
        <w:spacing w:afterLines="60" w:after="144"/>
        <w:ind w:left="1440" w:hanging="274"/>
        <w:rPr>
          <w:lang w:val="de-DE"/>
        </w:rPr>
      </w:pPr>
      <w:r w:rsidRPr="003002D3">
        <w:rPr>
          <w:color w:val="000000"/>
          <w:lang w:val="de-DE"/>
        </w:rPr>
        <w:t>Wenn ein Kunde über eine ungerade Anzahl von Qualifizierenden Lizenzen verfügt, muss der Kunde auf die nächste gerade Zahl abrunden, um festzustellen, wie viele Lizenzen ihm gewährt werden</w:t>
      </w:r>
      <w:r w:rsidR="006257A7">
        <w:rPr>
          <w:color w:val="000000"/>
          <w:lang w:val="de-DE"/>
        </w:rPr>
        <w:t xml:space="preserve">. </w:t>
      </w:r>
      <w:r w:rsidRPr="003002D3">
        <w:rPr>
          <w:color w:val="000000"/>
          <w:lang w:val="de-DE"/>
        </w:rPr>
        <w:t>Beispiel: Einem Kunden, der über drei Qualifizierende Lizenzen verfügt, wird insgesamt eine Windows Server 2012 Datacenter-Lizenz gewährt</w:t>
      </w:r>
      <w:r w:rsidR="006257A7">
        <w:rPr>
          <w:color w:val="000000"/>
          <w:lang w:val="de-DE"/>
        </w:rPr>
        <w:t xml:space="preserve">. </w:t>
      </w:r>
    </w:p>
    <w:p w:rsidR="00E73313" w:rsidRPr="003002D3" w:rsidRDefault="00E73313" w:rsidP="00E73313">
      <w:pPr>
        <w:numPr>
          <w:ilvl w:val="0"/>
          <w:numId w:val="52"/>
        </w:numPr>
        <w:tabs>
          <w:tab w:val="left" w:pos="990"/>
        </w:tabs>
        <w:spacing w:afterLines="60" w:after="144"/>
        <w:ind w:left="1440" w:hanging="274"/>
        <w:rPr>
          <w:lang w:val="de-DE"/>
        </w:rPr>
      </w:pPr>
      <w:r w:rsidRPr="003002D3">
        <w:rPr>
          <w:rFonts w:eastAsia="Calibri" w:cs="Tahoma"/>
          <w:szCs w:val="18"/>
          <w:lang w:val="de-DE"/>
        </w:rPr>
        <w:t>Lizenzen, die im Rahmen dieser Gewährung erworben werden, umfassen Software Assurance</w:t>
      </w:r>
      <w:r w:rsidR="006257A7">
        <w:rPr>
          <w:rFonts w:eastAsia="Calibri" w:cs="Tahoma"/>
          <w:szCs w:val="18"/>
          <w:lang w:val="de-DE"/>
        </w:rPr>
        <w:t xml:space="preserve">. </w:t>
      </w:r>
      <w:r w:rsidRPr="003002D3">
        <w:rPr>
          <w:rFonts w:eastAsia="Calibri" w:cs="Tahoma"/>
          <w:szCs w:val="18"/>
          <w:lang w:val="de-DE"/>
        </w:rPr>
        <w:t>Diese Software Assurance gilt bis zum Ablauf der Software Assurance für die Qualifizierenden Lizenzen</w:t>
      </w:r>
      <w:r w:rsidR="006257A7">
        <w:rPr>
          <w:rFonts w:eastAsia="Calibri" w:cs="Tahoma"/>
          <w:szCs w:val="18"/>
          <w:lang w:val="de-DE"/>
        </w:rPr>
        <w:t xml:space="preserve">. </w:t>
      </w:r>
    </w:p>
    <w:p w:rsidR="00E73313" w:rsidRPr="003002D3" w:rsidRDefault="00E73313" w:rsidP="00E73313">
      <w:pPr>
        <w:numPr>
          <w:ilvl w:val="0"/>
          <w:numId w:val="52"/>
        </w:numPr>
        <w:tabs>
          <w:tab w:val="left" w:pos="990"/>
        </w:tabs>
        <w:spacing w:afterLines="60" w:after="144"/>
        <w:ind w:left="1440" w:hanging="274"/>
        <w:rPr>
          <w:lang w:val="de-DE"/>
        </w:rPr>
      </w:pPr>
      <w:r w:rsidRPr="003002D3">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6257A7">
        <w:rPr>
          <w:rFonts w:eastAsia="Calibri" w:cs="Tahoma"/>
          <w:szCs w:val="18"/>
          <w:lang w:val="de-DE"/>
        </w:rPr>
        <w:t xml:space="preserve">. </w:t>
      </w:r>
    </w:p>
    <w:p w:rsidR="00E73313" w:rsidRPr="003002D3" w:rsidRDefault="00E73313" w:rsidP="00E73313">
      <w:pPr>
        <w:numPr>
          <w:ilvl w:val="0"/>
          <w:numId w:val="56"/>
        </w:numPr>
        <w:spacing w:afterLines="60" w:after="144"/>
        <w:ind w:left="1440" w:hanging="274"/>
        <w:rPr>
          <w:lang w:val="de-DE"/>
        </w:rPr>
      </w:pPr>
      <w:r w:rsidRPr="003002D3">
        <w:rPr>
          <w:rFonts w:eastAsia="Calibri" w:cs="Tahoma"/>
          <w:szCs w:val="18"/>
          <w:lang w:val="de-DE"/>
        </w:rPr>
        <w:t>Bei Upgrade auf Windows Server 2012 Datacenter unter dieser Gewährung sind die bestehenden Qualifizierenden Lizenzen für Windows Server 2008 R2 Datacenter des Kunden nicht mehr gültig</w:t>
      </w:r>
      <w:r w:rsidR="006257A7">
        <w:rPr>
          <w:rFonts w:eastAsia="Calibri" w:cs="Tahoma"/>
          <w:szCs w:val="18"/>
          <w:lang w:val="de-DE"/>
        </w:rPr>
        <w:t xml:space="preserve">. </w:t>
      </w:r>
    </w:p>
    <w:p w:rsidR="00E73313" w:rsidRPr="00CF04E6" w:rsidRDefault="00E73313" w:rsidP="00E73313">
      <w:pPr>
        <w:numPr>
          <w:ilvl w:val="0"/>
          <w:numId w:val="56"/>
        </w:numPr>
        <w:spacing w:afterLines="60" w:after="144"/>
        <w:ind w:left="1440" w:hanging="274"/>
        <w:rPr>
          <w:lang w:val="de-DE"/>
        </w:rPr>
      </w:pPr>
      <w:r w:rsidRPr="003002D3">
        <w:rPr>
          <w:color w:val="000000"/>
          <w:lang w:val="de-DE"/>
        </w:rPr>
        <w:t>Windows Server 2008 R2 Datacenter-</w:t>
      </w:r>
      <w:r w:rsidRPr="003002D3">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6257A7">
        <w:rPr>
          <w:rFonts w:cs="Tahoma"/>
          <w:bCs/>
          <w:color w:val="000000"/>
          <w:szCs w:val="18"/>
          <w:lang w:val="de-DE"/>
        </w:rPr>
        <w:t xml:space="preserve">. </w:t>
      </w:r>
    </w:p>
    <w:p w:rsidR="00E73313" w:rsidRPr="003002D3" w:rsidRDefault="00E73313" w:rsidP="00E73313">
      <w:pPr>
        <w:numPr>
          <w:ilvl w:val="0"/>
          <w:numId w:val="56"/>
        </w:numPr>
        <w:spacing w:afterLines="60" w:after="144"/>
        <w:ind w:left="1440" w:hanging="274"/>
        <w:rPr>
          <w:lang w:val="de-DE"/>
        </w:rPr>
      </w:pPr>
      <w:r w:rsidRPr="003002D3">
        <w:rPr>
          <w:rFonts w:cs="Tahoma"/>
          <w:lang w:val="de-DE"/>
        </w:rPr>
        <w:t>Einzelne Prozessorlizenzen für Windows Server Datacenter, die nach dem 1</w:t>
      </w:r>
      <w:r w:rsidR="006257A7">
        <w:rPr>
          <w:rFonts w:cs="Tahoma"/>
          <w:lang w:val="de-DE"/>
        </w:rPr>
        <w:t xml:space="preserve">. </w:t>
      </w:r>
      <w:r w:rsidRPr="003002D3">
        <w:rPr>
          <w:rFonts w:cs="Tahoma"/>
          <w:lang w:val="de-DE"/>
        </w:rPr>
        <w:t>September 2012 mit Software Assurance erworben werden, sind ebenfalls Qualifizierende Lizenzen zu Zwecken der obigen Gewährung</w:t>
      </w:r>
      <w:r w:rsidR="006257A7">
        <w:rPr>
          <w:rFonts w:cs="Tahoma"/>
          <w:lang w:val="de-DE"/>
        </w:rPr>
        <w:t xml:space="preserve">. </w:t>
      </w:r>
    </w:p>
    <w:p w:rsidR="00E73313" w:rsidRPr="003002D3" w:rsidRDefault="00E73313" w:rsidP="00E73313">
      <w:pPr>
        <w:numPr>
          <w:ilvl w:val="0"/>
          <w:numId w:val="56"/>
        </w:numPr>
        <w:spacing w:afterLines="60" w:after="144"/>
        <w:ind w:left="1440" w:hanging="274"/>
        <w:rPr>
          <w:lang w:val="de-DE"/>
        </w:rPr>
      </w:pPr>
      <w:r w:rsidRPr="003002D3">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r w:rsidR="006257A7">
        <w:rPr>
          <w:rFonts w:cs="Tahoma"/>
          <w:bCs/>
          <w:color w:val="000000"/>
          <w:szCs w:val="18"/>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r w:rsidRPr="003002D3">
        <w:rPr>
          <w:rFonts w:cs="Tahoma"/>
          <w:color w:val="000000"/>
          <w:szCs w:val="18"/>
          <w:lang w:val="de-DE"/>
        </w:rPr>
        <w:t>Windows Server 2012 Datacenter – 1-Prozessorlizenz-SKU; Windows Server 2012 wird auf ein Prozessor-plus-CAL-Lizenzmodell umgestellt, wobei jede Lizenz 2 Prozessoren abdeckt</w:t>
      </w:r>
      <w:r w:rsidR="006257A7">
        <w:rPr>
          <w:rFonts w:cs="Tahoma"/>
          <w:color w:val="000000"/>
          <w:szCs w:val="18"/>
          <w:lang w:val="de-DE"/>
        </w:rPr>
        <w:t xml:space="preserve">. </w:t>
      </w:r>
      <w:r w:rsidRPr="003002D3">
        <w:rPr>
          <w:rFonts w:cs="Tahoma"/>
          <w:color w:val="000000"/>
          <w:szCs w:val="18"/>
          <w:lang w:val="de-DE"/>
        </w:rPr>
        <w:t>Das Angebot # P71-01031 wurde versehentlich in die Preisliste von September aufgenommen und sollte nicht für andere Programme als SPLA verwendet werden</w:t>
      </w:r>
      <w:r w:rsidR="006257A7">
        <w:rPr>
          <w:rFonts w:cs="Tahoma"/>
          <w:color w:val="000000"/>
          <w:szCs w:val="18"/>
          <w:lang w:val="de-DE"/>
        </w:rPr>
        <w:t xml:space="preserve">. </w:t>
      </w:r>
      <w:r w:rsidRPr="003002D3">
        <w:rPr>
          <w:rFonts w:cs="Tahoma"/>
          <w:color w:val="000000"/>
          <w:szCs w:val="18"/>
          <w:lang w:val="de-DE"/>
        </w:rPr>
        <w:t>Dieses Angebot deckt lediglich einen Prozessor ab; für Kunden, die es erwerben, gelten die aktuellen Nutzungsrechte nicht</w:t>
      </w:r>
      <w:r w:rsidR="006257A7">
        <w:rPr>
          <w:rFonts w:cs="Tahoma"/>
          <w:color w:val="000000"/>
          <w:szCs w:val="18"/>
          <w:lang w:val="de-DE"/>
        </w:rPr>
        <w:t xml:space="preserve">. </w:t>
      </w:r>
      <w:r w:rsidRPr="003002D3">
        <w:rPr>
          <w:rFonts w:cs="Tahoma"/>
          <w:color w:val="000000"/>
          <w:szCs w:val="18"/>
          <w:lang w:val="de-DE"/>
        </w:rPr>
        <w:t>Diese SKU sollte nur von SPLA-Kunden verwendet werden</w:t>
      </w:r>
      <w:r w:rsidR="006257A7">
        <w:rPr>
          <w:rFonts w:cs="Tahoma"/>
          <w:color w:val="000000"/>
          <w:szCs w:val="18"/>
          <w:lang w:val="de-DE"/>
        </w:rPr>
        <w:t xml:space="preserve">. </w:t>
      </w:r>
      <w:r w:rsidRPr="003002D3">
        <w:rPr>
          <w:rFonts w:cs="Tahoma"/>
          <w:color w:val="000000"/>
          <w:szCs w:val="18"/>
          <w:lang w:val="de-DE"/>
        </w:rPr>
        <w:t xml:space="preserve">Das richtige Angebot für alle Programme </w:t>
      </w:r>
      <w:r w:rsidRPr="003002D3">
        <w:rPr>
          <w:rFonts w:cs="Tahoma"/>
          <w:szCs w:val="18"/>
          <w:lang w:val="de-DE"/>
        </w:rPr>
        <w:t>außer SPLA ist # P71-07280</w:t>
      </w:r>
      <w:r w:rsidR="006257A7">
        <w:rPr>
          <w:rFonts w:cs="Tahoma"/>
          <w:szCs w:val="18"/>
          <w:lang w:val="de-DE"/>
        </w:rPr>
        <w:t xml:space="preserve">. </w:t>
      </w:r>
      <w:r w:rsidRPr="003002D3">
        <w:rPr>
          <w:rFonts w:cs="Tahoma"/>
          <w:szCs w:val="18"/>
          <w:lang w:val="de-DE"/>
        </w:rPr>
        <w:t>Kunden, die bereits das Angebot # P71-01031 erworben haben, werden auf die obige Migrationsgewährung verwiesen</w:t>
      </w:r>
      <w:r w:rsidR="006257A7">
        <w:rPr>
          <w:rFonts w:cs="Tahoma"/>
          <w:szCs w:val="18"/>
          <w:lang w:val="de-DE"/>
        </w:rPr>
        <w:t xml:space="preserve">. </w:t>
      </w:r>
    </w:p>
    <w:p w:rsidR="00E73313" w:rsidRPr="003002D3" w:rsidRDefault="00E73313" w:rsidP="00E73313">
      <w:pPr>
        <w:ind w:left="720"/>
        <w:rPr>
          <w:lang w:val="de-DE"/>
        </w:rPr>
      </w:pPr>
    </w:p>
    <w:p w:rsidR="00E73313" w:rsidRPr="003002D3" w:rsidRDefault="00E73313" w:rsidP="00E73313">
      <w:pPr>
        <w:pStyle w:val="PURBody-Indented"/>
        <w:ind w:left="720"/>
        <w:rPr>
          <w:lang w:val="de-DE"/>
        </w:rPr>
      </w:pPr>
      <w:r w:rsidRPr="003002D3">
        <w:rPr>
          <w:rFonts w:ascii="Tahoma" w:hAnsi="Tahoma" w:cs="Tahoma"/>
          <w:color w:val="000000"/>
          <w:sz w:val="18"/>
          <w:szCs w:val="18"/>
          <w:lang w:val="de-DE"/>
        </w:rPr>
        <w:t xml:space="preserve">Windows Server™ 2012 Datacenter: </w:t>
      </w:r>
      <w:r w:rsidRPr="003002D3">
        <w:rPr>
          <w:rFonts w:ascii="Tahoma" w:hAnsi="Tahoma" w:cs="Tahoma"/>
          <w:sz w:val="18"/>
          <w:szCs w:val="18"/>
          <w:lang w:val="de-DE"/>
        </w:rPr>
        <w:t>Sie sind berechtigt, eine Instanz von Windows Server Datacenter, Enterprise, Standard oder Essentials (die gleiche oder eine frühere Version) anstelle von Windows Server 2012 Datacenter in den OSEs auf Ihrem lizenzierten Server auszuführen</w:t>
      </w:r>
      <w:r w:rsidR="006257A7">
        <w:rPr>
          <w:rFonts w:ascii="Tahoma" w:hAnsi="Tahoma" w:cs="Tahoma"/>
          <w:sz w:val="18"/>
          <w:szCs w:val="18"/>
          <w:lang w:val="de-DE"/>
        </w:rPr>
        <w:t xml:space="preserve">. </w:t>
      </w:r>
    </w:p>
    <w:p w:rsidR="006732D8" w:rsidRPr="00A73CC8" w:rsidRDefault="006732D8" w:rsidP="00E73313">
      <w:pPr>
        <w:pStyle w:val="ListParagraph"/>
        <w:ind w:left="0"/>
        <w:contextualSpacing w:val="0"/>
        <w:rPr>
          <w:rFonts w:ascii="Tahoma" w:hAnsi="Tahoma" w:cs="Tahoma"/>
          <w:sz w:val="20"/>
          <w:szCs w:val="20"/>
          <w:lang w:val="de-DE"/>
        </w:rPr>
      </w:pPr>
    </w:p>
    <w:p w:rsidR="00DD788F" w:rsidRPr="00A73CC8" w:rsidRDefault="00DD788F" w:rsidP="00E73313">
      <w:pPr>
        <w:pStyle w:val="ListParagraph"/>
        <w:ind w:left="0"/>
        <w:contextualSpacing w:val="0"/>
        <w:rPr>
          <w:rFonts w:ascii="Tahoma" w:hAnsi="Tahoma" w:cs="Tahoma"/>
          <w:sz w:val="20"/>
          <w:szCs w:val="20"/>
          <w:lang w:val="de-DE"/>
        </w:rPr>
      </w:pPr>
    </w:p>
    <w:p w:rsidR="00E73313" w:rsidRPr="003002D3" w:rsidRDefault="00E73313" w:rsidP="00B27BD3">
      <w:pPr>
        <w:pStyle w:val="Heading3"/>
        <w:rPr>
          <w:lang w:val="de-DE"/>
        </w:rPr>
      </w:pPr>
      <w:bookmarkStart w:id="1653" w:name="_118_Windows_Server"/>
      <w:bookmarkStart w:id="1654" w:name="_110_Windows_Server"/>
      <w:bookmarkStart w:id="1655" w:name="_113_Windows_Server"/>
      <w:bookmarkStart w:id="1656" w:name="_Toc336338374"/>
      <w:bookmarkStart w:id="1657" w:name="_Toc363999109"/>
      <w:bookmarkStart w:id="1658" w:name="Srv_102WindowsSvr08R2Std"/>
      <w:bookmarkStart w:id="1659" w:name="Srv_114WindowsSvr08R2Std"/>
      <w:bookmarkStart w:id="1660" w:name="Srv_118WindowsSvr08R2Std"/>
      <w:bookmarkStart w:id="1661" w:name="Srv_99WindowsSvr08R2ItaniumSys"/>
      <w:bookmarkStart w:id="1662" w:name="Srv_100WindowsSvr08R2ItaniumSys"/>
      <w:bookmarkEnd w:id="1653"/>
      <w:bookmarkEnd w:id="1654"/>
      <w:bookmarkEnd w:id="1655"/>
      <w:r w:rsidRPr="003002D3">
        <w:rPr>
          <w:rStyle w:val="Heading3Char"/>
          <w:rFonts w:ascii="Tahoma" w:hAnsi="Tahoma"/>
          <w:b/>
          <w:caps/>
          <w:color w:val="F66400"/>
          <w:sz w:val="22"/>
          <w:vertAlign w:val="superscript"/>
          <w:lang w:val="de-DE"/>
        </w:rPr>
        <w:t>112</w:t>
      </w:r>
      <w:r w:rsidR="00B27BD3" w:rsidRPr="003002D3">
        <w:rPr>
          <w:rFonts w:ascii="Tahoma" w:hAnsi="Tahoma"/>
          <w:color w:val="F66400"/>
          <w:sz w:val="22"/>
          <w:lang w:val="de-DE"/>
        </w:rPr>
        <w:t xml:space="preserve"> </w:t>
      </w:r>
      <w:r w:rsidRPr="003002D3">
        <w:rPr>
          <w:rStyle w:val="Heading3Char"/>
          <w:rFonts w:ascii="Tahoma" w:hAnsi="Tahoma"/>
          <w:b/>
          <w:color w:val="F66400"/>
          <w:sz w:val="22"/>
          <w:lang w:val="de-DE"/>
        </w:rPr>
        <w:t>Windows Server 2008 R2 Standard</w:t>
      </w:r>
      <w:bookmarkEnd w:id="1656"/>
      <w:bookmarkEnd w:id="1657"/>
      <w:r w:rsidRPr="003002D3">
        <w:rPr>
          <w:rStyle w:val="Heading3Char"/>
          <w:rFonts w:ascii="Tahoma" w:hAnsi="Tahoma"/>
          <w:b/>
          <w:color w:val="F66400"/>
          <w:sz w:val="22"/>
          <w:lang w:val="de-DE"/>
        </w:rPr>
        <w:t xml:space="preserve"> </w:t>
      </w:r>
    </w:p>
    <w:bookmarkEnd w:id="1658"/>
    <w:bookmarkEnd w:id="1659"/>
    <w:bookmarkEnd w:id="1660"/>
    <w:p w:rsidR="00E73313" w:rsidRPr="003002D3" w:rsidRDefault="00E73313" w:rsidP="00E73313">
      <w:pPr>
        <w:tabs>
          <w:tab w:val="left" w:pos="360"/>
        </w:tabs>
        <w:ind w:left="360"/>
        <w:rPr>
          <w:lang w:val="de-DE"/>
        </w:rPr>
      </w:pPr>
    </w:p>
    <w:p w:rsidR="00E73313" w:rsidRPr="003002D3" w:rsidRDefault="00E73313" w:rsidP="00E73313">
      <w:pPr>
        <w:spacing w:after="60"/>
        <w:ind w:left="720"/>
        <w:rPr>
          <w:lang w:val="de-DE"/>
        </w:rPr>
      </w:pPr>
      <w:r w:rsidRPr="003002D3">
        <w:rPr>
          <w:b/>
          <w:color w:val="000000"/>
          <w:lang w:val="de-DE"/>
        </w:rPr>
        <w:t>Lizenzgewährungen im Zusammenhang mit der Änderung des Lizenzmodells für Windows Server Standard</w:t>
      </w:r>
    </w:p>
    <w:p w:rsidR="00E73313" w:rsidRPr="003002D3" w:rsidRDefault="00E73313" w:rsidP="00B27BD3">
      <w:pPr>
        <w:numPr>
          <w:ilvl w:val="0"/>
          <w:numId w:val="52"/>
        </w:numPr>
        <w:tabs>
          <w:tab w:val="left" w:pos="1260"/>
          <w:tab w:val="left" w:pos="1440"/>
        </w:tabs>
        <w:ind w:left="1440"/>
        <w:rPr>
          <w:lang w:val="de-DE"/>
        </w:rPr>
      </w:pPr>
      <w:r w:rsidRPr="003002D3">
        <w:rPr>
          <w:color w:val="000000"/>
          <w:lang w:val="de-DE"/>
        </w:rPr>
        <w:t>Windows Server 2008 R2 Standard ist die letzte Version von Windows Server, die unter dem Server-/CAL-Lizenzmodell lizenziert wird</w:t>
      </w:r>
      <w:r w:rsidR="006257A7">
        <w:rPr>
          <w:color w:val="000000"/>
          <w:lang w:val="de-DE"/>
        </w:rPr>
        <w:t xml:space="preserve">. </w:t>
      </w:r>
      <w:r w:rsidRPr="003002D3">
        <w:rPr>
          <w:color w:val="000000"/>
          <w:lang w:val="de-DE"/>
        </w:rPr>
        <w:t>Windows Server 2012 Standard wird unter einem neuen</w:t>
      </w:r>
      <w:r w:rsidR="00B27BD3">
        <w:rPr>
          <w:color w:val="000000"/>
          <w:lang w:val="de-DE"/>
        </w:rPr>
        <w:t> </w:t>
      </w:r>
      <w:r w:rsidRPr="003002D3">
        <w:rPr>
          <w:color w:val="000000"/>
          <w:lang w:val="de-DE"/>
        </w:rPr>
        <w:t>Lizenzmodell lizenziert, unter dem jede Lizenz bis zu zwei physische Prozessoren lizenzieren</w:t>
      </w:r>
      <w:r w:rsidR="00B27BD3">
        <w:rPr>
          <w:color w:val="000000"/>
          <w:lang w:val="de-DE"/>
        </w:rPr>
        <w:t> </w:t>
      </w:r>
      <w:r w:rsidRPr="003002D3">
        <w:rPr>
          <w:color w:val="000000"/>
          <w:lang w:val="de-DE"/>
        </w:rPr>
        <w:t>kann</w:t>
      </w:r>
      <w:r w:rsidR="006257A7">
        <w:rPr>
          <w:color w:val="000000"/>
          <w:lang w:val="de-DE"/>
        </w:rPr>
        <w:t xml:space="preserve">. </w:t>
      </w:r>
      <w:r w:rsidRPr="003002D3">
        <w:rPr>
          <w:color w:val="000000"/>
          <w:lang w:val="de-DE"/>
        </w:rPr>
        <w:t>Volumenlizenzkunden, die am 1</w:t>
      </w:r>
      <w:r w:rsidR="006257A7">
        <w:rPr>
          <w:color w:val="000000"/>
          <w:lang w:val="de-DE"/>
        </w:rPr>
        <w:t xml:space="preserve">. </w:t>
      </w:r>
      <w:r w:rsidRPr="003002D3">
        <w:rPr>
          <w:color w:val="000000"/>
          <w:lang w:val="de-DE"/>
        </w:rPr>
        <w:t>September 2012 oder am Datum der ersten Verfügbarkeit von Windows Server 2012 zum Download im Volume Licensing Service Center, wobei</w:t>
      </w:r>
      <w:r w:rsidR="00B27BD3">
        <w:rPr>
          <w:color w:val="000000"/>
          <w:lang w:val="de-DE"/>
        </w:rPr>
        <w:t> </w:t>
      </w:r>
      <w:r w:rsidRPr="003002D3">
        <w:rPr>
          <w:color w:val="000000"/>
          <w:lang w:val="de-DE"/>
        </w:rPr>
        <w:t>das frühere Datum maßgeblich ist, über aktive Software Assurance für Windows Server 2008</w:t>
      </w:r>
      <w:r w:rsidR="00B27BD3">
        <w:rPr>
          <w:color w:val="000000"/>
          <w:lang w:val="de-DE"/>
        </w:rPr>
        <w:t> </w:t>
      </w:r>
      <w:r w:rsidRPr="003002D3">
        <w:rPr>
          <w:color w:val="000000"/>
          <w:lang w:val="de-DE"/>
        </w:rPr>
        <w:t>R2 Standard-Lizenzen verfügen, („Qualifizierende Lizenzen“) sind berechtigt,</w:t>
      </w:r>
      <w:r w:rsidRPr="003002D3">
        <w:rPr>
          <w:rFonts w:eastAsia="Calibri" w:cs="Tahoma"/>
          <w:szCs w:val="18"/>
          <w:lang w:val="de-DE"/>
        </w:rPr>
        <w:t xml:space="preserve"> auf die Software</w:t>
      </w:r>
      <w:r w:rsidR="00B27BD3">
        <w:rPr>
          <w:rFonts w:eastAsia="Calibri" w:cs="Tahoma"/>
          <w:szCs w:val="18"/>
          <w:lang w:val="de-DE"/>
        </w:rPr>
        <w:t> </w:t>
      </w:r>
      <w:r w:rsidRPr="003002D3">
        <w:rPr>
          <w:rFonts w:eastAsia="Calibri" w:cs="Tahoma"/>
          <w:szCs w:val="18"/>
          <w:lang w:val="de-DE"/>
        </w:rPr>
        <w:t>Windows Server 2012 Standard upzugraden und sie anstelle von Windows Server 2008 R2 Standard zu verwenden</w:t>
      </w:r>
      <w:r w:rsidR="006257A7">
        <w:rPr>
          <w:rFonts w:eastAsia="Calibri" w:cs="Tahoma"/>
          <w:szCs w:val="18"/>
          <w:lang w:val="de-DE"/>
        </w:rPr>
        <w:t xml:space="preserve">. </w:t>
      </w:r>
      <w:r w:rsidRPr="003002D3">
        <w:rPr>
          <w:rFonts w:eastAsia="Calibri" w:cs="Tahoma"/>
          <w:szCs w:val="18"/>
          <w:lang w:val="de-DE"/>
        </w:rPr>
        <w:t>Um dieses Upgrade zu erleichtern, wird angenommen, dass dem Kunden bei Verfügbarkeit von Windows Server 2012 für jede Qualifizierende Lizenz, die der Kunde</w:t>
      </w:r>
      <w:r w:rsidR="00B27BD3">
        <w:rPr>
          <w:rFonts w:eastAsia="Calibri" w:cs="Tahoma"/>
          <w:szCs w:val="18"/>
          <w:lang w:val="de-DE"/>
        </w:rPr>
        <w:t> </w:t>
      </w:r>
      <w:r w:rsidRPr="003002D3">
        <w:rPr>
          <w:rFonts w:eastAsia="Calibri" w:cs="Tahoma"/>
          <w:szCs w:val="18"/>
          <w:lang w:val="de-DE"/>
        </w:rPr>
        <w:t>besitzt, Folgendes gewährt wird:</w:t>
      </w:r>
    </w:p>
    <w:p w:rsidR="00E73313" w:rsidRPr="003002D3" w:rsidRDefault="00E73313" w:rsidP="00E73313">
      <w:pPr>
        <w:numPr>
          <w:ilvl w:val="0"/>
          <w:numId w:val="52"/>
        </w:numPr>
        <w:tabs>
          <w:tab w:val="left" w:pos="1260"/>
          <w:tab w:val="left" w:pos="1440"/>
        </w:tabs>
        <w:ind w:left="1440"/>
        <w:rPr>
          <w:lang w:val="de-DE"/>
        </w:rPr>
      </w:pPr>
      <w:r w:rsidRPr="003002D3">
        <w:rPr>
          <w:rFonts w:eastAsia="Calibri" w:cs="Tahoma"/>
          <w:szCs w:val="18"/>
          <w:lang w:val="de-DE"/>
        </w:rPr>
        <w:t>Eine Windows Server 2012 Standard-Lizenz ODER</w:t>
      </w:r>
    </w:p>
    <w:p w:rsidR="00E73313" w:rsidRPr="003002D3" w:rsidRDefault="00E73313" w:rsidP="00B27BD3">
      <w:pPr>
        <w:numPr>
          <w:ilvl w:val="0"/>
          <w:numId w:val="52"/>
        </w:numPr>
        <w:tabs>
          <w:tab w:val="left" w:pos="1260"/>
          <w:tab w:val="left" w:pos="1440"/>
        </w:tabs>
        <w:ind w:left="1440"/>
        <w:rPr>
          <w:lang w:val="de-DE"/>
        </w:rPr>
      </w:pPr>
      <w:r w:rsidRPr="003002D3">
        <w:rPr>
          <w:rFonts w:eastAsia="Calibri" w:cs="Tahoma"/>
          <w:szCs w:val="18"/>
          <w:lang w:val="de-DE"/>
        </w:rPr>
        <w:t>Zwei Windows Server 20123 Standard-Lizenzen, wenn die tatsächliche Anzahl physischer Prozessoren auf dem Server, dem die Qualifizierende Lizenz zugewiesen ist, zwei übersteigt</w:t>
      </w:r>
      <w:r w:rsidR="006257A7">
        <w:rPr>
          <w:rFonts w:eastAsia="Calibri" w:cs="Tahoma"/>
          <w:szCs w:val="18"/>
          <w:lang w:val="de-DE"/>
        </w:rPr>
        <w:t xml:space="preserve">. </w:t>
      </w:r>
      <w:r w:rsidRPr="003002D3">
        <w:rPr>
          <w:rFonts w:eastAsia="Calibri" w:cs="Tahoma"/>
          <w:szCs w:val="18"/>
          <w:lang w:val="de-DE"/>
        </w:rPr>
        <w:t>(In</w:t>
      </w:r>
      <w:r w:rsidR="00B27BD3">
        <w:rPr>
          <w:rFonts w:eastAsia="Calibri" w:cs="Tahoma"/>
          <w:szCs w:val="18"/>
          <w:lang w:val="de-DE"/>
        </w:rPr>
        <w:t> </w:t>
      </w:r>
      <w:r w:rsidRPr="003002D3">
        <w:rPr>
          <w:rFonts w:eastAsia="Calibri" w:cs="Tahoma"/>
          <w:szCs w:val="18"/>
          <w:lang w:val="de-DE"/>
        </w:rPr>
        <w:t>diesen Fällen müssen Kunden die Konfiguration der physischen Hardware dokumentieren, die</w:t>
      </w:r>
      <w:r w:rsidR="00B27BD3">
        <w:rPr>
          <w:rFonts w:eastAsia="Calibri" w:cs="Tahoma"/>
          <w:szCs w:val="18"/>
          <w:lang w:val="de-DE"/>
        </w:rPr>
        <w:t> </w:t>
      </w:r>
      <w:r w:rsidRPr="003002D3">
        <w:rPr>
          <w:rFonts w:eastAsia="Calibri" w:cs="Tahoma"/>
          <w:szCs w:val="18"/>
          <w:lang w:val="de-DE"/>
        </w:rPr>
        <w:t>diese Software vor Ablauf von Software Assurance unter dem aktuellen Vertrag unterstützt, entweder mit dem Microsoft MAP-Tool oder einer gleichwertigen Software</w:t>
      </w:r>
      <w:r w:rsidR="006257A7">
        <w:rPr>
          <w:rFonts w:eastAsia="Calibri" w:cs="Tahoma"/>
          <w:szCs w:val="18"/>
          <w:lang w:val="de-DE"/>
        </w:rPr>
        <w:t xml:space="preserve">. </w:t>
      </w:r>
      <w:r w:rsidRPr="003002D3">
        <w:rPr>
          <w:rFonts w:eastAsia="Calibri" w:cs="Tahoma"/>
          <w:szCs w:val="18"/>
          <w:lang w:val="de-DE"/>
        </w:rPr>
        <w:t>Diese Gewährung ist nur für eine Qualifizierende Lizenz pro Server verfügbar</w:t>
      </w:r>
      <w:r w:rsidR="006257A7">
        <w:rPr>
          <w:rFonts w:eastAsia="Calibri" w:cs="Tahoma"/>
          <w:szCs w:val="18"/>
          <w:lang w:val="de-DE"/>
        </w:rPr>
        <w:t xml:space="preserve">. </w:t>
      </w:r>
      <w:r w:rsidRPr="003002D3">
        <w:rPr>
          <w:rFonts w:eastAsia="Calibri" w:cs="Tahoma"/>
          <w:szCs w:val="18"/>
          <w:lang w:val="de-DE"/>
        </w:rPr>
        <w:t>)</w:t>
      </w:r>
    </w:p>
    <w:p w:rsidR="00E73313" w:rsidRPr="003002D3" w:rsidRDefault="00E73313" w:rsidP="00E73313">
      <w:pPr>
        <w:numPr>
          <w:ilvl w:val="0"/>
          <w:numId w:val="52"/>
        </w:numPr>
        <w:tabs>
          <w:tab w:val="left" w:pos="1260"/>
          <w:tab w:val="left" w:pos="1440"/>
        </w:tabs>
        <w:ind w:left="1440"/>
        <w:rPr>
          <w:lang w:val="de-DE"/>
        </w:rPr>
      </w:pPr>
      <w:r w:rsidRPr="003002D3">
        <w:rPr>
          <w:rFonts w:eastAsia="Calibri" w:cs="Tahoma"/>
          <w:szCs w:val="18"/>
          <w:lang w:val="de-DE"/>
        </w:rPr>
        <w:t>Lizenzen, die im Rahmen dieser Gewährung erworben werden, umfassen Software Assurance</w:t>
      </w:r>
      <w:r w:rsidR="006257A7">
        <w:rPr>
          <w:rFonts w:eastAsia="Calibri" w:cs="Tahoma"/>
          <w:szCs w:val="18"/>
          <w:lang w:val="de-DE"/>
        </w:rPr>
        <w:t xml:space="preserve">. </w:t>
      </w:r>
      <w:r w:rsidRPr="003002D3">
        <w:rPr>
          <w:rFonts w:eastAsia="Calibri" w:cs="Tahoma"/>
          <w:szCs w:val="18"/>
          <w:lang w:val="de-DE"/>
        </w:rPr>
        <w:t>Diese Software Assurance gilt bis zum Ablauf der Software Assurance für die Qualifizierenden Lizenzen</w:t>
      </w:r>
      <w:r w:rsidR="006257A7">
        <w:rPr>
          <w:rFonts w:eastAsia="Calibri" w:cs="Tahoma"/>
          <w:szCs w:val="18"/>
          <w:lang w:val="de-DE"/>
        </w:rPr>
        <w:t xml:space="preserve">. </w:t>
      </w:r>
    </w:p>
    <w:p w:rsidR="00E73313" w:rsidRPr="003002D3" w:rsidRDefault="00E73313" w:rsidP="00E73313">
      <w:pPr>
        <w:numPr>
          <w:ilvl w:val="0"/>
          <w:numId w:val="52"/>
        </w:numPr>
        <w:tabs>
          <w:tab w:val="left" w:pos="1260"/>
          <w:tab w:val="left" w:pos="1440"/>
        </w:tabs>
        <w:ind w:left="1440"/>
        <w:rPr>
          <w:lang w:val="de-DE"/>
        </w:rPr>
      </w:pPr>
      <w:r w:rsidRPr="003002D3">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6257A7">
        <w:rPr>
          <w:rFonts w:eastAsia="Calibri" w:cs="Tahoma"/>
          <w:szCs w:val="18"/>
          <w:lang w:val="de-DE"/>
        </w:rPr>
        <w:t xml:space="preserve">. </w:t>
      </w:r>
    </w:p>
    <w:p w:rsidR="00E73313" w:rsidRPr="00CF04E6" w:rsidRDefault="00E73313" w:rsidP="00E73313">
      <w:pPr>
        <w:numPr>
          <w:ilvl w:val="0"/>
          <w:numId w:val="52"/>
        </w:numPr>
        <w:tabs>
          <w:tab w:val="left" w:pos="1260"/>
          <w:tab w:val="left" w:pos="1440"/>
        </w:tabs>
        <w:ind w:left="1440"/>
        <w:rPr>
          <w:lang w:val="de-DE"/>
        </w:rPr>
      </w:pPr>
      <w:r w:rsidRPr="003002D3">
        <w:rPr>
          <w:rFonts w:eastAsia="Calibri" w:cs="Tahoma"/>
          <w:szCs w:val="18"/>
          <w:lang w:val="de-DE"/>
        </w:rPr>
        <w:t>Bei Upgrade auf Windows Server 2012 Standard unter dieser Gewährung sind die bestehenden Lizenzen für Windows Server 2008 R2 Standard des Kunden nicht mehr gültig</w:t>
      </w:r>
      <w:r w:rsidR="006257A7">
        <w:rPr>
          <w:rFonts w:eastAsia="Calibri" w:cs="Tahoma"/>
          <w:szCs w:val="18"/>
          <w:lang w:val="de-DE"/>
        </w:rPr>
        <w:t xml:space="preserve">. </w:t>
      </w:r>
    </w:p>
    <w:p w:rsidR="00E73313" w:rsidRPr="003002D3" w:rsidRDefault="00E73313" w:rsidP="00E73313">
      <w:pPr>
        <w:numPr>
          <w:ilvl w:val="0"/>
          <w:numId w:val="56"/>
        </w:numPr>
        <w:tabs>
          <w:tab w:val="left" w:pos="1440"/>
        </w:tabs>
        <w:ind w:left="1440"/>
        <w:rPr>
          <w:lang w:val="de-DE"/>
        </w:rPr>
      </w:pPr>
      <w:r w:rsidRPr="003002D3">
        <w:rPr>
          <w:color w:val="000000"/>
          <w:lang w:val="de-DE"/>
        </w:rPr>
        <w:t>Windows Server 2008 R2 Standard-</w:t>
      </w:r>
      <w:r w:rsidRPr="003002D3">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r w:rsidR="006257A7">
        <w:rPr>
          <w:rFonts w:cs="Tahoma"/>
          <w:bCs/>
          <w:color w:val="000000"/>
          <w:szCs w:val="18"/>
          <w:lang w:val="de-DE"/>
        </w:rPr>
        <w:t xml:space="preserve">. </w:t>
      </w:r>
    </w:p>
    <w:p w:rsidR="00E73313" w:rsidRPr="003002D3" w:rsidRDefault="00E73313" w:rsidP="00E73313">
      <w:pPr>
        <w:numPr>
          <w:ilvl w:val="0"/>
          <w:numId w:val="56"/>
        </w:numPr>
        <w:tabs>
          <w:tab w:val="left" w:pos="1440"/>
        </w:tabs>
        <w:ind w:left="1440"/>
        <w:rPr>
          <w:lang w:val="de-DE"/>
        </w:rPr>
      </w:pPr>
      <w:r w:rsidRPr="003002D3">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r w:rsidR="006257A7">
        <w:rPr>
          <w:rFonts w:cs="Tahoma"/>
          <w:bCs/>
          <w:color w:val="000000"/>
          <w:szCs w:val="18"/>
          <w:lang w:val="de-DE"/>
        </w:rPr>
        <w:t xml:space="preserve">. </w:t>
      </w:r>
    </w:p>
    <w:p w:rsidR="00E73313" w:rsidRPr="003002D3" w:rsidRDefault="00E73313" w:rsidP="00E73313">
      <w:pPr>
        <w:tabs>
          <w:tab w:val="left" w:pos="1440"/>
        </w:tabs>
        <w:ind w:left="1440"/>
        <w:rPr>
          <w:lang w:val="de-DE"/>
        </w:rPr>
      </w:pPr>
    </w:p>
    <w:bookmarkEnd w:id="1661"/>
    <w:bookmarkEnd w:id="1662"/>
    <w:p w:rsidR="00E73313" w:rsidRPr="003002D3" w:rsidRDefault="00E73313" w:rsidP="00E73313">
      <w:pPr>
        <w:pStyle w:val="PURBody-Indented"/>
        <w:spacing w:after="60"/>
        <w:ind w:left="720"/>
        <w:rPr>
          <w:lang w:val="de-DE"/>
        </w:rPr>
      </w:pPr>
      <w:r w:rsidRPr="003002D3">
        <w:rPr>
          <w:rFonts w:ascii="Tahoma" w:hAnsi="Tahoma" w:cs="Tahoma"/>
          <w:b/>
          <w:color w:val="000000"/>
          <w:sz w:val="18"/>
          <w:szCs w:val="18"/>
          <w:lang w:val="de-DE"/>
        </w:rPr>
        <w:t>Windows Server 2012 Standard</w:t>
      </w:r>
    </w:p>
    <w:p w:rsidR="00E73313" w:rsidRPr="003002D3" w:rsidRDefault="00E73313" w:rsidP="00E73313">
      <w:pPr>
        <w:pStyle w:val="PURBody-Indented"/>
        <w:spacing w:after="0"/>
        <w:ind w:left="720"/>
        <w:rPr>
          <w:lang w:val="de-DE"/>
        </w:rPr>
      </w:pPr>
      <w:r w:rsidRPr="003002D3">
        <w:rPr>
          <w:rFonts w:ascii="Tahoma" w:hAnsi="Tahoma" w:cs="Tahoma"/>
          <w:sz w:val="18"/>
          <w:lang w:val="de-DE"/>
        </w:rPr>
        <w:t>Sie sind berechtigt, eine Instanz von Windows Server Enterprise, Standard oder Essentials (die gleiche oder eine frühere Version) anstelle von Windows Server 2012 Standard in den OSEs auf Ihrem lizenzierten Server auszuführen</w:t>
      </w:r>
      <w:r w:rsidR="006257A7">
        <w:rPr>
          <w:rFonts w:ascii="Tahoma" w:hAnsi="Tahoma" w:cs="Tahoma"/>
          <w:sz w:val="18"/>
          <w:lang w:val="de-DE"/>
        </w:rPr>
        <w:t xml:space="preserve">. </w:t>
      </w:r>
    </w:p>
    <w:p w:rsidR="00E73313" w:rsidRPr="003002D3" w:rsidRDefault="00E73313" w:rsidP="00E73313">
      <w:pPr>
        <w:rPr>
          <w:lang w:val="de-DE"/>
        </w:rPr>
      </w:pPr>
      <w:bookmarkStart w:id="1663" w:name="_119_Windows_Web"/>
      <w:bookmarkStart w:id="1664" w:name="_111_Windows_Web"/>
      <w:bookmarkStart w:id="1665" w:name="_114_Windows_Web"/>
      <w:bookmarkStart w:id="1666" w:name="Srv_111WinSmallBizSVR2011Addon"/>
      <w:bookmarkStart w:id="1667" w:name="Srv_116WinSmallBizSVR2011Addon"/>
      <w:bookmarkStart w:id="1668" w:name="Srv_120WinSmallBizSVR2011Addon"/>
      <w:bookmarkEnd w:id="1646"/>
      <w:bookmarkEnd w:id="1663"/>
      <w:bookmarkEnd w:id="1664"/>
      <w:bookmarkEnd w:id="1665"/>
    </w:p>
    <w:p w:rsidR="00E73313" w:rsidRPr="003002D3" w:rsidRDefault="00E73313" w:rsidP="00E73313">
      <w:pPr>
        <w:rPr>
          <w:lang w:val="de-DE"/>
        </w:rPr>
      </w:pPr>
      <w:bookmarkStart w:id="1669" w:name="_Toc336338376"/>
    </w:p>
    <w:p w:rsidR="00E73313" w:rsidRPr="0062435A" w:rsidRDefault="00E73313" w:rsidP="00E73313">
      <w:pPr>
        <w:pStyle w:val="Heading2"/>
        <w:keepNext/>
        <w:ind w:hanging="720"/>
      </w:pPr>
      <w:bookmarkStart w:id="1670" w:name="_112_Windows_Small_1"/>
      <w:bookmarkStart w:id="1671" w:name="_115_Windows_Small"/>
      <w:bookmarkStart w:id="1672" w:name="_113_Windows_Small"/>
      <w:bookmarkStart w:id="1673" w:name="_Toc363999110"/>
      <w:bookmarkEnd w:id="1670"/>
      <w:bookmarkEnd w:id="1671"/>
      <w:bookmarkEnd w:id="1672"/>
      <w:r>
        <w:rPr>
          <w:rFonts w:ascii="Tahoma" w:hAnsi="Tahoma" w:cs="Tahoma"/>
          <w:caps/>
          <w:color w:val="F8701C"/>
          <w:sz w:val="22"/>
          <w:szCs w:val="22"/>
          <w:vertAlign w:val="superscript"/>
        </w:rPr>
        <w:t>113</w:t>
      </w:r>
      <w:r>
        <w:rPr>
          <w:rFonts w:ascii="Tahoma" w:hAnsi="Tahoma" w:cs="Tahoma"/>
          <w:color w:val="F8701C"/>
          <w:sz w:val="22"/>
          <w:szCs w:val="22"/>
        </w:rPr>
        <w:t xml:space="preserve"> Windows Small Business Server (SBS) 2008 Premium</w:t>
      </w:r>
      <w:bookmarkEnd w:id="1669"/>
      <w:bookmarkEnd w:id="1673"/>
    </w:p>
    <w:bookmarkEnd w:id="1666"/>
    <w:bookmarkEnd w:id="1667"/>
    <w:bookmarkEnd w:id="1668"/>
    <w:p w:rsidR="00E73313" w:rsidRPr="0062435A" w:rsidRDefault="00E73313" w:rsidP="00E73313">
      <w:pPr>
        <w:keepNext/>
        <w:ind w:left="907"/>
      </w:pPr>
    </w:p>
    <w:p w:rsidR="00E73313" w:rsidRPr="003002D3" w:rsidRDefault="00E73313" w:rsidP="00E73313">
      <w:pPr>
        <w:ind w:left="720"/>
        <w:rPr>
          <w:lang w:val="de-DE"/>
        </w:rPr>
      </w:pPr>
      <w:r w:rsidRPr="003002D3">
        <w:rPr>
          <w:lang w:val="de-DE"/>
        </w:rPr>
        <w:t>Kunden, die ab dem 1</w:t>
      </w:r>
      <w:r w:rsidR="006257A7">
        <w:rPr>
          <w:lang w:val="de-DE"/>
        </w:rPr>
        <w:t xml:space="preserve">. </w:t>
      </w:r>
      <w:r w:rsidRPr="003002D3">
        <w:rPr>
          <w:lang w:val="de-DE"/>
        </w:rPr>
        <w:t>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w:t>
      </w:r>
      <w:r w:rsidR="006257A7">
        <w:rPr>
          <w:lang w:val="de-DE"/>
        </w:rPr>
        <w:t xml:space="preserve">. </w:t>
      </w:r>
      <w:r w:rsidRPr="003002D3">
        <w:rPr>
          <w:lang w:val="de-DE"/>
        </w:rPr>
        <w:t>Für jede qualifizierende SBS 2008 Premium-Lizenz, die ein Kunde ab dem 1</w:t>
      </w:r>
      <w:r w:rsidR="006257A7">
        <w:rPr>
          <w:lang w:val="de-DE"/>
        </w:rPr>
        <w:t xml:space="preserve">. </w:t>
      </w:r>
      <w:r w:rsidRPr="003002D3">
        <w:rPr>
          <w:lang w:val="de-DE"/>
        </w:rPr>
        <w:t>Januar 2011 besitzt, erhält der Kunde eine Lizenz für jede SBS 2011 Standard und SBS 2011 Premium Add-On mit aktiver Software Assurance</w:t>
      </w:r>
      <w:r w:rsidR="006257A7">
        <w:rPr>
          <w:lang w:val="de-DE"/>
        </w:rPr>
        <w:t xml:space="preserve">. </w:t>
      </w:r>
    </w:p>
    <w:p w:rsidR="00E73313" w:rsidRDefault="00E73313" w:rsidP="00E73313">
      <w:pPr>
        <w:ind w:left="720"/>
        <w:rPr>
          <w:lang w:val="de-DE"/>
        </w:rPr>
      </w:pPr>
    </w:p>
    <w:p w:rsidR="00E73313" w:rsidRPr="003002D3" w:rsidRDefault="00E73313" w:rsidP="00B27BD3">
      <w:pPr>
        <w:ind w:left="720"/>
        <w:rPr>
          <w:lang w:val="de-DE"/>
        </w:rPr>
      </w:pPr>
      <w:r w:rsidRPr="003002D3">
        <w:rPr>
          <w:lang w:val="de-DE"/>
        </w:rPr>
        <w:t>Kunden, die ab dem 1</w:t>
      </w:r>
      <w:r w:rsidR="006257A7">
        <w:rPr>
          <w:lang w:val="de-DE"/>
        </w:rPr>
        <w:t xml:space="preserve">. </w:t>
      </w:r>
      <w:r w:rsidRPr="003002D3">
        <w:rPr>
          <w:lang w:val="de-DE"/>
        </w:rPr>
        <w:t>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w:t>
      </w:r>
      <w:r w:rsidR="006257A7">
        <w:rPr>
          <w:lang w:val="de-DE"/>
        </w:rPr>
        <w:t xml:space="preserve">. </w:t>
      </w:r>
      <w:r w:rsidRPr="003002D3">
        <w:rPr>
          <w:lang w:val="de-DE"/>
        </w:rPr>
        <w:t>Für jede qualifizierende SBS 2008 CAL Suite für Premium-Nutzer und -Geräte, die ein Kunde ab dem 1</w:t>
      </w:r>
      <w:r w:rsidR="006257A7">
        <w:rPr>
          <w:lang w:val="de-DE"/>
        </w:rPr>
        <w:t xml:space="preserve">. </w:t>
      </w:r>
      <w:r w:rsidRPr="003002D3">
        <w:rPr>
          <w:lang w:val="de-DE"/>
        </w:rPr>
        <w:t>Januar 2011 besitzt, erhält der Kunde SBS 2011 CAL</w:t>
      </w:r>
      <w:r w:rsidR="00B27BD3">
        <w:rPr>
          <w:lang w:val="de-DE"/>
        </w:rPr>
        <w:t> </w:t>
      </w:r>
      <w:r w:rsidRPr="003002D3">
        <w:rPr>
          <w:lang w:val="de-DE"/>
        </w:rPr>
        <w:t>Suite und eine SBS 2011 Premium Add-On CAL Suite mit Software Assurance</w:t>
      </w:r>
      <w:r w:rsidR="006257A7">
        <w:rPr>
          <w:lang w:val="de-DE"/>
        </w:rPr>
        <w:t xml:space="preserve">. </w:t>
      </w:r>
    </w:p>
    <w:p w:rsidR="00E73313" w:rsidRPr="003002D3" w:rsidRDefault="00E73313" w:rsidP="00E73313">
      <w:pPr>
        <w:ind w:left="720"/>
        <w:rPr>
          <w:lang w:val="de-DE"/>
        </w:rPr>
      </w:pPr>
    </w:p>
    <w:p w:rsidR="00E73313" w:rsidRPr="003002D3" w:rsidRDefault="00E73313" w:rsidP="00B27BD3">
      <w:pPr>
        <w:ind w:left="720"/>
        <w:rPr>
          <w:lang w:val="de-DE"/>
        </w:rPr>
      </w:pPr>
      <w:r w:rsidRPr="003002D3">
        <w:rPr>
          <w:lang w:val="de-DE"/>
        </w:rPr>
        <w:t>Das Recht zur Verwendung der Software unter diesem Angebot gilt bis zum Ablauf des Rechts zur Verwendung der Software unter den qualifizierenden Lizenzen</w:t>
      </w:r>
      <w:r w:rsidR="006257A7">
        <w:rPr>
          <w:lang w:val="de-DE"/>
        </w:rPr>
        <w:t xml:space="preserve">. </w:t>
      </w:r>
      <w:r w:rsidRPr="003002D3">
        <w:rPr>
          <w:lang w:val="de-DE"/>
        </w:rPr>
        <w:t>Die Verwendung von Software unter diesem</w:t>
      </w:r>
      <w:r w:rsidR="00B27BD3">
        <w:rPr>
          <w:lang w:val="de-DE"/>
        </w:rPr>
        <w:t> </w:t>
      </w:r>
      <w:r w:rsidRPr="003002D3">
        <w:rPr>
          <w:lang w:val="de-DE"/>
        </w:rPr>
        <w:t>Angebot durch einen Kunden unterliegt den Bestimmungen des Volumenlizenzvertrages des Kunden, den Produktbenutzungsrechten für SBS 2011 Standard und SBS 2011 Premium Add-On sowie diesen Bestimmungen</w:t>
      </w:r>
      <w:r w:rsidR="006257A7">
        <w:rPr>
          <w:lang w:val="de-DE"/>
        </w:rPr>
        <w:t xml:space="preserve">. </w:t>
      </w:r>
      <w:r w:rsidRPr="003002D3">
        <w:rPr>
          <w:lang w:val="de-DE"/>
        </w:rPr>
        <w:t>Dieser Hinweis auf die Produktbedingungen belegt gemeinsam mit dem Nachweis der qualifizierenden Lizenzen die unter diesem Angebot gewährten Rechte</w:t>
      </w:r>
      <w:r w:rsidR="006257A7">
        <w:rPr>
          <w:lang w:val="de-DE"/>
        </w:rPr>
        <w:t xml:space="preserve">. </w:t>
      </w:r>
      <w:r w:rsidRPr="003002D3">
        <w:rPr>
          <w:lang w:val="de-DE"/>
        </w:rPr>
        <w:t>Bei Ablauf von Software Assurance für die qualifizierende Lizenz ist der Kunde berechtigt, Software Assurance für die SBS Premium Add-On-Lizenzen und CAL Suites zu verlängern</w:t>
      </w:r>
      <w:r w:rsidR="006257A7">
        <w:rPr>
          <w:lang w:val="de-DE"/>
        </w:rPr>
        <w:t xml:space="preserve">. </w:t>
      </w:r>
    </w:p>
    <w:p w:rsidR="00E73313" w:rsidRPr="003002D3" w:rsidRDefault="00E73313" w:rsidP="00E73313">
      <w:pPr>
        <w:ind w:left="900"/>
        <w:rPr>
          <w:lang w:val="de-DE"/>
        </w:rPr>
      </w:pPr>
    </w:p>
    <w:p w:rsidR="00E73313" w:rsidRPr="003002D3" w:rsidRDefault="00E73313" w:rsidP="00E73313">
      <w:pPr>
        <w:rPr>
          <w:lang w:val="de-DE"/>
        </w:rPr>
      </w:pPr>
      <w:bookmarkStart w:id="1674" w:name="_119_Windows_Small"/>
      <w:bookmarkStart w:id="1675" w:name="_100_SBS_2008"/>
      <w:bookmarkStart w:id="1676" w:name="_101_SBS_2008"/>
      <w:bookmarkStart w:id="1677" w:name="_105_SBS_2008"/>
      <w:bookmarkStart w:id="1678" w:name="_125_Windows_Web"/>
      <w:bookmarkEnd w:id="1674"/>
      <w:bookmarkEnd w:id="1675"/>
      <w:bookmarkEnd w:id="1676"/>
      <w:bookmarkEnd w:id="1677"/>
      <w:bookmarkEnd w:id="1678"/>
    </w:p>
    <w:p w:rsidR="00E73313" w:rsidRPr="003002D3" w:rsidRDefault="00B27BD3" w:rsidP="00E73313">
      <w:pPr>
        <w:pStyle w:val="Heading3"/>
        <w:rPr>
          <w:lang w:val="de-DE"/>
        </w:rPr>
      </w:pPr>
      <w:bookmarkStart w:id="1679" w:name="_114_Windows_Small_1"/>
      <w:bookmarkStart w:id="1680" w:name="_Toc336338377"/>
      <w:bookmarkStart w:id="1681" w:name="_Toc357669625"/>
      <w:bookmarkStart w:id="1682" w:name="_Toc363999111"/>
      <w:bookmarkStart w:id="1683" w:name="Srv_117WinSmallBizSVR2011Addon"/>
      <w:bookmarkStart w:id="1684" w:name="Srv_121WinSmallBizSVR2011Addon"/>
      <w:bookmarkEnd w:id="1679"/>
      <w:r w:rsidRPr="00B27BD3">
        <w:rPr>
          <w:rFonts w:ascii="Tahoma" w:hAnsi="Tahoma" w:cs="Tahoma"/>
          <w:color w:val="FF6D09"/>
          <w:sz w:val="22"/>
          <w:vertAlign w:val="superscript"/>
          <w:lang w:val="de-DE"/>
        </w:rPr>
        <w:t>114</w:t>
      </w:r>
      <w:r w:rsidR="00E73313" w:rsidRPr="003002D3">
        <w:rPr>
          <w:rFonts w:ascii="Tahoma" w:hAnsi="Tahoma" w:cs="Tahoma"/>
          <w:color w:val="FF6D09"/>
          <w:sz w:val="22"/>
          <w:lang w:val="de-DE"/>
        </w:rPr>
        <w:t xml:space="preserve"> Windows Small Business Server (2011) Standard</w:t>
      </w:r>
      <w:bookmarkEnd w:id="1680"/>
      <w:bookmarkEnd w:id="1681"/>
      <w:bookmarkEnd w:id="1682"/>
    </w:p>
    <w:bookmarkEnd w:id="1683"/>
    <w:bookmarkEnd w:id="1684"/>
    <w:p w:rsidR="00E73313" w:rsidRPr="003002D3" w:rsidRDefault="00E73313" w:rsidP="00E73313">
      <w:pPr>
        <w:ind w:left="900"/>
        <w:rPr>
          <w:lang w:val="de-DE"/>
        </w:rPr>
      </w:pPr>
    </w:p>
    <w:p w:rsidR="00E73313" w:rsidRPr="003002D3" w:rsidRDefault="00E73313" w:rsidP="00E73313">
      <w:pPr>
        <w:spacing w:after="60"/>
        <w:ind w:left="720"/>
        <w:rPr>
          <w:lang w:val="de-DE"/>
        </w:rPr>
      </w:pPr>
      <w:r w:rsidRPr="003002D3">
        <w:rPr>
          <w:b/>
          <w:color w:val="000000"/>
          <w:lang w:val="de-DE"/>
        </w:rPr>
        <w:t>Lizenzgewährungen im Zusammenhang mit dem Ende der Lebensdauer von SBS 2011 Standard</w:t>
      </w:r>
    </w:p>
    <w:p w:rsidR="00E73313" w:rsidRPr="003002D3" w:rsidRDefault="00E73313" w:rsidP="00E73313">
      <w:pPr>
        <w:ind w:left="720"/>
        <w:rPr>
          <w:lang w:val="de-DE"/>
        </w:rPr>
      </w:pPr>
      <w:r w:rsidRPr="003002D3">
        <w:rPr>
          <w:color w:val="000000"/>
          <w:lang w:val="de-DE"/>
        </w:rPr>
        <w:t>SBS 2011 Standard ist die letzte Version von SBS Standard</w:t>
      </w:r>
      <w:r w:rsidR="006257A7">
        <w:rPr>
          <w:color w:val="000000"/>
          <w:lang w:val="de-DE"/>
        </w:rPr>
        <w:t xml:space="preserve">. </w:t>
      </w:r>
      <w:r w:rsidRPr="003002D3">
        <w:rPr>
          <w:color w:val="000000"/>
          <w:lang w:val="de-DE"/>
        </w:rPr>
        <w:t xml:space="preserve">Volumenlizenzkunden, die über aktive Software Assurance für SBS 2011 Standard-Lizenzen verfügen („Qualifizierende Lizenzen“), sind berechtigt, Windows Server Standard und Exchange Server Standard anstelle von SBS 2011 zu </w:t>
      </w:r>
      <w:r w:rsidRPr="003002D3">
        <w:rPr>
          <w:rFonts w:eastAsia="Calibri" w:cs="Tahoma"/>
          <w:szCs w:val="18"/>
          <w:lang w:val="de-DE"/>
        </w:rPr>
        <w:t>verwenden</w:t>
      </w:r>
      <w:r w:rsidR="006257A7">
        <w:rPr>
          <w:rFonts w:eastAsia="Calibri" w:cs="Tahoma"/>
          <w:szCs w:val="18"/>
          <w:lang w:val="de-DE"/>
        </w:rPr>
        <w:t xml:space="preserve">. </w:t>
      </w:r>
      <w:r w:rsidRPr="003002D3">
        <w:rPr>
          <w:rFonts w:eastAsia="Calibri" w:cs="Tahoma"/>
          <w:szCs w:val="18"/>
          <w:lang w:val="de-DE"/>
        </w:rPr>
        <w:t>Um diese Nutzung zu erleichtern, wird angenommen, dass dem Kunden für jede Qualifizierende Lizenz, die der Kunde besitzt, jeweils zwei Lizenzen für Windows Server Standard und eine Lizenz für Exchange Server 2010 Standard entsprechend der nachstehenden Tabelle gewährt wird</w:t>
      </w:r>
      <w:r w:rsidR="006257A7">
        <w:rPr>
          <w:rFonts w:eastAsia="Calibri" w:cs="Tahoma"/>
          <w:szCs w:val="18"/>
          <w:lang w:val="de-DE"/>
        </w:rPr>
        <w:t xml:space="preserve">. </w:t>
      </w:r>
    </w:p>
    <w:p w:rsidR="00E73313" w:rsidRPr="003002D3" w:rsidRDefault="00E73313" w:rsidP="00E73313">
      <w:pPr>
        <w:ind w:left="72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E73313" w:rsidRPr="000A5032" w:rsidTr="00B27BD3">
        <w:trPr>
          <w:tblHeader/>
        </w:trPr>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73313" w:rsidRPr="000A5032" w:rsidRDefault="00E73313" w:rsidP="00E328C3">
            <w:pPr>
              <w:spacing w:after="200" w:line="276" w:lineRule="auto"/>
              <w:rPr>
                <w:rFonts w:eastAsia="Calibri" w:cs="Tahoma"/>
                <w:szCs w:val="18"/>
              </w:rPr>
            </w:pPr>
            <w:r>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73313" w:rsidRPr="000A5032" w:rsidRDefault="00E73313" w:rsidP="00E328C3">
            <w:pPr>
              <w:spacing w:after="200" w:line="276" w:lineRule="auto"/>
              <w:rPr>
                <w:rFonts w:eastAsia="Calibri" w:cs="Tahoma"/>
                <w:szCs w:val="18"/>
              </w:rPr>
            </w:pPr>
            <w:r>
              <w:rPr>
                <w:b/>
                <w:color w:val="000000"/>
              </w:rPr>
              <w:t>Lizenzgewährung</w:t>
            </w:r>
          </w:p>
        </w:tc>
      </w:tr>
      <w:tr w:rsidR="00E73313" w:rsidRPr="00ED50C8" w:rsidTr="00E328C3">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E73313" w:rsidRPr="000A5032" w:rsidRDefault="00E73313" w:rsidP="00E328C3">
            <w:pPr>
              <w:spacing w:line="276" w:lineRule="auto"/>
              <w:rPr>
                <w:rFonts w:eastAsia="Calibri" w:cs="Tahoma"/>
                <w:szCs w:val="18"/>
              </w:rPr>
            </w:pPr>
            <w:r w:rsidRPr="003002D3">
              <w:rPr>
                <w:rFonts w:eastAsia="Calibri" w:cs="Tahoma"/>
                <w:szCs w:val="18"/>
                <w:lang w:val="de-DE"/>
              </w:rPr>
              <w:t>SBS 2011 Standard mit Software Assurance bis zum 31</w:t>
            </w:r>
            <w:r w:rsidR="006257A7">
              <w:rPr>
                <w:rFonts w:eastAsia="Calibri" w:cs="Tahoma"/>
                <w:szCs w:val="18"/>
                <w:lang w:val="de-DE"/>
              </w:rPr>
              <w:t xml:space="preserve">. </w:t>
            </w:r>
            <w:r>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E73313" w:rsidRPr="003002D3" w:rsidRDefault="00E73313" w:rsidP="00B27BD3">
            <w:pPr>
              <w:spacing w:line="276" w:lineRule="auto"/>
              <w:rPr>
                <w:lang w:val="de-DE"/>
              </w:rPr>
            </w:pPr>
            <w:r w:rsidRPr="003002D3">
              <w:rPr>
                <w:rFonts w:eastAsia="Calibri" w:cs="Tahoma"/>
                <w:szCs w:val="18"/>
                <w:lang w:val="de-DE"/>
              </w:rPr>
              <w:t>Zwei Lizenzen für Windows Server 2008 R2 mit Software</w:t>
            </w:r>
            <w:r w:rsidR="00B27BD3">
              <w:rPr>
                <w:rFonts w:eastAsia="Calibri" w:cs="Tahoma"/>
                <w:szCs w:val="18"/>
                <w:lang w:val="de-DE"/>
              </w:rPr>
              <w:t> </w:t>
            </w:r>
            <w:r w:rsidRPr="003002D3">
              <w:rPr>
                <w:rFonts w:eastAsia="Calibri" w:cs="Tahoma"/>
                <w:szCs w:val="18"/>
                <w:lang w:val="de-DE"/>
              </w:rPr>
              <w:t>Assurance</w:t>
            </w:r>
          </w:p>
          <w:p w:rsidR="00E73313" w:rsidRPr="003002D3" w:rsidRDefault="00E73313" w:rsidP="00E328C3">
            <w:pPr>
              <w:spacing w:line="276" w:lineRule="auto"/>
              <w:rPr>
                <w:rFonts w:eastAsia="Calibri" w:cs="Tahoma"/>
                <w:szCs w:val="18"/>
                <w:lang w:val="de-DE"/>
              </w:rPr>
            </w:pPr>
            <w:r w:rsidRPr="003002D3">
              <w:rPr>
                <w:rFonts w:eastAsia="Calibri" w:cs="Tahoma"/>
                <w:szCs w:val="18"/>
                <w:lang w:val="de-DE"/>
              </w:rPr>
              <w:t>Eine Lizenz für Exchange Server 2010 Standard mit Software Assurance</w:t>
            </w:r>
          </w:p>
        </w:tc>
      </w:tr>
      <w:tr w:rsidR="00E73313" w:rsidRPr="00ED50C8" w:rsidTr="00B27BD3">
        <w:trPr>
          <w:cantSplit/>
        </w:trPr>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E73313" w:rsidRPr="000A5032" w:rsidRDefault="00E73313" w:rsidP="00E328C3">
            <w:pPr>
              <w:spacing w:line="276" w:lineRule="auto"/>
              <w:rPr>
                <w:rFonts w:eastAsia="Calibri" w:cs="Tahoma"/>
                <w:szCs w:val="18"/>
              </w:rPr>
            </w:pPr>
            <w:r w:rsidRPr="003002D3">
              <w:rPr>
                <w:rFonts w:eastAsia="Calibri" w:cs="Tahoma"/>
                <w:szCs w:val="18"/>
                <w:lang w:val="de-DE"/>
              </w:rPr>
              <w:t>SBS 2011 Standard mit Software Assurance ab dem 1</w:t>
            </w:r>
            <w:r w:rsidR="006257A7">
              <w:rPr>
                <w:rFonts w:eastAsia="Calibri" w:cs="Tahoma"/>
                <w:szCs w:val="18"/>
                <w:lang w:val="de-DE"/>
              </w:rPr>
              <w:t xml:space="preserve">. </w:t>
            </w:r>
            <w:r>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E73313" w:rsidRPr="003002D3" w:rsidRDefault="00E73313" w:rsidP="00B27BD3">
            <w:pPr>
              <w:spacing w:line="276" w:lineRule="auto"/>
              <w:rPr>
                <w:lang w:val="de-DE"/>
              </w:rPr>
            </w:pPr>
            <w:r w:rsidRPr="003002D3">
              <w:rPr>
                <w:rFonts w:eastAsia="Calibri" w:cs="Tahoma"/>
                <w:szCs w:val="18"/>
                <w:lang w:val="de-DE"/>
              </w:rPr>
              <w:t>Zwei Lizenzen für Windows Server 2012 mit Software</w:t>
            </w:r>
            <w:r w:rsidR="00B27BD3">
              <w:rPr>
                <w:rFonts w:eastAsia="Calibri" w:cs="Tahoma"/>
                <w:szCs w:val="18"/>
                <w:lang w:val="de-DE"/>
              </w:rPr>
              <w:t> </w:t>
            </w:r>
            <w:r w:rsidRPr="003002D3">
              <w:rPr>
                <w:rFonts w:eastAsia="Calibri" w:cs="Tahoma"/>
                <w:szCs w:val="18"/>
                <w:lang w:val="de-DE"/>
              </w:rPr>
              <w:t>Assurance</w:t>
            </w:r>
          </w:p>
          <w:p w:rsidR="00E73313" w:rsidRPr="003002D3" w:rsidRDefault="00E73313" w:rsidP="00E328C3">
            <w:pPr>
              <w:spacing w:line="276" w:lineRule="auto"/>
              <w:rPr>
                <w:rFonts w:eastAsia="Calibri" w:cs="Tahoma"/>
                <w:szCs w:val="18"/>
                <w:lang w:val="de-DE"/>
              </w:rPr>
            </w:pPr>
            <w:r w:rsidRPr="003002D3">
              <w:rPr>
                <w:rFonts w:eastAsia="Calibri" w:cs="Tahoma"/>
                <w:szCs w:val="18"/>
                <w:lang w:val="de-DE"/>
              </w:rPr>
              <w:t>Eine Lizenz für Exchange Server 2010 Standard mit Software Assurance</w:t>
            </w:r>
          </w:p>
        </w:tc>
      </w:tr>
    </w:tbl>
    <w:p w:rsidR="00E73313" w:rsidRPr="00B27BD3" w:rsidRDefault="00E73313" w:rsidP="00E73313">
      <w:pPr>
        <w:spacing w:after="100" w:afterAutospacing="1" w:line="276" w:lineRule="auto"/>
        <w:ind w:left="720"/>
        <w:contextualSpacing/>
        <w:rPr>
          <w:szCs w:val="18"/>
          <w:lang w:val="de-DE"/>
        </w:rPr>
      </w:pPr>
    </w:p>
    <w:p w:rsidR="00E73313" w:rsidRPr="003002D3" w:rsidRDefault="00E73313" w:rsidP="00E73313">
      <w:pPr>
        <w:ind w:left="720"/>
        <w:rPr>
          <w:lang w:val="de-DE"/>
        </w:rPr>
      </w:pPr>
      <w:r w:rsidRPr="003002D3">
        <w:rPr>
          <w:rFonts w:eastAsia="Calibri" w:cs="Tahoma"/>
          <w:szCs w:val="18"/>
          <w:lang w:val="de-DE"/>
        </w:rPr>
        <w:t>Die Software Assurance aus den obigen Gewährungen läuft ab, wenn die entsprechende Software Assurance für die Qualifizierenden Lizenzen abläuft</w:t>
      </w:r>
      <w:r w:rsidR="006257A7">
        <w:rPr>
          <w:rFonts w:eastAsia="Calibri" w:cs="Tahoma"/>
          <w:szCs w:val="18"/>
          <w:lang w:val="de-DE"/>
        </w:rPr>
        <w:t xml:space="preserve">. </w:t>
      </w:r>
      <w:r w:rsidRPr="003002D3">
        <w:rPr>
          <w:rFonts w:eastAsia="Calibri" w:cs="Tahoma"/>
          <w:szCs w:val="18"/>
          <w:lang w:val="de-DE"/>
        </w:rPr>
        <w:t>Als Ausnahme dürfen Kunden mit Software Assurance für Qualifizierende Lizenzen, die im August 2012 ablaufen, bis zum 31</w:t>
      </w:r>
      <w:r w:rsidR="006257A7">
        <w:rPr>
          <w:rFonts w:eastAsia="Calibri" w:cs="Tahoma"/>
          <w:szCs w:val="18"/>
          <w:lang w:val="de-DE"/>
        </w:rPr>
        <w:t xml:space="preserve">. </w:t>
      </w:r>
      <w:r w:rsidRPr="003002D3">
        <w:rPr>
          <w:rFonts w:eastAsia="Calibri" w:cs="Tahoma"/>
          <w:szCs w:val="18"/>
          <w:lang w:val="de-DE"/>
        </w:rPr>
        <w:t>Dezember 2012 für die im Rahmen dieses Angebots gewährten Lizenzen für Windows Server und Exchange Server Software Assurance verlängern</w:t>
      </w:r>
      <w:r w:rsidR="006257A7">
        <w:rPr>
          <w:rFonts w:eastAsia="Calibri" w:cs="Tahoma"/>
          <w:szCs w:val="18"/>
          <w:lang w:val="de-DE"/>
        </w:rPr>
        <w:t xml:space="preserve">. </w:t>
      </w:r>
    </w:p>
    <w:p w:rsidR="00E73313" w:rsidRPr="00B27BD3" w:rsidRDefault="00E73313" w:rsidP="00E73313">
      <w:pPr>
        <w:pStyle w:val="ListParagraph"/>
        <w:contextualSpacing w:val="0"/>
        <w:rPr>
          <w:sz w:val="18"/>
          <w:szCs w:val="18"/>
          <w:lang w:val="de-DE"/>
        </w:rPr>
      </w:pPr>
    </w:p>
    <w:p w:rsidR="00E73313" w:rsidRPr="003002D3" w:rsidRDefault="00E73313" w:rsidP="00E73313">
      <w:pPr>
        <w:pStyle w:val="ListParagraph"/>
        <w:contextualSpacing w:val="0"/>
        <w:rPr>
          <w:lang w:val="de-DE"/>
        </w:rPr>
      </w:pPr>
      <w:r w:rsidRPr="003002D3">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r w:rsidR="006257A7">
        <w:rPr>
          <w:rFonts w:ascii="Tahoma" w:eastAsia="Calibri" w:hAnsi="Tahoma" w:cs="Tahoma"/>
          <w:sz w:val="18"/>
          <w:szCs w:val="18"/>
          <w:lang w:val="de-DE"/>
        </w:rPr>
        <w:t xml:space="preserve">. </w:t>
      </w:r>
    </w:p>
    <w:p w:rsidR="00E73313" w:rsidRPr="00B27BD3" w:rsidRDefault="00E73313" w:rsidP="00E73313">
      <w:pPr>
        <w:pStyle w:val="ListParagraph"/>
        <w:contextualSpacing w:val="0"/>
        <w:rPr>
          <w:sz w:val="18"/>
          <w:szCs w:val="18"/>
          <w:lang w:val="de-DE"/>
        </w:rPr>
      </w:pPr>
    </w:p>
    <w:p w:rsidR="00E73313" w:rsidRPr="003002D3" w:rsidRDefault="00E73313" w:rsidP="00E73313">
      <w:pPr>
        <w:pStyle w:val="ListParagraph"/>
        <w:contextualSpacing w:val="0"/>
        <w:rPr>
          <w:lang w:val="de-DE"/>
        </w:rPr>
      </w:pPr>
      <w:r w:rsidRPr="003002D3">
        <w:rPr>
          <w:rFonts w:ascii="Tahoma" w:eastAsia="Calibri" w:hAnsi="Tahoma" w:cs="Tahoma"/>
          <w:sz w:val="18"/>
          <w:szCs w:val="18"/>
          <w:lang w:val="de-DE"/>
        </w:rPr>
        <w:t>Für jede Qualifizierende Lizenz, die unter einer Open Value Subscription erworben wurde, ist der Kunde berechtigt, ein Buy-Out für eine SBS 2011 Standard-Lizenz wie angeboten durchzuführen, oder</w:t>
      </w:r>
    </w:p>
    <w:p w:rsidR="00E73313" w:rsidRPr="00B27BD3" w:rsidRDefault="00E73313" w:rsidP="00E73313">
      <w:pPr>
        <w:pStyle w:val="ListParagraph"/>
        <w:contextualSpacing w:val="0"/>
        <w:rPr>
          <w:sz w:val="18"/>
          <w:szCs w:val="18"/>
          <w:lang w:val="de-DE"/>
        </w:rPr>
      </w:pPr>
    </w:p>
    <w:p w:rsidR="00E73313" w:rsidRPr="0062435A" w:rsidRDefault="00E73313" w:rsidP="00E73313">
      <w:pPr>
        <w:pStyle w:val="ListParagraph"/>
        <w:numPr>
          <w:ilvl w:val="1"/>
          <w:numId w:val="100"/>
        </w:numPr>
        <w:tabs>
          <w:tab w:val="clear" w:pos="1440"/>
        </w:tabs>
        <w:contextualSpacing w:val="0"/>
      </w:pPr>
      <w:r w:rsidRPr="003002D3">
        <w:rPr>
          <w:rFonts w:ascii="Tahoma" w:eastAsia="Calibri" w:hAnsi="Tahoma" w:cs="Tahoma"/>
          <w:sz w:val="18"/>
          <w:szCs w:val="18"/>
          <w:lang w:val="de-DE"/>
        </w:rPr>
        <w:t>Zwei Lizenzen für Windows Server 2012 Standard und eine Lizenz für Exchange Server 2010 Standard für Verträge, die ab dem 1</w:t>
      </w:r>
      <w:r w:rsidR="006257A7">
        <w:rPr>
          <w:rFonts w:ascii="Tahoma" w:eastAsia="Calibri" w:hAnsi="Tahoma" w:cs="Tahoma"/>
          <w:sz w:val="18"/>
          <w:szCs w:val="18"/>
          <w:lang w:val="de-DE"/>
        </w:rPr>
        <w:t xml:space="preserve">. </w:t>
      </w:r>
      <w:r>
        <w:rPr>
          <w:rFonts w:ascii="Tahoma" w:eastAsia="Calibri" w:hAnsi="Tahoma" w:cs="Tahoma"/>
          <w:sz w:val="18"/>
          <w:szCs w:val="18"/>
        </w:rPr>
        <w:t>August 2012 ablaufen, oder</w:t>
      </w:r>
    </w:p>
    <w:p w:rsidR="00E73313" w:rsidRPr="003002D3" w:rsidRDefault="00E73313" w:rsidP="00E73313">
      <w:pPr>
        <w:pStyle w:val="ListParagraph"/>
        <w:numPr>
          <w:ilvl w:val="1"/>
          <w:numId w:val="100"/>
        </w:numPr>
        <w:tabs>
          <w:tab w:val="clear" w:pos="1440"/>
        </w:tabs>
        <w:contextualSpacing w:val="0"/>
        <w:rPr>
          <w:lang w:val="de-DE"/>
        </w:rPr>
      </w:pPr>
      <w:r w:rsidRPr="003002D3">
        <w:rPr>
          <w:rFonts w:ascii="Tahoma" w:eastAsia="Calibri" w:hAnsi="Tahoma" w:cs="Tahoma"/>
          <w:sz w:val="18"/>
          <w:szCs w:val="18"/>
          <w:lang w:val="de-DE"/>
        </w:rPr>
        <w:t>Zwei Lizenzen für Windows Server 2008 R2 Standard und eine Lizenz für Exchange Server 2010 Standard für Verträge, die im Juli 2012 ablaufen</w:t>
      </w:r>
      <w:r w:rsidR="006257A7">
        <w:rPr>
          <w:rFonts w:ascii="Tahoma" w:eastAsia="Calibri" w:hAnsi="Tahoma" w:cs="Tahoma"/>
          <w:sz w:val="18"/>
          <w:szCs w:val="18"/>
          <w:lang w:val="de-DE"/>
        </w:rPr>
        <w:t xml:space="preserve">. </w:t>
      </w:r>
    </w:p>
    <w:p w:rsidR="00E73313" w:rsidRDefault="00E73313" w:rsidP="00E73313">
      <w:pPr>
        <w:ind w:left="720"/>
        <w:rPr>
          <w:szCs w:val="18"/>
          <w:lang w:val="de-DE"/>
        </w:rPr>
      </w:pPr>
    </w:p>
    <w:p w:rsidR="00E73313" w:rsidRPr="003002D3" w:rsidRDefault="00E73313" w:rsidP="00E73313">
      <w:pPr>
        <w:ind w:left="720"/>
        <w:rPr>
          <w:lang w:val="de-DE"/>
        </w:rPr>
      </w:pPr>
      <w:r w:rsidRPr="003002D3">
        <w:rPr>
          <w:rFonts w:eastAsia="Calibri" w:cs="Tahoma"/>
          <w:szCs w:val="18"/>
          <w:lang w:val="de-DE"/>
        </w:rPr>
        <w:t>Bei Upgrade auf Windows Server Standard und Exchange Server 2010 Standard unter dieser Gewährung sind die bestehenden Qualifizierenden Lizenzen für SBS Standard des Kunden nicht mehr gültig</w:t>
      </w:r>
      <w:r w:rsidR="006257A7">
        <w:rPr>
          <w:rFonts w:eastAsia="Calibri" w:cs="Tahoma"/>
          <w:szCs w:val="18"/>
          <w:lang w:val="de-DE"/>
        </w:rPr>
        <w:t xml:space="preserve">. </w:t>
      </w:r>
    </w:p>
    <w:p w:rsidR="00E73313" w:rsidRPr="00B27BD3" w:rsidRDefault="00E73313" w:rsidP="00E73313">
      <w:pPr>
        <w:ind w:left="720"/>
        <w:rPr>
          <w:szCs w:val="18"/>
          <w:lang w:val="de-DE"/>
        </w:rPr>
      </w:pPr>
    </w:p>
    <w:p w:rsidR="00E73313" w:rsidRPr="003002D3" w:rsidRDefault="00E73313" w:rsidP="00E73313">
      <w:pPr>
        <w:ind w:left="720"/>
        <w:rPr>
          <w:lang w:val="de-DE"/>
        </w:rPr>
      </w:pPr>
      <w:r w:rsidRPr="003002D3">
        <w:rPr>
          <w:color w:val="000000"/>
          <w:lang w:val="de-DE"/>
        </w:rPr>
        <w:t>SBS 2011 Standard</w:t>
      </w:r>
      <w:r w:rsidRPr="003002D3">
        <w:rPr>
          <w:rFonts w:cs="Tahoma"/>
          <w:bCs/>
          <w:color w:val="000000"/>
          <w:szCs w:val="18"/>
          <w:lang w:val="de-DE"/>
        </w:rPr>
        <w:t>-Lizenzen, die danach unter derselben Beitrittslaufzeit im Rahmen eines Open Value Subscription-Prozesses oder des geplanten jährlichen True Up-Prozesses des EES-Kunden erworben werden, sind ebenfalls Qualifizierende Lizenzen im Sinne der zuvor beschriebenen Gewährung</w:t>
      </w:r>
      <w:r w:rsidR="006257A7">
        <w:rPr>
          <w:rFonts w:cs="Tahoma"/>
          <w:bCs/>
          <w:color w:val="000000"/>
          <w:szCs w:val="18"/>
          <w:lang w:val="de-DE"/>
        </w:rPr>
        <w:t xml:space="preserve">. </w:t>
      </w:r>
    </w:p>
    <w:p w:rsidR="00E73313" w:rsidRPr="00B27BD3" w:rsidRDefault="00E73313" w:rsidP="00E73313">
      <w:pPr>
        <w:rPr>
          <w:szCs w:val="18"/>
          <w:lang w:val="de-DE"/>
        </w:rPr>
      </w:pPr>
    </w:p>
    <w:p w:rsidR="00E73313" w:rsidRPr="00B27BD3" w:rsidRDefault="00E73313" w:rsidP="00E73313">
      <w:pPr>
        <w:rPr>
          <w:szCs w:val="18"/>
          <w:lang w:val="de-DE"/>
        </w:rPr>
      </w:pPr>
    </w:p>
    <w:p w:rsidR="00E73313" w:rsidRPr="0062435A" w:rsidRDefault="00E73313" w:rsidP="00E73313">
      <w:pPr>
        <w:pStyle w:val="Heading2"/>
        <w:ind w:left="0"/>
      </w:pPr>
      <w:bookmarkStart w:id="1685" w:name="_122_Windows_Small"/>
      <w:bookmarkStart w:id="1686" w:name="_120_Windows_Small"/>
      <w:bookmarkStart w:id="1687" w:name="_110_Windows_Small"/>
      <w:bookmarkStart w:id="1688" w:name="_116_Windows_Small"/>
      <w:bookmarkStart w:id="1689" w:name="_Toc336338378"/>
      <w:bookmarkStart w:id="1690" w:name="_Toc363999112"/>
      <w:bookmarkEnd w:id="1685"/>
      <w:bookmarkEnd w:id="1686"/>
      <w:bookmarkEnd w:id="1687"/>
      <w:bookmarkEnd w:id="1688"/>
      <w:r>
        <w:rPr>
          <w:rFonts w:ascii="Tahoma" w:hAnsi="Tahoma" w:cs="Tahoma"/>
          <w:caps/>
          <w:color w:val="EE6000"/>
          <w:sz w:val="22"/>
          <w:szCs w:val="18"/>
          <w:vertAlign w:val="superscript"/>
        </w:rPr>
        <w:t>115</w:t>
      </w:r>
      <w:r w:rsidRPr="00B27BD3">
        <w:rPr>
          <w:rFonts w:ascii="Tahoma" w:hAnsi="Tahoma" w:cs="Tahoma"/>
          <w:caps/>
          <w:color w:val="EE6000"/>
          <w:sz w:val="22"/>
          <w:szCs w:val="18"/>
        </w:rPr>
        <w:t xml:space="preserve"> </w:t>
      </w:r>
      <w:r>
        <w:rPr>
          <w:rFonts w:ascii="Tahoma" w:hAnsi="Tahoma" w:cs="Tahoma"/>
          <w:color w:val="F8701C"/>
          <w:sz w:val="22"/>
          <w:szCs w:val="22"/>
        </w:rPr>
        <w:t>Windows Small Business Server (SBS) 2011 CAL Suite</w:t>
      </w:r>
      <w:bookmarkEnd w:id="1689"/>
      <w:bookmarkEnd w:id="1690"/>
    </w:p>
    <w:p w:rsidR="00E73313" w:rsidRPr="00B27BD3" w:rsidRDefault="00E73313" w:rsidP="00E73313">
      <w:pPr>
        <w:ind w:left="900"/>
        <w:rPr>
          <w:szCs w:val="18"/>
        </w:rPr>
      </w:pPr>
    </w:p>
    <w:p w:rsidR="00E73313" w:rsidRPr="003002D3" w:rsidRDefault="00E73313" w:rsidP="00B27BD3">
      <w:pPr>
        <w:spacing w:after="60"/>
        <w:ind w:left="720"/>
        <w:rPr>
          <w:lang w:val="de-DE"/>
        </w:rPr>
      </w:pPr>
      <w:r w:rsidRPr="003002D3">
        <w:rPr>
          <w:b/>
          <w:color w:val="000000"/>
          <w:lang w:val="de-DE"/>
        </w:rPr>
        <w:t>Lizenzgewährungen im Zusammenhang mit dem Ende der Lebensdauer von SBS 2011 CAL</w:t>
      </w:r>
      <w:r w:rsidR="00B27BD3">
        <w:rPr>
          <w:b/>
          <w:color w:val="000000"/>
          <w:lang w:val="de-DE"/>
        </w:rPr>
        <w:t> </w:t>
      </w:r>
      <w:r w:rsidRPr="003002D3">
        <w:rPr>
          <w:b/>
          <w:color w:val="000000"/>
          <w:lang w:val="de-DE"/>
        </w:rPr>
        <w:t>Suite</w:t>
      </w:r>
    </w:p>
    <w:p w:rsidR="00E73313" w:rsidRPr="003002D3" w:rsidRDefault="00E73313" w:rsidP="00B27BD3">
      <w:pPr>
        <w:ind w:left="720"/>
        <w:rPr>
          <w:lang w:val="de-DE"/>
        </w:rPr>
      </w:pPr>
      <w:r w:rsidRPr="003002D3">
        <w:rPr>
          <w:lang w:val="de-DE"/>
        </w:rPr>
        <w:t>Kunden mit Software Assurance für SBS 2011 CAL Suite („Qualifizierende CALs“) sind berechtigt, auf die Software Window Server Standard und Exchange Server 2010 Standard zuzugreifen</w:t>
      </w:r>
      <w:r w:rsidR="006257A7">
        <w:rPr>
          <w:lang w:val="de-DE"/>
        </w:rPr>
        <w:t xml:space="preserve">. </w:t>
      </w:r>
      <w:r w:rsidRPr="003002D3">
        <w:rPr>
          <w:rFonts w:eastAsia="Calibri" w:cs="Tahoma"/>
          <w:szCs w:val="18"/>
          <w:lang w:val="de-DE"/>
        </w:rPr>
        <w:t>Um diesen Zugriff zu</w:t>
      </w:r>
      <w:r w:rsidR="00B27BD3">
        <w:rPr>
          <w:rFonts w:eastAsia="Calibri" w:cs="Tahoma"/>
          <w:szCs w:val="18"/>
          <w:lang w:val="de-DE"/>
        </w:rPr>
        <w:t> </w:t>
      </w:r>
      <w:r w:rsidRPr="003002D3">
        <w:rPr>
          <w:rFonts w:eastAsia="Calibri" w:cs="Tahoma"/>
          <w:szCs w:val="18"/>
          <w:lang w:val="de-DE"/>
        </w:rPr>
        <w:t>erleichtern, wird angenommen, dass dem Kunden für jede Qualifizierende CAL, die der Kunde besitzt, jeweils eine CAL für Windows Server Standard und für Exchange Server 2010 Standard entsprechend der</w:t>
      </w:r>
      <w:r w:rsidR="00B27BD3">
        <w:rPr>
          <w:rFonts w:eastAsia="Calibri" w:cs="Tahoma"/>
          <w:szCs w:val="18"/>
          <w:lang w:val="de-DE"/>
        </w:rPr>
        <w:t> </w:t>
      </w:r>
      <w:r w:rsidRPr="003002D3">
        <w:rPr>
          <w:rFonts w:eastAsia="Calibri" w:cs="Tahoma"/>
          <w:szCs w:val="18"/>
          <w:lang w:val="de-DE"/>
        </w:rPr>
        <w:t>nachstehenden Tabelle gewährt wird</w:t>
      </w:r>
      <w:r w:rsidR="006257A7">
        <w:rPr>
          <w:rFonts w:eastAsia="Calibri" w:cs="Tahoma"/>
          <w:szCs w:val="18"/>
          <w:lang w:val="de-DE"/>
        </w:rPr>
        <w:t xml:space="preserve">. </w:t>
      </w:r>
    </w:p>
    <w:p w:rsidR="00E73313" w:rsidRPr="00B27BD3" w:rsidRDefault="00E73313" w:rsidP="00E73313">
      <w:pPr>
        <w:rPr>
          <w:szCs w:val="18"/>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E73313" w:rsidRPr="000A5032" w:rsidTr="00E328C3">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73313" w:rsidRPr="000A5032" w:rsidRDefault="00E73313" w:rsidP="00E328C3">
            <w:pPr>
              <w:spacing w:after="200" w:line="276" w:lineRule="auto"/>
              <w:rPr>
                <w:rFonts w:eastAsia="Calibri" w:cs="Tahoma"/>
                <w:szCs w:val="18"/>
              </w:rPr>
            </w:pPr>
            <w:r>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73313" w:rsidRPr="000A5032" w:rsidRDefault="00E73313" w:rsidP="00E328C3">
            <w:pPr>
              <w:spacing w:after="200" w:line="276" w:lineRule="auto"/>
              <w:rPr>
                <w:rFonts w:eastAsia="Calibri" w:cs="Tahoma"/>
                <w:szCs w:val="18"/>
              </w:rPr>
            </w:pPr>
            <w:r>
              <w:rPr>
                <w:b/>
                <w:color w:val="000000"/>
              </w:rPr>
              <w:t>Lizenzgewährung</w:t>
            </w:r>
          </w:p>
        </w:tc>
      </w:tr>
      <w:tr w:rsidR="00E73313" w:rsidRPr="00ED50C8" w:rsidTr="00E328C3">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E73313" w:rsidRPr="000A5032" w:rsidRDefault="00E73313" w:rsidP="00E328C3">
            <w:pPr>
              <w:spacing w:line="276" w:lineRule="auto"/>
              <w:rPr>
                <w:rFonts w:eastAsia="Calibri" w:cs="Tahoma"/>
                <w:szCs w:val="18"/>
              </w:rPr>
            </w:pPr>
            <w:r w:rsidRPr="003002D3">
              <w:rPr>
                <w:rFonts w:eastAsia="Calibri" w:cs="Tahoma"/>
                <w:szCs w:val="18"/>
                <w:lang w:val="de-DE"/>
              </w:rPr>
              <w:t>SBS 2011 CAL Suite mit Software Assurance bis zum 31</w:t>
            </w:r>
            <w:r w:rsidR="006257A7">
              <w:rPr>
                <w:rFonts w:eastAsia="Calibri" w:cs="Tahoma"/>
                <w:szCs w:val="18"/>
                <w:lang w:val="de-DE"/>
              </w:rPr>
              <w:t xml:space="preserve">. </w:t>
            </w:r>
            <w:r>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E73313" w:rsidRPr="003002D3" w:rsidRDefault="00E73313" w:rsidP="00E328C3">
            <w:pPr>
              <w:spacing w:line="276" w:lineRule="auto"/>
              <w:rPr>
                <w:lang w:val="de-DE"/>
              </w:rPr>
            </w:pPr>
            <w:r w:rsidRPr="003002D3">
              <w:rPr>
                <w:rFonts w:eastAsia="Calibri" w:cs="Tahoma"/>
                <w:szCs w:val="18"/>
                <w:lang w:val="de-DE"/>
              </w:rPr>
              <w:t>CAL für Windows Server 2008 R2</w:t>
            </w:r>
          </w:p>
          <w:p w:rsidR="00E73313" w:rsidRPr="003002D3" w:rsidRDefault="00E73313" w:rsidP="00E328C3">
            <w:pPr>
              <w:spacing w:line="276" w:lineRule="auto"/>
              <w:rPr>
                <w:rFonts w:eastAsia="Calibri" w:cs="Tahoma"/>
                <w:szCs w:val="18"/>
                <w:lang w:val="de-DE"/>
              </w:rPr>
            </w:pPr>
            <w:r w:rsidRPr="003002D3">
              <w:rPr>
                <w:rFonts w:eastAsia="Calibri" w:cs="Tahoma"/>
                <w:szCs w:val="18"/>
                <w:lang w:val="de-DE"/>
              </w:rPr>
              <w:t>CAL für Exchange Server 2010</w:t>
            </w:r>
          </w:p>
        </w:tc>
      </w:tr>
      <w:tr w:rsidR="00E73313" w:rsidRPr="00ED50C8" w:rsidTr="00E328C3">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E73313" w:rsidRPr="000A5032" w:rsidRDefault="00E73313" w:rsidP="00E328C3">
            <w:pPr>
              <w:spacing w:line="276" w:lineRule="auto"/>
              <w:rPr>
                <w:rFonts w:eastAsia="Calibri" w:cs="Tahoma"/>
                <w:szCs w:val="18"/>
              </w:rPr>
            </w:pPr>
            <w:r w:rsidRPr="003002D3">
              <w:rPr>
                <w:rFonts w:eastAsia="Calibri" w:cs="Tahoma"/>
                <w:szCs w:val="18"/>
                <w:lang w:val="de-DE"/>
              </w:rPr>
              <w:t>SBS 2011 CAL Suite mit Software Assurance ab dem 1</w:t>
            </w:r>
            <w:r w:rsidR="006257A7">
              <w:rPr>
                <w:rFonts w:eastAsia="Calibri" w:cs="Tahoma"/>
                <w:szCs w:val="18"/>
                <w:lang w:val="de-DE"/>
              </w:rPr>
              <w:t xml:space="preserve">. </w:t>
            </w:r>
            <w:r>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E73313" w:rsidRPr="003002D3" w:rsidRDefault="00E73313" w:rsidP="00E328C3">
            <w:pPr>
              <w:spacing w:line="276" w:lineRule="auto"/>
              <w:rPr>
                <w:lang w:val="de-DE"/>
              </w:rPr>
            </w:pPr>
            <w:r w:rsidRPr="003002D3">
              <w:rPr>
                <w:rFonts w:eastAsia="Calibri" w:cs="Tahoma"/>
                <w:szCs w:val="18"/>
                <w:lang w:val="de-DE"/>
              </w:rPr>
              <w:t>CAL für Windows Server 2012 mit Software Assurance</w:t>
            </w:r>
          </w:p>
          <w:p w:rsidR="00E73313" w:rsidRPr="003002D3" w:rsidRDefault="00E73313" w:rsidP="00E328C3">
            <w:pPr>
              <w:spacing w:line="276" w:lineRule="auto"/>
              <w:rPr>
                <w:rFonts w:eastAsia="Calibri" w:cs="Tahoma"/>
                <w:szCs w:val="18"/>
                <w:lang w:val="de-DE"/>
              </w:rPr>
            </w:pPr>
            <w:r w:rsidRPr="003002D3">
              <w:rPr>
                <w:rFonts w:eastAsia="Calibri" w:cs="Tahoma"/>
                <w:szCs w:val="18"/>
                <w:lang w:val="de-DE"/>
              </w:rPr>
              <w:t>CAL für Exchange Server 2010 mit Software Assurance</w:t>
            </w:r>
          </w:p>
        </w:tc>
      </w:tr>
    </w:tbl>
    <w:p w:rsidR="00E73313" w:rsidRPr="00B27BD3" w:rsidRDefault="00E73313" w:rsidP="00E73313">
      <w:pPr>
        <w:pStyle w:val="ListParagraph"/>
        <w:contextualSpacing w:val="0"/>
        <w:rPr>
          <w:sz w:val="18"/>
          <w:szCs w:val="18"/>
          <w:lang w:val="de-DE"/>
        </w:rPr>
      </w:pPr>
    </w:p>
    <w:p w:rsidR="00E73313" w:rsidRPr="003002D3" w:rsidRDefault="00E73313" w:rsidP="00E73313">
      <w:pPr>
        <w:pStyle w:val="ListParagraph"/>
        <w:contextualSpacing w:val="0"/>
        <w:rPr>
          <w:lang w:val="de-DE"/>
        </w:rPr>
      </w:pPr>
      <w:r w:rsidRPr="003002D3">
        <w:rPr>
          <w:rFonts w:ascii="Tahoma" w:eastAsia="Calibri" w:hAnsi="Tahoma" w:cs="Tahoma"/>
          <w:sz w:val="18"/>
          <w:szCs w:val="18"/>
          <w:lang w:val="de-DE"/>
        </w:rPr>
        <w:t>Die Software Assurance aus den obigen Gewährungen läuft ab, wenn die entsprechende Software Assurance für die Qualifizierenden CALs abläuft</w:t>
      </w:r>
      <w:r w:rsidR="006257A7">
        <w:rPr>
          <w:rFonts w:ascii="Tahoma" w:eastAsia="Calibri" w:hAnsi="Tahoma" w:cs="Tahoma"/>
          <w:sz w:val="18"/>
          <w:szCs w:val="18"/>
          <w:lang w:val="de-DE"/>
        </w:rPr>
        <w:t xml:space="preserve">. </w:t>
      </w:r>
      <w:r w:rsidRPr="003002D3">
        <w:rPr>
          <w:rFonts w:ascii="Tahoma" w:eastAsia="Calibri" w:hAnsi="Tahoma" w:cs="Tahoma"/>
          <w:sz w:val="18"/>
          <w:szCs w:val="18"/>
          <w:lang w:val="de-DE"/>
        </w:rPr>
        <w:t>Als Ausnahme dürfen Kunden mit Software Assurance für Qualifizierende CALs, die im August 2012 ablaufen, bis zum 31</w:t>
      </w:r>
      <w:r w:rsidR="006257A7">
        <w:rPr>
          <w:rFonts w:ascii="Tahoma" w:eastAsia="Calibri" w:hAnsi="Tahoma" w:cs="Tahoma"/>
          <w:sz w:val="18"/>
          <w:szCs w:val="18"/>
          <w:lang w:val="de-DE"/>
        </w:rPr>
        <w:t xml:space="preserve">. </w:t>
      </w:r>
      <w:r w:rsidRPr="003002D3">
        <w:rPr>
          <w:rFonts w:ascii="Tahoma" w:eastAsia="Calibri" w:hAnsi="Tahoma" w:cs="Tahoma"/>
          <w:sz w:val="18"/>
          <w:szCs w:val="18"/>
          <w:lang w:val="de-DE"/>
        </w:rPr>
        <w:t>Dezember 2012 für die im Rahmen dieses Angebots gewährten CALs Software Assurance verlängern</w:t>
      </w:r>
      <w:r w:rsidR="006257A7">
        <w:rPr>
          <w:rFonts w:ascii="Tahoma" w:eastAsia="Calibri" w:hAnsi="Tahoma" w:cs="Tahoma"/>
          <w:sz w:val="18"/>
          <w:szCs w:val="18"/>
          <w:lang w:val="de-DE"/>
        </w:rPr>
        <w:t xml:space="preserve">. </w:t>
      </w:r>
      <w:r w:rsidRPr="003002D3">
        <w:rPr>
          <w:rFonts w:ascii="Tahoma" w:eastAsia="Calibri" w:hAnsi="Tahoma" w:cs="Tahoma"/>
          <w:sz w:val="18"/>
          <w:szCs w:val="18"/>
          <w:lang w:val="de-DE"/>
        </w:rPr>
        <w:t>Kunden mit Software Assurance für Qualifizierende CALs, die im Juli 2012 ablaufen, sind bis zum 31</w:t>
      </w:r>
      <w:r w:rsidR="006257A7">
        <w:rPr>
          <w:rFonts w:ascii="Tahoma" w:eastAsia="Calibri" w:hAnsi="Tahoma" w:cs="Tahoma"/>
          <w:sz w:val="18"/>
          <w:szCs w:val="18"/>
          <w:lang w:val="de-DE"/>
        </w:rPr>
        <w:t xml:space="preserve">. </w:t>
      </w:r>
      <w:r w:rsidRPr="003002D3">
        <w:rPr>
          <w:rFonts w:ascii="Tahoma" w:eastAsia="Calibri" w:hAnsi="Tahoma" w:cs="Tahoma"/>
          <w:sz w:val="18"/>
          <w:szCs w:val="18"/>
          <w:lang w:val="de-DE"/>
        </w:rPr>
        <w:t>Dezember 2012 berechtigt, für die im Rahmen dieses Angebots gewährten CALs Software Assurance zu erwerben</w:t>
      </w:r>
      <w:r w:rsidR="006257A7">
        <w:rPr>
          <w:rFonts w:ascii="Tahoma" w:eastAsia="Calibri" w:hAnsi="Tahoma" w:cs="Tahoma"/>
          <w:sz w:val="18"/>
          <w:szCs w:val="18"/>
          <w:lang w:val="de-DE"/>
        </w:rPr>
        <w:t xml:space="preserve">. </w:t>
      </w:r>
    </w:p>
    <w:p w:rsidR="00E73313" w:rsidRPr="003002D3" w:rsidRDefault="00E73313" w:rsidP="00E73313">
      <w:pPr>
        <w:pStyle w:val="ListParagraph"/>
        <w:contextualSpacing w:val="0"/>
        <w:rPr>
          <w:lang w:val="de-DE"/>
        </w:rPr>
      </w:pPr>
      <w:r w:rsidRPr="003002D3">
        <w:rPr>
          <w:rFonts w:ascii="Tahoma" w:eastAsia="Calibri" w:hAnsi="Tahoma" w:cs="Tahoma"/>
          <w:sz w:val="18"/>
          <w:szCs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r w:rsidR="006257A7">
        <w:rPr>
          <w:rFonts w:ascii="Tahoma" w:eastAsia="Calibri" w:hAnsi="Tahoma" w:cs="Tahoma"/>
          <w:sz w:val="18"/>
          <w:szCs w:val="18"/>
          <w:lang w:val="de-DE"/>
        </w:rPr>
        <w:t xml:space="preserve">. </w:t>
      </w:r>
    </w:p>
    <w:p w:rsidR="00E73313" w:rsidRPr="003002D3" w:rsidRDefault="00E73313" w:rsidP="00E73313">
      <w:pPr>
        <w:pStyle w:val="ListParagraph"/>
        <w:contextualSpacing w:val="0"/>
        <w:rPr>
          <w:lang w:val="de-DE"/>
        </w:rPr>
      </w:pPr>
    </w:p>
    <w:p w:rsidR="00E73313" w:rsidRPr="003002D3" w:rsidRDefault="00E73313" w:rsidP="00E73313">
      <w:pPr>
        <w:pStyle w:val="ListParagraph"/>
        <w:contextualSpacing w:val="0"/>
        <w:rPr>
          <w:lang w:val="de-DE"/>
        </w:rPr>
      </w:pPr>
      <w:r w:rsidRPr="003002D3">
        <w:rPr>
          <w:rFonts w:ascii="Tahoma" w:eastAsia="Calibri" w:hAnsi="Tahoma" w:cs="Tahoma"/>
          <w:sz w:val="18"/>
          <w:szCs w:val="18"/>
          <w:lang w:val="de-DE"/>
        </w:rPr>
        <w:t>Für jede Qualifizierende CAL, die unter einer Open Value Subscription erworben wurde, ist der Kunde berechtigt, ein Buy-Out für eine SBS 2011 CAL Suite wie angeboten durchzuführen, oder</w:t>
      </w:r>
    </w:p>
    <w:p w:rsidR="00E73313" w:rsidRPr="003002D3" w:rsidRDefault="00E73313" w:rsidP="00E73313">
      <w:pPr>
        <w:pStyle w:val="ListParagraph"/>
        <w:contextualSpacing w:val="0"/>
        <w:rPr>
          <w:lang w:val="de-DE"/>
        </w:rPr>
      </w:pPr>
    </w:p>
    <w:p w:rsidR="00E73313" w:rsidRPr="00B27BD3" w:rsidRDefault="00E73313" w:rsidP="00B27BD3">
      <w:pPr>
        <w:pStyle w:val="ListParagraph"/>
        <w:numPr>
          <w:ilvl w:val="1"/>
          <w:numId w:val="100"/>
        </w:numPr>
        <w:tabs>
          <w:tab w:val="clear" w:pos="1440"/>
        </w:tabs>
        <w:spacing w:after="60"/>
        <w:ind w:left="1800"/>
        <w:contextualSpacing w:val="0"/>
        <w:rPr>
          <w:lang w:val="de-DE"/>
        </w:rPr>
      </w:pPr>
      <w:r w:rsidRPr="003002D3">
        <w:rPr>
          <w:rFonts w:ascii="Tahoma" w:eastAsia="Calibri" w:hAnsi="Tahoma" w:cs="Tahoma"/>
          <w:sz w:val="18"/>
          <w:szCs w:val="18"/>
          <w:lang w:val="de-DE"/>
        </w:rPr>
        <w:t>Je eine CAL für Windows Server 2012 und Exchange Server 2010 Standard für Verträge, die ab</w:t>
      </w:r>
      <w:r w:rsidR="00B27BD3">
        <w:rPr>
          <w:rFonts w:ascii="Tahoma" w:eastAsia="Calibri" w:hAnsi="Tahoma" w:cs="Tahoma"/>
          <w:sz w:val="18"/>
          <w:szCs w:val="18"/>
          <w:lang w:val="de-DE"/>
        </w:rPr>
        <w:t> </w:t>
      </w:r>
      <w:r w:rsidRPr="003002D3">
        <w:rPr>
          <w:rFonts w:ascii="Tahoma" w:eastAsia="Calibri" w:hAnsi="Tahoma" w:cs="Tahoma"/>
          <w:sz w:val="18"/>
          <w:szCs w:val="18"/>
          <w:lang w:val="de-DE"/>
        </w:rPr>
        <w:t>dem 1</w:t>
      </w:r>
      <w:r w:rsidR="006257A7">
        <w:rPr>
          <w:rFonts w:ascii="Tahoma" w:eastAsia="Calibri" w:hAnsi="Tahoma" w:cs="Tahoma"/>
          <w:sz w:val="18"/>
          <w:szCs w:val="18"/>
          <w:lang w:val="de-DE"/>
        </w:rPr>
        <w:t xml:space="preserve">. </w:t>
      </w:r>
      <w:r w:rsidRPr="00B27BD3">
        <w:rPr>
          <w:rFonts w:ascii="Tahoma" w:eastAsia="Calibri" w:hAnsi="Tahoma" w:cs="Tahoma"/>
          <w:sz w:val="18"/>
          <w:szCs w:val="18"/>
          <w:lang w:val="de-DE"/>
        </w:rPr>
        <w:t>August 2012 ablaufen, und</w:t>
      </w:r>
    </w:p>
    <w:p w:rsidR="00E73313" w:rsidRPr="003002D3" w:rsidRDefault="00E73313" w:rsidP="00B27BD3">
      <w:pPr>
        <w:pStyle w:val="ListParagraph"/>
        <w:numPr>
          <w:ilvl w:val="1"/>
          <w:numId w:val="100"/>
        </w:numPr>
        <w:tabs>
          <w:tab w:val="clear" w:pos="1440"/>
        </w:tabs>
        <w:spacing w:after="60"/>
        <w:ind w:left="1800"/>
        <w:contextualSpacing w:val="0"/>
        <w:rPr>
          <w:lang w:val="de-DE"/>
        </w:rPr>
      </w:pPr>
      <w:r w:rsidRPr="003002D3">
        <w:rPr>
          <w:rFonts w:ascii="Tahoma" w:eastAsia="Calibri" w:hAnsi="Tahoma" w:cs="Tahoma"/>
          <w:sz w:val="18"/>
          <w:szCs w:val="18"/>
          <w:lang w:val="de-DE"/>
        </w:rPr>
        <w:t>Je eine CAL für Windows Server 2008 und Exchange Server 2010 Standard für Verträge, die im</w:t>
      </w:r>
      <w:r w:rsidR="00B27BD3">
        <w:rPr>
          <w:rFonts w:ascii="Tahoma" w:eastAsia="Calibri" w:hAnsi="Tahoma" w:cs="Tahoma"/>
          <w:sz w:val="18"/>
          <w:szCs w:val="18"/>
          <w:lang w:val="de-DE"/>
        </w:rPr>
        <w:t> </w:t>
      </w:r>
      <w:r w:rsidRPr="003002D3">
        <w:rPr>
          <w:rFonts w:ascii="Tahoma" w:eastAsia="Calibri" w:hAnsi="Tahoma" w:cs="Tahoma"/>
          <w:sz w:val="18"/>
          <w:szCs w:val="18"/>
          <w:lang w:val="de-DE"/>
        </w:rPr>
        <w:t>Juli 2012 ablaufen</w:t>
      </w:r>
      <w:r w:rsidR="006257A7">
        <w:rPr>
          <w:rFonts w:ascii="Tahoma" w:eastAsia="Calibri" w:hAnsi="Tahoma" w:cs="Tahoma"/>
          <w:sz w:val="18"/>
          <w:szCs w:val="18"/>
          <w:lang w:val="de-DE"/>
        </w:rPr>
        <w:t xml:space="preserve">. </w:t>
      </w:r>
    </w:p>
    <w:p w:rsidR="00E73313" w:rsidRPr="003002D3" w:rsidRDefault="00E73313" w:rsidP="00E73313">
      <w:pPr>
        <w:ind w:left="720"/>
        <w:rPr>
          <w:lang w:val="de-DE"/>
        </w:rPr>
      </w:pPr>
    </w:p>
    <w:p w:rsidR="00E73313" w:rsidRPr="003002D3" w:rsidRDefault="00E73313" w:rsidP="00B27BD3">
      <w:pPr>
        <w:ind w:left="720"/>
        <w:rPr>
          <w:lang w:val="de-DE"/>
        </w:rPr>
      </w:pPr>
      <w:r w:rsidRPr="003002D3">
        <w:rPr>
          <w:rFonts w:eastAsia="Calibri" w:cs="Tahoma"/>
          <w:szCs w:val="18"/>
          <w:lang w:val="de-DE"/>
        </w:rPr>
        <w:t>Bei der Nutzung der CAL für Windows Server und für Exchange Server 2010 Standard unter dieser Gewährung sind die bestehenden Qualifizierenden CALs für SBS 2011 CAL Suite der Kunden nicht mehr</w:t>
      </w:r>
      <w:r w:rsidR="00B27BD3">
        <w:rPr>
          <w:rFonts w:eastAsia="Calibri" w:cs="Tahoma"/>
          <w:szCs w:val="18"/>
          <w:lang w:val="de-DE"/>
        </w:rPr>
        <w:t> </w:t>
      </w:r>
      <w:r w:rsidRPr="003002D3">
        <w:rPr>
          <w:rFonts w:eastAsia="Calibri" w:cs="Tahoma"/>
          <w:szCs w:val="18"/>
          <w:lang w:val="de-DE"/>
        </w:rPr>
        <w:t>gültig</w:t>
      </w:r>
      <w:r w:rsidR="006257A7">
        <w:rPr>
          <w:rFonts w:eastAsia="Calibri" w:cs="Tahoma"/>
          <w:szCs w:val="18"/>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r w:rsidRPr="003002D3">
        <w:rPr>
          <w:color w:val="000000"/>
          <w:lang w:val="de-DE"/>
        </w:rPr>
        <w:t>SBS 2011 CAL Suites,</w:t>
      </w:r>
      <w:r w:rsidRPr="003002D3">
        <w:rPr>
          <w:rFonts w:cs="Tahoma"/>
          <w:bCs/>
          <w:color w:val="000000"/>
          <w:szCs w:val="18"/>
          <w:lang w:val="de-DE"/>
        </w:rPr>
        <w:t xml:space="preserve"> die danach unter derselben Beitrittslaufzeit im Rahmen eines Open Value Subscription-Prozesses oder des geplanten jährlichen True Up-Prozesses des EES-Kunden erworben werden, sind ebenfalls Qualifizierende CALs im Sinne der zuvor beschriebenen Gewährung</w:t>
      </w:r>
      <w:r w:rsidR="006257A7">
        <w:rPr>
          <w:rFonts w:cs="Tahoma"/>
          <w:bCs/>
          <w:color w:val="000000"/>
          <w:szCs w:val="18"/>
          <w:lang w:val="de-DE"/>
        </w:rPr>
        <w:t xml:space="preserve">. </w:t>
      </w:r>
    </w:p>
    <w:p w:rsidR="00E73313" w:rsidRDefault="00E73313" w:rsidP="00E73313">
      <w:pPr>
        <w:ind w:left="900"/>
        <w:rPr>
          <w:lang w:val="de-DE"/>
        </w:rPr>
      </w:pPr>
    </w:p>
    <w:p w:rsidR="006732D8" w:rsidRDefault="006732D8" w:rsidP="00E73313">
      <w:pPr>
        <w:ind w:left="900"/>
        <w:rPr>
          <w:lang w:val="de-DE"/>
        </w:rPr>
      </w:pPr>
    </w:p>
    <w:p w:rsidR="00E73313" w:rsidRPr="0062435A" w:rsidRDefault="00E73313" w:rsidP="00E73313">
      <w:pPr>
        <w:pStyle w:val="Heading2"/>
        <w:ind w:hanging="720"/>
      </w:pPr>
      <w:bookmarkStart w:id="1691" w:name="_116_Windows_Small_1"/>
      <w:bookmarkStart w:id="1692" w:name="Srv_122WinSmallBizSVR2011Addon"/>
      <w:bookmarkStart w:id="1693" w:name="_Toc336338379"/>
      <w:bookmarkStart w:id="1694" w:name="_Toc357669627"/>
      <w:bookmarkStart w:id="1695" w:name="_Toc363999113"/>
      <w:bookmarkStart w:id="1696" w:name="Srv_112WinSmallBizSVR2011Addon"/>
      <w:bookmarkStart w:id="1697" w:name="Srv_118WinSmallBizSVR2011Addon"/>
      <w:bookmarkEnd w:id="1691"/>
      <w:r>
        <w:rPr>
          <w:rFonts w:ascii="Tahoma" w:hAnsi="Tahoma" w:cs="Tahoma"/>
          <w:caps/>
          <w:color w:val="EE6000"/>
          <w:sz w:val="22"/>
          <w:szCs w:val="18"/>
          <w:vertAlign w:val="superscript"/>
        </w:rPr>
        <w:t>116</w:t>
      </w:r>
      <w:r w:rsidRPr="006732D8">
        <w:rPr>
          <w:rFonts w:ascii="Tahoma" w:hAnsi="Tahoma" w:cs="Tahoma"/>
          <w:caps/>
          <w:color w:val="EE6000"/>
          <w:sz w:val="22"/>
          <w:szCs w:val="18"/>
        </w:rPr>
        <w:t xml:space="preserve"> </w:t>
      </w:r>
      <w:r>
        <w:rPr>
          <w:rFonts w:ascii="Tahoma" w:hAnsi="Tahoma" w:cs="Tahoma"/>
          <w:color w:val="EE6000"/>
          <w:sz w:val="22"/>
          <w:szCs w:val="18"/>
        </w:rPr>
        <w:t>Windows Small Business Server (SBS) 2011 Premium Add-on</w:t>
      </w:r>
      <w:bookmarkEnd w:id="1692"/>
      <w:bookmarkEnd w:id="1693"/>
      <w:bookmarkEnd w:id="1694"/>
      <w:bookmarkEnd w:id="1695"/>
    </w:p>
    <w:bookmarkEnd w:id="1696"/>
    <w:bookmarkEnd w:id="1697"/>
    <w:p w:rsidR="00E73313" w:rsidRPr="0062435A" w:rsidRDefault="00E73313" w:rsidP="00E73313">
      <w:pPr>
        <w:ind w:left="900"/>
      </w:pPr>
    </w:p>
    <w:p w:rsidR="00E73313" w:rsidRPr="003002D3" w:rsidRDefault="00E73313" w:rsidP="00E73313">
      <w:pPr>
        <w:spacing w:after="60"/>
        <w:ind w:left="720"/>
        <w:rPr>
          <w:lang w:val="de-DE"/>
        </w:rPr>
      </w:pPr>
      <w:r w:rsidRPr="003002D3">
        <w:rPr>
          <w:b/>
          <w:color w:val="000000"/>
          <w:lang w:val="de-DE"/>
        </w:rPr>
        <w:t>Lizenzgewährungen im Zusammenhang mit dem Ende der Lebensdauer von SBS 2011 Premium Add-On</w:t>
      </w:r>
    </w:p>
    <w:p w:rsidR="00E73313" w:rsidRPr="003002D3" w:rsidRDefault="00E73313" w:rsidP="00E73313">
      <w:pPr>
        <w:ind w:left="720"/>
        <w:rPr>
          <w:lang w:val="de-DE"/>
        </w:rPr>
      </w:pPr>
      <w:r w:rsidRPr="003002D3">
        <w:rPr>
          <w:color w:val="000000"/>
          <w:lang w:val="de-DE"/>
        </w:rPr>
        <w:t>SBS 2011 Premium Add-on ist die letzte Version von SBS Premium Add-on</w:t>
      </w:r>
      <w:r w:rsidR="006257A7">
        <w:rPr>
          <w:color w:val="000000"/>
          <w:lang w:val="de-DE"/>
        </w:rPr>
        <w:t xml:space="preserve">. </w:t>
      </w:r>
      <w:r w:rsidRPr="003002D3">
        <w:rPr>
          <w:color w:val="000000"/>
          <w:lang w:val="de-DE"/>
        </w:rPr>
        <w:t xml:space="preserve">Volumenlizenzkunden, die über Software Assurance für SBS 2011 Premium Add-On-Lizenzen verfügen („Qualifizierende Lizenzen“), sind berechtigt, ein Upgrade auf die </w:t>
      </w:r>
      <w:r w:rsidRPr="003002D3">
        <w:rPr>
          <w:rFonts w:eastAsia="Calibri" w:cs="Tahoma"/>
          <w:szCs w:val="18"/>
          <w:lang w:val="de-DE"/>
        </w:rPr>
        <w:t>Software Windows Server Standard und SQL Server 2012 Standard durchzuführen und diese anstelle von SBS 2011 Premium zu nutzen</w:t>
      </w:r>
      <w:r w:rsidR="006257A7">
        <w:rPr>
          <w:rFonts w:eastAsia="Calibri" w:cs="Tahoma"/>
          <w:szCs w:val="18"/>
          <w:lang w:val="de-DE"/>
        </w:rPr>
        <w:t xml:space="preserve">. </w:t>
      </w:r>
      <w:r w:rsidRPr="003002D3">
        <w:rPr>
          <w:rFonts w:eastAsia="Calibri" w:cs="Tahoma"/>
          <w:szCs w:val="18"/>
          <w:lang w:val="de-DE"/>
        </w:rPr>
        <w:t>Um diese Nutzung zu erleichtern, wird angenommen, dass dem Kunden für jede Qualifizierende Lizenz, die der Kunde besitzt, jeweils eine Lizenz für Windows Server und für SQL Server 2012 (lizenziert unter dem Server/CAL-Modell) entsprechend der nachstehenden Tabelle gewährt wird</w:t>
      </w:r>
      <w:r w:rsidR="006257A7">
        <w:rPr>
          <w:rFonts w:eastAsia="Calibri" w:cs="Tahoma"/>
          <w:szCs w:val="18"/>
          <w:lang w:val="de-DE"/>
        </w:rPr>
        <w:t xml:space="preserve">. </w:t>
      </w:r>
    </w:p>
    <w:p w:rsidR="00E73313" w:rsidRPr="003002D3" w:rsidRDefault="00E73313" w:rsidP="00E73313">
      <w:pPr>
        <w:ind w:left="720"/>
        <w:rPr>
          <w:lang w:val="de-DE"/>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E73313" w:rsidRPr="000A5032" w:rsidTr="00E328C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73313" w:rsidRPr="000A5032" w:rsidRDefault="00E73313" w:rsidP="00E328C3">
            <w:pPr>
              <w:keepNext/>
              <w:spacing w:after="200" w:line="276" w:lineRule="auto"/>
              <w:rPr>
                <w:rFonts w:eastAsia="Calibri" w:cs="Tahoma"/>
                <w:szCs w:val="18"/>
              </w:rPr>
            </w:pPr>
            <w:r>
              <w:rPr>
                <w:b/>
                <w:color w:val="000000"/>
              </w:rPr>
              <w:t>Qualifizierende Lizenzen</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73313" w:rsidRPr="000A5032" w:rsidRDefault="00E73313" w:rsidP="00E328C3">
            <w:pPr>
              <w:keepNext/>
              <w:spacing w:after="200" w:line="276" w:lineRule="auto"/>
              <w:rPr>
                <w:rFonts w:eastAsia="Calibri" w:cs="Tahoma"/>
                <w:szCs w:val="18"/>
              </w:rPr>
            </w:pPr>
            <w:r>
              <w:rPr>
                <w:b/>
                <w:color w:val="000000"/>
              </w:rPr>
              <w:t>Lizenzgewährung</w:t>
            </w:r>
          </w:p>
        </w:tc>
      </w:tr>
      <w:tr w:rsidR="00E73313" w:rsidRPr="000A5032" w:rsidTr="00E328C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E73313" w:rsidRPr="000A5032" w:rsidRDefault="00E73313" w:rsidP="00E328C3">
            <w:pPr>
              <w:keepNext/>
              <w:spacing w:line="276" w:lineRule="auto"/>
              <w:rPr>
                <w:rFonts w:eastAsia="Calibri" w:cs="Tahoma"/>
                <w:szCs w:val="18"/>
              </w:rPr>
            </w:pPr>
            <w:r w:rsidRPr="003002D3">
              <w:rPr>
                <w:rFonts w:eastAsia="Calibri" w:cs="Tahoma"/>
                <w:szCs w:val="18"/>
                <w:lang w:val="de-DE"/>
              </w:rPr>
              <w:t>SBS 2011 Premium Add-on mit Software Assurance bis zum 31</w:t>
            </w:r>
            <w:r w:rsidR="006257A7">
              <w:rPr>
                <w:rFonts w:eastAsia="Calibri" w:cs="Tahoma"/>
                <w:szCs w:val="18"/>
                <w:lang w:val="de-DE"/>
              </w:rPr>
              <w:t xml:space="preserve">. </w:t>
            </w:r>
            <w:r>
              <w:rPr>
                <w:rFonts w:eastAsia="Calibri" w:cs="Tahoma"/>
                <w:szCs w:val="18"/>
              </w:rPr>
              <w:t>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E73313" w:rsidRPr="0062435A" w:rsidRDefault="00E73313" w:rsidP="00E328C3">
            <w:pPr>
              <w:keepNext/>
              <w:spacing w:line="276" w:lineRule="auto"/>
            </w:pPr>
            <w:r>
              <w:rPr>
                <w:rFonts w:eastAsia="Calibri" w:cs="Tahoma"/>
                <w:szCs w:val="18"/>
              </w:rPr>
              <w:t xml:space="preserve">Windows Server 2008 R2 </w:t>
            </w:r>
          </w:p>
          <w:p w:rsidR="00E73313" w:rsidRPr="000A5032" w:rsidRDefault="00E73313" w:rsidP="00E328C3">
            <w:pPr>
              <w:keepNext/>
              <w:spacing w:line="276" w:lineRule="auto"/>
              <w:rPr>
                <w:rFonts w:eastAsia="Calibri" w:cs="Tahoma"/>
                <w:szCs w:val="18"/>
              </w:rPr>
            </w:pPr>
            <w:r>
              <w:rPr>
                <w:rFonts w:eastAsia="Calibri" w:cs="Tahoma"/>
                <w:szCs w:val="18"/>
              </w:rPr>
              <w:t xml:space="preserve">SQL Server 2012 </w:t>
            </w:r>
          </w:p>
        </w:tc>
      </w:tr>
      <w:tr w:rsidR="00E73313" w:rsidRPr="000A5032" w:rsidTr="00E328C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E73313" w:rsidRPr="000A5032" w:rsidRDefault="00E73313" w:rsidP="00E328C3">
            <w:pPr>
              <w:keepNext/>
              <w:spacing w:line="276" w:lineRule="auto"/>
              <w:rPr>
                <w:rFonts w:eastAsia="Calibri" w:cs="Tahoma"/>
                <w:szCs w:val="18"/>
              </w:rPr>
            </w:pPr>
            <w:r w:rsidRPr="003002D3">
              <w:rPr>
                <w:rFonts w:eastAsia="Calibri" w:cs="Tahoma"/>
                <w:szCs w:val="18"/>
                <w:lang w:val="de-DE"/>
              </w:rPr>
              <w:t>SBS 2011 Premium Add-on mit Software Assurance ab dem 1</w:t>
            </w:r>
            <w:r w:rsidR="006257A7">
              <w:rPr>
                <w:rFonts w:eastAsia="Calibri" w:cs="Tahoma"/>
                <w:szCs w:val="18"/>
                <w:lang w:val="de-DE"/>
              </w:rPr>
              <w:t xml:space="preserve">. </w:t>
            </w:r>
            <w:r>
              <w:rPr>
                <w:rFonts w:eastAsia="Calibri" w:cs="Tahoma"/>
                <w:szCs w:val="18"/>
              </w:rPr>
              <w:t>August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E73313" w:rsidRPr="0062435A" w:rsidRDefault="00E73313" w:rsidP="00E328C3">
            <w:pPr>
              <w:keepNext/>
              <w:spacing w:line="276" w:lineRule="auto"/>
            </w:pPr>
            <w:r>
              <w:rPr>
                <w:rFonts w:eastAsia="Calibri" w:cs="Tahoma"/>
                <w:szCs w:val="18"/>
              </w:rPr>
              <w:t>Windows Server 2012 mit Software Assurance</w:t>
            </w:r>
          </w:p>
          <w:p w:rsidR="00E73313" w:rsidRPr="000A5032" w:rsidRDefault="00E73313" w:rsidP="00E328C3">
            <w:pPr>
              <w:keepNext/>
              <w:spacing w:line="276" w:lineRule="auto"/>
              <w:rPr>
                <w:rFonts w:eastAsia="Calibri" w:cs="Tahoma"/>
                <w:szCs w:val="18"/>
              </w:rPr>
            </w:pPr>
            <w:r>
              <w:rPr>
                <w:rFonts w:eastAsia="Calibri" w:cs="Tahoma"/>
                <w:szCs w:val="18"/>
              </w:rPr>
              <w:t>SQL Server 2012 mit Software Assurance</w:t>
            </w:r>
          </w:p>
        </w:tc>
      </w:tr>
    </w:tbl>
    <w:p w:rsidR="00E73313" w:rsidRPr="00B7448E" w:rsidRDefault="00E73313" w:rsidP="00E73313">
      <w:pPr>
        <w:pStyle w:val="ListParagraph"/>
        <w:spacing w:after="100" w:afterAutospacing="1"/>
        <w:rPr>
          <w:rFonts w:ascii="Tahoma" w:hAnsi="Tahoma" w:cs="Tahoma"/>
          <w:sz w:val="18"/>
          <w:szCs w:val="18"/>
        </w:rPr>
      </w:pPr>
    </w:p>
    <w:p w:rsidR="00E73313" w:rsidRPr="00B7448E" w:rsidRDefault="00E73313" w:rsidP="00E73313">
      <w:pPr>
        <w:pStyle w:val="ListParagraph"/>
        <w:contextualSpacing w:val="0"/>
        <w:rPr>
          <w:rFonts w:ascii="Tahoma" w:hAnsi="Tahoma" w:cs="Tahoma"/>
          <w:sz w:val="18"/>
          <w:szCs w:val="18"/>
          <w:lang w:val="de-DE"/>
        </w:rPr>
      </w:pPr>
      <w:r w:rsidRPr="00B7448E">
        <w:rPr>
          <w:rFonts w:ascii="Tahoma" w:eastAsia="Calibri" w:hAnsi="Tahoma" w:cs="Tahoma"/>
          <w:sz w:val="18"/>
          <w:szCs w:val="18"/>
          <w:lang w:val="de-DE"/>
        </w:rPr>
        <w:t>Die Software Assurance aus den obigen Gewährungen läuft ab, wenn die entsprechende Software Assurance für die Qualifizierenden Lizenzen abläuft</w:t>
      </w:r>
      <w:r w:rsidR="006257A7" w:rsidRPr="00B7448E">
        <w:rPr>
          <w:rFonts w:ascii="Tahoma" w:eastAsia="Calibri" w:hAnsi="Tahoma" w:cs="Tahoma"/>
          <w:sz w:val="18"/>
          <w:szCs w:val="18"/>
          <w:lang w:val="de-DE"/>
        </w:rPr>
        <w:t xml:space="preserve">. </w:t>
      </w:r>
      <w:r w:rsidRPr="00B7448E">
        <w:rPr>
          <w:rFonts w:ascii="Tahoma" w:eastAsia="Calibri" w:hAnsi="Tahoma" w:cs="Tahoma"/>
          <w:sz w:val="18"/>
          <w:szCs w:val="18"/>
          <w:lang w:val="de-DE"/>
        </w:rPr>
        <w:t xml:space="preserve">Als Ausnahme dürfen Kunden mit Software Assurance für Qualifizierende Lizenzen, die im </w:t>
      </w:r>
      <w:r w:rsidRPr="00B7448E">
        <w:rPr>
          <w:rStyle w:val="CommentReference"/>
          <w:rFonts w:ascii="Tahoma" w:hAnsi="Tahoma" w:cs="Tahoma"/>
          <w:sz w:val="18"/>
          <w:szCs w:val="18"/>
          <w:lang w:val="de-DE"/>
        </w:rPr>
        <w:t>August 2</w:t>
      </w:r>
      <w:r w:rsidRPr="00B7448E">
        <w:rPr>
          <w:rFonts w:ascii="Tahoma" w:eastAsia="Calibri" w:hAnsi="Tahoma" w:cs="Tahoma"/>
          <w:sz w:val="18"/>
          <w:szCs w:val="18"/>
          <w:lang w:val="de-DE"/>
        </w:rPr>
        <w:t>012 ablaufen, bis zum 31</w:t>
      </w:r>
      <w:r w:rsidR="006257A7" w:rsidRPr="00B7448E">
        <w:rPr>
          <w:rFonts w:ascii="Tahoma" w:eastAsia="Calibri" w:hAnsi="Tahoma" w:cs="Tahoma"/>
          <w:sz w:val="18"/>
          <w:szCs w:val="18"/>
          <w:lang w:val="de-DE"/>
        </w:rPr>
        <w:t xml:space="preserve">. </w:t>
      </w:r>
      <w:r w:rsidRPr="00B7448E">
        <w:rPr>
          <w:rFonts w:ascii="Tahoma" w:eastAsia="Calibri" w:hAnsi="Tahoma" w:cs="Tahoma"/>
          <w:sz w:val="18"/>
          <w:szCs w:val="18"/>
          <w:lang w:val="de-DE"/>
        </w:rPr>
        <w:t>Dezember 2012 für die im Rahmen dieses Angebots gewährten Lizenzen Software Assurance verlängern</w:t>
      </w:r>
      <w:r w:rsidR="006257A7" w:rsidRPr="00B7448E">
        <w:rPr>
          <w:rFonts w:ascii="Tahoma" w:eastAsia="Calibri" w:hAnsi="Tahoma" w:cs="Tahoma"/>
          <w:sz w:val="18"/>
          <w:szCs w:val="18"/>
          <w:lang w:val="de-DE"/>
        </w:rPr>
        <w:t xml:space="preserve">. </w:t>
      </w:r>
    </w:p>
    <w:p w:rsidR="00E73313" w:rsidRPr="00B7448E" w:rsidRDefault="00E73313" w:rsidP="00E73313">
      <w:pPr>
        <w:pStyle w:val="ListParagraph"/>
        <w:contextualSpacing w:val="0"/>
        <w:rPr>
          <w:rFonts w:ascii="Tahoma" w:hAnsi="Tahoma" w:cs="Tahoma"/>
          <w:sz w:val="18"/>
          <w:szCs w:val="18"/>
          <w:lang w:val="de-DE"/>
        </w:rPr>
      </w:pPr>
    </w:p>
    <w:p w:rsidR="00E73313" w:rsidRPr="00B7448E" w:rsidRDefault="00E73313" w:rsidP="00CF04E6">
      <w:pPr>
        <w:spacing w:line="276" w:lineRule="auto"/>
        <w:ind w:left="720"/>
        <w:rPr>
          <w:rFonts w:cs="Tahoma"/>
          <w:szCs w:val="18"/>
          <w:lang w:val="de-DE"/>
        </w:rPr>
      </w:pPr>
      <w:r w:rsidRPr="00B7448E">
        <w:rPr>
          <w:rFonts w:cs="Tahoma"/>
          <w:color w:val="000000"/>
          <w:szCs w:val="18"/>
          <w:lang w:val="de-DE"/>
        </w:rPr>
        <w:t xml:space="preserve">Kunden mit Software Assurance für Qualifizierende Lizenzen, die im Juli 2012 ablaufen, sind </w:t>
      </w:r>
      <w:r w:rsidRPr="00B7448E">
        <w:rPr>
          <w:rFonts w:eastAsia="Calibri" w:cs="Tahoma"/>
          <w:szCs w:val="18"/>
          <w:lang w:val="de-DE"/>
        </w:rPr>
        <w:t>bis zum 31</w:t>
      </w:r>
      <w:r w:rsidR="006257A7" w:rsidRPr="00B7448E">
        <w:rPr>
          <w:rFonts w:eastAsia="Calibri" w:cs="Tahoma"/>
          <w:szCs w:val="18"/>
          <w:lang w:val="de-DE"/>
        </w:rPr>
        <w:t xml:space="preserve">. </w:t>
      </w:r>
      <w:r w:rsidRPr="00B7448E">
        <w:rPr>
          <w:rFonts w:eastAsia="Calibri" w:cs="Tahoma"/>
          <w:szCs w:val="18"/>
          <w:lang w:val="de-DE"/>
        </w:rPr>
        <w:t>Dezember 2012 berechtigt, für die im Rahmen dieses Angebots gewährten Lizenzen Software Assurance zu erwerben</w:t>
      </w:r>
      <w:r w:rsidR="006257A7" w:rsidRPr="00B7448E">
        <w:rPr>
          <w:rFonts w:eastAsia="Calibri" w:cs="Tahoma"/>
          <w:szCs w:val="18"/>
          <w:lang w:val="de-DE"/>
        </w:rPr>
        <w:t xml:space="preserve">. </w:t>
      </w:r>
    </w:p>
    <w:p w:rsidR="00E73313" w:rsidRPr="00B7448E" w:rsidRDefault="00E73313" w:rsidP="00E73313">
      <w:pPr>
        <w:spacing w:line="276" w:lineRule="auto"/>
        <w:ind w:left="720"/>
        <w:rPr>
          <w:rFonts w:cs="Tahoma"/>
          <w:szCs w:val="18"/>
          <w:lang w:val="de-DE"/>
        </w:rPr>
      </w:pPr>
    </w:p>
    <w:p w:rsidR="00E73313" w:rsidRPr="00B7448E" w:rsidRDefault="00E73313" w:rsidP="00E73313">
      <w:pPr>
        <w:pStyle w:val="ListParagraph"/>
        <w:contextualSpacing w:val="0"/>
        <w:rPr>
          <w:rFonts w:ascii="Tahoma" w:hAnsi="Tahoma" w:cs="Tahoma"/>
          <w:sz w:val="18"/>
          <w:szCs w:val="18"/>
          <w:lang w:val="de-DE"/>
        </w:rPr>
      </w:pPr>
      <w:r w:rsidRPr="00B7448E">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r w:rsidR="006257A7" w:rsidRPr="00B7448E">
        <w:rPr>
          <w:rFonts w:ascii="Tahoma" w:eastAsia="Calibri" w:hAnsi="Tahoma" w:cs="Tahoma"/>
          <w:sz w:val="18"/>
          <w:szCs w:val="18"/>
          <w:lang w:val="de-DE"/>
        </w:rPr>
        <w:t xml:space="preserve">. </w:t>
      </w:r>
    </w:p>
    <w:p w:rsidR="00CF04E6" w:rsidRDefault="00CF04E6" w:rsidP="00E73313">
      <w:pPr>
        <w:pStyle w:val="ListParagraph"/>
        <w:contextualSpacing w:val="0"/>
        <w:rPr>
          <w:rFonts w:ascii="Tahoma" w:hAnsi="Tahoma" w:cs="Tahoma"/>
          <w:sz w:val="18"/>
          <w:szCs w:val="18"/>
          <w:lang w:val="de-DE"/>
        </w:rPr>
      </w:pPr>
    </w:p>
    <w:p w:rsidR="00B7448E" w:rsidRPr="00B7448E" w:rsidRDefault="00B7448E" w:rsidP="00E73313">
      <w:pPr>
        <w:pStyle w:val="ListParagraph"/>
        <w:contextualSpacing w:val="0"/>
        <w:rPr>
          <w:rFonts w:ascii="Tahoma" w:hAnsi="Tahoma" w:cs="Tahoma"/>
          <w:sz w:val="18"/>
          <w:szCs w:val="18"/>
          <w:lang w:val="de-DE"/>
        </w:rPr>
      </w:pPr>
    </w:p>
    <w:p w:rsidR="00E73313" w:rsidRDefault="00E73313" w:rsidP="00E73313">
      <w:pPr>
        <w:pStyle w:val="ListParagraph"/>
        <w:contextualSpacing w:val="0"/>
        <w:rPr>
          <w:rFonts w:ascii="Tahoma" w:eastAsia="Calibri" w:hAnsi="Tahoma" w:cs="Tahoma"/>
          <w:sz w:val="18"/>
          <w:szCs w:val="18"/>
          <w:lang w:val="de-DE"/>
        </w:rPr>
      </w:pPr>
      <w:r w:rsidRPr="003002D3">
        <w:rPr>
          <w:rFonts w:ascii="Tahoma" w:eastAsia="Calibri" w:hAnsi="Tahoma" w:cs="Tahoma"/>
          <w:sz w:val="18"/>
          <w:szCs w:val="18"/>
          <w:lang w:val="de-DE"/>
        </w:rPr>
        <w:t>Für jede Qualifizierende Lizenz, die unter einer Open Value Subscription erworben wurde, ist der Kunde berechtigt, ein Buy-Out für eine SBS 2011 Premium Add-on-Lizenz wie angeboten durchzuführen, oder</w:t>
      </w:r>
    </w:p>
    <w:p w:rsidR="00CF04E6" w:rsidRPr="00B7448E" w:rsidRDefault="00CF04E6" w:rsidP="00E73313">
      <w:pPr>
        <w:pStyle w:val="ListParagraph"/>
        <w:contextualSpacing w:val="0"/>
        <w:rPr>
          <w:rFonts w:ascii="Tahoma" w:hAnsi="Tahoma" w:cs="Tahoma"/>
          <w:sz w:val="18"/>
          <w:szCs w:val="18"/>
          <w:lang w:val="de-DE"/>
        </w:rPr>
      </w:pPr>
    </w:p>
    <w:p w:rsidR="00E73313" w:rsidRPr="00B7448E" w:rsidRDefault="00E73313" w:rsidP="00E73313">
      <w:pPr>
        <w:pStyle w:val="ListParagraph"/>
        <w:numPr>
          <w:ilvl w:val="1"/>
          <w:numId w:val="100"/>
        </w:numPr>
        <w:tabs>
          <w:tab w:val="clear" w:pos="1440"/>
        </w:tabs>
        <w:spacing w:after="60"/>
        <w:contextualSpacing w:val="0"/>
        <w:rPr>
          <w:rFonts w:ascii="Tahoma" w:hAnsi="Tahoma" w:cs="Tahoma"/>
          <w:sz w:val="18"/>
          <w:szCs w:val="18"/>
          <w:lang w:val="de-DE"/>
        </w:rPr>
      </w:pPr>
      <w:r w:rsidRPr="00B7448E">
        <w:rPr>
          <w:rFonts w:ascii="Tahoma" w:eastAsia="Calibri" w:hAnsi="Tahoma" w:cs="Tahoma"/>
          <w:sz w:val="18"/>
          <w:szCs w:val="18"/>
          <w:lang w:val="de-DE"/>
        </w:rPr>
        <w:t>Je eine Lizenz für Windows Server 2012 Standard und SQL Server 2012 Standard (lizenziert unter dem Server-/CAL-Lizenzmodell) für Verträge, die ab dem 1</w:t>
      </w:r>
      <w:r w:rsidR="006257A7" w:rsidRPr="00B7448E">
        <w:rPr>
          <w:rFonts w:ascii="Tahoma" w:eastAsia="Calibri" w:hAnsi="Tahoma" w:cs="Tahoma"/>
          <w:sz w:val="18"/>
          <w:szCs w:val="18"/>
          <w:lang w:val="de-DE"/>
        </w:rPr>
        <w:t xml:space="preserve">. </w:t>
      </w:r>
      <w:r w:rsidRPr="00B7448E">
        <w:rPr>
          <w:rFonts w:ascii="Tahoma" w:eastAsia="Calibri" w:hAnsi="Tahoma" w:cs="Tahoma"/>
          <w:sz w:val="18"/>
          <w:szCs w:val="18"/>
          <w:lang w:val="de-DE"/>
        </w:rPr>
        <w:t>August 2012 ablaufen, oder</w:t>
      </w:r>
    </w:p>
    <w:p w:rsidR="00E73313" w:rsidRPr="00B7448E" w:rsidRDefault="00E73313" w:rsidP="00CF04E6">
      <w:pPr>
        <w:pStyle w:val="ListParagraph"/>
        <w:numPr>
          <w:ilvl w:val="1"/>
          <w:numId w:val="100"/>
        </w:numPr>
        <w:tabs>
          <w:tab w:val="clear" w:pos="1440"/>
        </w:tabs>
        <w:spacing w:after="60"/>
        <w:contextualSpacing w:val="0"/>
        <w:rPr>
          <w:rFonts w:ascii="Tahoma" w:hAnsi="Tahoma" w:cs="Tahoma"/>
          <w:sz w:val="18"/>
          <w:szCs w:val="18"/>
          <w:lang w:val="de-DE"/>
        </w:rPr>
      </w:pPr>
      <w:r w:rsidRPr="00B7448E">
        <w:rPr>
          <w:rFonts w:ascii="Tahoma" w:eastAsia="Calibri" w:hAnsi="Tahoma" w:cs="Tahoma"/>
          <w:sz w:val="18"/>
          <w:szCs w:val="18"/>
          <w:lang w:val="de-DE"/>
        </w:rPr>
        <w:t>Je eine Lizenz für Windows Server 2008 R2 Standard und SQL Server 2012 Standard (lizenziert</w:t>
      </w:r>
      <w:r w:rsidR="00CF04E6" w:rsidRPr="00B7448E">
        <w:rPr>
          <w:rFonts w:ascii="Tahoma" w:eastAsia="Calibri" w:hAnsi="Tahoma" w:cs="Tahoma"/>
          <w:sz w:val="18"/>
          <w:szCs w:val="18"/>
          <w:lang w:val="de-DE"/>
        </w:rPr>
        <w:t> </w:t>
      </w:r>
      <w:r w:rsidRPr="00B7448E">
        <w:rPr>
          <w:rFonts w:ascii="Tahoma" w:eastAsia="Calibri" w:hAnsi="Tahoma" w:cs="Tahoma"/>
          <w:sz w:val="18"/>
          <w:szCs w:val="18"/>
          <w:lang w:val="de-DE"/>
        </w:rPr>
        <w:t>unter dem Server-/CAL-Lizenzmodell) für Verträge, die im Juli 2012 ablaufen</w:t>
      </w:r>
      <w:r w:rsidR="006257A7" w:rsidRPr="00B7448E">
        <w:rPr>
          <w:rFonts w:ascii="Tahoma" w:eastAsia="Calibri" w:hAnsi="Tahoma" w:cs="Tahoma"/>
          <w:sz w:val="18"/>
          <w:szCs w:val="18"/>
          <w:lang w:val="de-DE"/>
        </w:rPr>
        <w:t xml:space="preserve">. </w:t>
      </w:r>
    </w:p>
    <w:p w:rsidR="00E73313" w:rsidRPr="003002D3" w:rsidRDefault="00E73313" w:rsidP="00E73313">
      <w:pPr>
        <w:spacing w:line="276" w:lineRule="auto"/>
        <w:ind w:left="720"/>
        <w:rPr>
          <w:lang w:val="de-DE"/>
        </w:rPr>
      </w:pPr>
    </w:p>
    <w:p w:rsidR="00E73313" w:rsidRPr="003002D3" w:rsidRDefault="00E73313" w:rsidP="00CF04E6">
      <w:pPr>
        <w:spacing w:line="276" w:lineRule="auto"/>
        <w:ind w:left="720"/>
        <w:rPr>
          <w:lang w:val="de-DE"/>
        </w:rPr>
      </w:pPr>
      <w:r w:rsidRPr="003002D3">
        <w:rPr>
          <w:rFonts w:eastAsia="Calibri" w:cs="Tahoma"/>
          <w:szCs w:val="18"/>
          <w:lang w:val="de-DE"/>
        </w:rPr>
        <w:t>Bei Upgrade auf Windows Server Standard und SQL Server 2012 Standard unter dieser Gewährung sind die</w:t>
      </w:r>
      <w:r w:rsidR="00CF04E6">
        <w:rPr>
          <w:rFonts w:eastAsia="Calibri" w:cs="Tahoma"/>
          <w:szCs w:val="18"/>
          <w:lang w:val="de-DE"/>
        </w:rPr>
        <w:t> </w:t>
      </w:r>
      <w:r w:rsidRPr="003002D3">
        <w:rPr>
          <w:rFonts w:eastAsia="Calibri" w:cs="Tahoma"/>
          <w:szCs w:val="18"/>
          <w:lang w:val="de-DE"/>
        </w:rPr>
        <w:t>bestehenden Qualifizierenden Lizenzen für SBS Premium Add-On des Kunden nicht mehr gültig</w:t>
      </w:r>
      <w:r w:rsidR="006257A7">
        <w:rPr>
          <w:rFonts w:eastAsia="Calibri" w:cs="Tahoma"/>
          <w:szCs w:val="18"/>
          <w:lang w:val="de-DE"/>
        </w:rPr>
        <w:t xml:space="preserve">. </w:t>
      </w:r>
    </w:p>
    <w:p w:rsidR="00E73313" w:rsidRPr="003002D3" w:rsidRDefault="00E73313" w:rsidP="00E73313">
      <w:pPr>
        <w:spacing w:line="276" w:lineRule="auto"/>
        <w:ind w:left="720"/>
        <w:rPr>
          <w:lang w:val="de-DE"/>
        </w:rPr>
      </w:pPr>
    </w:p>
    <w:p w:rsidR="00E73313" w:rsidRPr="003002D3" w:rsidRDefault="00E73313" w:rsidP="00E73313">
      <w:pPr>
        <w:spacing w:line="276" w:lineRule="auto"/>
        <w:ind w:left="720"/>
        <w:rPr>
          <w:lang w:val="de-DE"/>
        </w:rPr>
      </w:pPr>
      <w:r w:rsidRPr="003002D3">
        <w:rPr>
          <w:rFonts w:eastAsia="Calibri" w:cs="Tahoma"/>
          <w:szCs w:val="18"/>
          <w:lang w:val="de-DE"/>
        </w:rPr>
        <w:t>SBS 2011 Premium Add-On-Lizenzen, die danach unter derselben Beitrittslaufzeit im Rahmen eines Open Value Subscription-Prozesses oder des geplanten jährlichen True Up-Prozesses des EES-Kunden erworben werden, sind ebenfalls Qualifizierende Lizenzen im Sinne der zuvor beschriebenen Gewährung</w:t>
      </w:r>
      <w:r w:rsidR="006257A7">
        <w:rPr>
          <w:rFonts w:eastAsia="Calibri" w:cs="Tahoma"/>
          <w:szCs w:val="18"/>
          <w:lang w:val="de-DE"/>
        </w:rPr>
        <w:t xml:space="preserve">. </w:t>
      </w:r>
    </w:p>
    <w:p w:rsidR="00E73313" w:rsidRPr="003002D3" w:rsidRDefault="00E73313" w:rsidP="00E73313">
      <w:pPr>
        <w:ind w:left="900"/>
        <w:rPr>
          <w:lang w:val="de-DE"/>
        </w:rPr>
      </w:pPr>
    </w:p>
    <w:p w:rsidR="006732D8" w:rsidRPr="003002D3" w:rsidRDefault="006732D8" w:rsidP="00E73313">
      <w:pPr>
        <w:ind w:left="900"/>
        <w:rPr>
          <w:lang w:val="de-DE"/>
        </w:rPr>
      </w:pPr>
    </w:p>
    <w:p w:rsidR="00E73313" w:rsidRPr="0062435A" w:rsidRDefault="00E73313" w:rsidP="00E73313">
      <w:pPr>
        <w:pStyle w:val="Heading2"/>
        <w:ind w:left="0"/>
      </w:pPr>
      <w:bookmarkStart w:id="1698" w:name="_124_Windows_Small"/>
      <w:bookmarkStart w:id="1699" w:name="_112_Windows_Small"/>
      <w:bookmarkStart w:id="1700" w:name="_117_Windows_Small"/>
      <w:bookmarkStart w:id="1701" w:name="_Toc336338380"/>
      <w:bookmarkStart w:id="1702" w:name="_Toc363999114"/>
      <w:bookmarkEnd w:id="1698"/>
      <w:bookmarkEnd w:id="1699"/>
      <w:bookmarkEnd w:id="1700"/>
      <w:r>
        <w:rPr>
          <w:rFonts w:ascii="Tahoma" w:hAnsi="Tahoma" w:cs="Tahoma"/>
          <w:caps/>
          <w:color w:val="EE6000"/>
          <w:sz w:val="22"/>
          <w:szCs w:val="18"/>
          <w:vertAlign w:val="superscript"/>
        </w:rPr>
        <w:t>117</w:t>
      </w:r>
      <w:r>
        <w:rPr>
          <w:rFonts w:ascii="Tahoma" w:hAnsi="Tahoma" w:cs="Tahoma"/>
          <w:color w:val="EE6000"/>
          <w:sz w:val="22"/>
          <w:szCs w:val="18"/>
        </w:rPr>
        <w:t xml:space="preserve"> </w:t>
      </w:r>
      <w:r>
        <w:rPr>
          <w:rFonts w:ascii="Tahoma" w:hAnsi="Tahoma" w:cs="Tahoma"/>
          <w:color w:val="F8701C"/>
          <w:sz w:val="22"/>
          <w:szCs w:val="22"/>
        </w:rPr>
        <w:t>Windows Small Business Server (SBS) 2011 Premium Add-on CAL Suite</w:t>
      </w:r>
      <w:bookmarkEnd w:id="1701"/>
      <w:bookmarkEnd w:id="1702"/>
    </w:p>
    <w:p w:rsidR="00E73313" w:rsidRPr="0062435A" w:rsidRDefault="00E73313" w:rsidP="00E73313">
      <w:pPr>
        <w:ind w:left="720"/>
      </w:pPr>
    </w:p>
    <w:p w:rsidR="00E73313" w:rsidRPr="003002D3" w:rsidRDefault="00E73313" w:rsidP="00E73313">
      <w:pPr>
        <w:spacing w:after="60"/>
        <w:ind w:left="720"/>
        <w:rPr>
          <w:lang w:val="de-DE"/>
        </w:rPr>
      </w:pPr>
      <w:r w:rsidRPr="003002D3">
        <w:rPr>
          <w:b/>
          <w:color w:val="000000"/>
          <w:lang w:val="de-DE"/>
        </w:rPr>
        <w:t>Lizenzgewährungen im Zusammenhang mit dem Ende der Lebensdauer von SBS 2011 Premium Add-On CAL Suite</w:t>
      </w:r>
    </w:p>
    <w:p w:rsidR="00E73313" w:rsidRPr="003002D3" w:rsidRDefault="00E73313" w:rsidP="00E73313">
      <w:pPr>
        <w:ind w:left="720"/>
        <w:rPr>
          <w:lang w:val="de-DE"/>
        </w:rPr>
      </w:pPr>
      <w:r w:rsidRPr="003002D3">
        <w:rPr>
          <w:lang w:val="de-DE"/>
        </w:rPr>
        <w:t>Kunden mit Software Assurance für SBS 2011 Premium Add-on CAL Suite („Qualifizierende CALs“) sind berechtigt, auf die Software Window Server Standard und SQL Server 2012 Standard zuzugreifen</w:t>
      </w:r>
      <w:r w:rsidR="006257A7">
        <w:rPr>
          <w:lang w:val="de-DE"/>
        </w:rPr>
        <w:t xml:space="preserve">. </w:t>
      </w:r>
      <w:r w:rsidRPr="003002D3">
        <w:rPr>
          <w:lang w:val="de-DE"/>
        </w:rPr>
        <w:t>Für jede qualifizierende SBS 2011 Premium Add-On CAL Suite, die ein Kunde ab dem 1</w:t>
      </w:r>
      <w:r w:rsidR="006257A7">
        <w:rPr>
          <w:lang w:val="de-DE"/>
        </w:rPr>
        <w:t xml:space="preserve">. </w:t>
      </w:r>
      <w:r w:rsidRPr="003002D3">
        <w:rPr>
          <w:lang w:val="de-DE"/>
        </w:rPr>
        <w:t>August 2012 besitzt, erhält der Kunde eine Windows Server 2012 CAL und eine SQL Server 2012 CAL mit Software Assurance</w:t>
      </w:r>
      <w:r w:rsidR="006257A7">
        <w:rPr>
          <w:lang w:val="de-DE"/>
        </w:rPr>
        <w:t xml:space="preserve">. </w:t>
      </w:r>
      <w:r w:rsidRPr="003002D3">
        <w:rPr>
          <w:rFonts w:eastAsia="Calibri" w:cs="Tahoma"/>
          <w:szCs w:val="18"/>
          <w:lang w:val="de-DE"/>
        </w:rPr>
        <w:t>Um diese Nutzung zu erleichtern, wird angenommen, dass dem Kunden für jede Qualifizierende Lizenz, die der Kunde besitzt, jeweils eine CAL für Windows Server und für SQL 2012 Server (lizenziert unter dem Server/CAL-Modell) entsprechend der nachstehenden Tabelle gewährt wird</w:t>
      </w:r>
      <w:r w:rsidR="006257A7">
        <w:rPr>
          <w:rFonts w:eastAsia="Calibri" w:cs="Tahoma"/>
          <w:szCs w:val="18"/>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E73313" w:rsidRPr="000A5032" w:rsidTr="00E328C3">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73313" w:rsidRPr="000A5032" w:rsidRDefault="00E73313" w:rsidP="00E328C3">
            <w:pPr>
              <w:spacing w:after="200" w:line="276" w:lineRule="auto"/>
              <w:rPr>
                <w:rFonts w:eastAsia="Calibri" w:cs="Tahoma"/>
                <w:szCs w:val="18"/>
              </w:rPr>
            </w:pPr>
            <w:r>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E73313" w:rsidRPr="000A5032" w:rsidRDefault="00E73313" w:rsidP="00E328C3">
            <w:pPr>
              <w:spacing w:after="200" w:line="276" w:lineRule="auto"/>
              <w:rPr>
                <w:rFonts w:eastAsia="Calibri" w:cs="Tahoma"/>
                <w:szCs w:val="18"/>
              </w:rPr>
            </w:pPr>
            <w:r>
              <w:rPr>
                <w:b/>
                <w:color w:val="000000"/>
              </w:rPr>
              <w:t>Lizenzgewährung</w:t>
            </w:r>
          </w:p>
        </w:tc>
      </w:tr>
      <w:tr w:rsidR="00E73313" w:rsidRPr="00ED50C8" w:rsidTr="00E328C3">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E73313" w:rsidRPr="000A5032" w:rsidRDefault="00E73313" w:rsidP="00E328C3">
            <w:pPr>
              <w:spacing w:line="276" w:lineRule="auto"/>
              <w:rPr>
                <w:rFonts w:eastAsia="Calibri" w:cs="Tahoma"/>
                <w:szCs w:val="18"/>
              </w:rPr>
            </w:pPr>
            <w:r>
              <w:rPr>
                <w:rFonts w:eastAsia="Calibri" w:cs="Tahoma"/>
                <w:szCs w:val="18"/>
              </w:rPr>
              <w:t>SBS 2011 Premium Add-on CAL Suite mit Software Assurance bis zum 31</w:t>
            </w:r>
            <w:r w:rsidR="006257A7">
              <w:rPr>
                <w:rFonts w:eastAsia="Calibri" w:cs="Tahoma"/>
                <w:szCs w:val="18"/>
              </w:rPr>
              <w:t xml:space="preserve">. </w:t>
            </w:r>
            <w:r>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E73313" w:rsidRPr="003002D3" w:rsidRDefault="00E73313" w:rsidP="00E328C3">
            <w:pPr>
              <w:spacing w:line="276" w:lineRule="auto"/>
              <w:rPr>
                <w:lang w:val="de-DE"/>
              </w:rPr>
            </w:pPr>
            <w:r w:rsidRPr="003002D3">
              <w:rPr>
                <w:rFonts w:eastAsia="Calibri" w:cs="Tahoma"/>
                <w:szCs w:val="18"/>
                <w:lang w:val="de-DE"/>
              </w:rPr>
              <w:t>CAL für Windows Server 2008 R2</w:t>
            </w:r>
          </w:p>
          <w:p w:rsidR="00E73313" w:rsidRPr="003002D3" w:rsidRDefault="00E73313" w:rsidP="00E328C3">
            <w:pPr>
              <w:spacing w:line="276" w:lineRule="auto"/>
              <w:rPr>
                <w:rFonts w:eastAsia="Calibri" w:cs="Tahoma"/>
                <w:szCs w:val="18"/>
                <w:lang w:val="de-DE"/>
              </w:rPr>
            </w:pPr>
            <w:r w:rsidRPr="003002D3">
              <w:rPr>
                <w:rFonts w:eastAsia="Calibri" w:cs="Tahoma"/>
                <w:szCs w:val="18"/>
                <w:lang w:val="de-DE"/>
              </w:rPr>
              <w:t>CAL für SQL Server 2012</w:t>
            </w:r>
          </w:p>
        </w:tc>
      </w:tr>
      <w:tr w:rsidR="00E73313" w:rsidRPr="00ED50C8" w:rsidTr="00E328C3">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E73313" w:rsidRPr="000A5032" w:rsidRDefault="00E73313" w:rsidP="00E328C3">
            <w:pPr>
              <w:spacing w:line="276" w:lineRule="auto"/>
              <w:rPr>
                <w:rFonts w:eastAsia="Calibri" w:cs="Tahoma"/>
                <w:szCs w:val="18"/>
              </w:rPr>
            </w:pPr>
            <w:r>
              <w:rPr>
                <w:rFonts w:eastAsia="Calibri" w:cs="Tahoma"/>
                <w:szCs w:val="18"/>
              </w:rPr>
              <w:t>SBS 2011 Premium Add-on CAL Suite mit Software Assurance ab dem 1</w:t>
            </w:r>
            <w:r w:rsidR="006257A7">
              <w:rPr>
                <w:rFonts w:eastAsia="Calibri" w:cs="Tahoma"/>
                <w:szCs w:val="18"/>
              </w:rPr>
              <w:t xml:space="preserve">. </w:t>
            </w:r>
            <w:r>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E73313" w:rsidRPr="003002D3" w:rsidRDefault="00E73313" w:rsidP="00E328C3">
            <w:pPr>
              <w:spacing w:line="276" w:lineRule="auto"/>
              <w:rPr>
                <w:lang w:val="de-DE"/>
              </w:rPr>
            </w:pPr>
            <w:r w:rsidRPr="003002D3">
              <w:rPr>
                <w:rFonts w:eastAsia="Calibri" w:cs="Tahoma"/>
                <w:szCs w:val="18"/>
                <w:lang w:val="de-DE"/>
              </w:rPr>
              <w:t>CAL für Windows Server 2012 mit Software Assurance</w:t>
            </w:r>
          </w:p>
          <w:p w:rsidR="00E73313" w:rsidRPr="003002D3" w:rsidRDefault="00E73313" w:rsidP="00E328C3">
            <w:pPr>
              <w:spacing w:line="276" w:lineRule="auto"/>
              <w:rPr>
                <w:rFonts w:eastAsia="Calibri" w:cs="Tahoma"/>
                <w:szCs w:val="18"/>
                <w:lang w:val="de-DE"/>
              </w:rPr>
            </w:pPr>
            <w:r w:rsidRPr="003002D3">
              <w:rPr>
                <w:rFonts w:eastAsia="Calibri" w:cs="Tahoma"/>
                <w:szCs w:val="18"/>
                <w:lang w:val="de-DE"/>
              </w:rPr>
              <w:t>CAL für SQL Server 2012 mit Software Assurance</w:t>
            </w:r>
          </w:p>
        </w:tc>
      </w:tr>
    </w:tbl>
    <w:p w:rsidR="00E73313" w:rsidRPr="003002D3" w:rsidRDefault="00E73313" w:rsidP="00E73313">
      <w:pPr>
        <w:rPr>
          <w:lang w:val="de-DE"/>
        </w:rPr>
      </w:pPr>
      <w:r w:rsidRPr="003002D3">
        <w:rPr>
          <w:rFonts w:eastAsia="Calibri" w:cs="Tahoma"/>
          <w:szCs w:val="18"/>
          <w:lang w:val="de-DE"/>
        </w:rPr>
        <w:t xml:space="preserve"> </w:t>
      </w:r>
    </w:p>
    <w:p w:rsidR="00E73313" w:rsidRPr="00B7448E" w:rsidRDefault="00E73313" w:rsidP="00E73313">
      <w:pPr>
        <w:pStyle w:val="ListParagraph"/>
        <w:contextualSpacing w:val="0"/>
        <w:rPr>
          <w:rFonts w:ascii="Tahoma" w:hAnsi="Tahoma" w:cs="Tahoma"/>
          <w:sz w:val="18"/>
          <w:szCs w:val="18"/>
          <w:lang w:val="de-DE"/>
        </w:rPr>
      </w:pPr>
      <w:r w:rsidRPr="00B7448E">
        <w:rPr>
          <w:rFonts w:ascii="Tahoma" w:eastAsia="Calibri" w:hAnsi="Tahoma" w:cs="Tahoma"/>
          <w:sz w:val="18"/>
          <w:szCs w:val="18"/>
          <w:lang w:val="de-DE"/>
        </w:rPr>
        <w:t>Die Software Assurance aus den obigen Gewährungen läuft ab, wenn die entsprechende Software Assurance für die Qualifizierenden CALs abläuft</w:t>
      </w:r>
      <w:r w:rsidR="006257A7" w:rsidRPr="00B7448E">
        <w:rPr>
          <w:rFonts w:ascii="Tahoma" w:eastAsia="Calibri" w:hAnsi="Tahoma" w:cs="Tahoma"/>
          <w:sz w:val="18"/>
          <w:szCs w:val="18"/>
          <w:lang w:val="de-DE"/>
        </w:rPr>
        <w:t xml:space="preserve">. </w:t>
      </w:r>
      <w:r w:rsidRPr="00B7448E">
        <w:rPr>
          <w:rFonts w:ascii="Tahoma" w:eastAsia="Calibri" w:hAnsi="Tahoma" w:cs="Tahoma"/>
          <w:sz w:val="18"/>
          <w:szCs w:val="18"/>
          <w:lang w:val="de-DE"/>
        </w:rPr>
        <w:t>Als Ausnahme dürfen Kunden mit Software Assurance für Qualifizierende CALs, die im August 2012 ablaufen, bis zum 31</w:t>
      </w:r>
      <w:r w:rsidR="006257A7" w:rsidRPr="00B7448E">
        <w:rPr>
          <w:rFonts w:ascii="Tahoma" w:eastAsia="Calibri" w:hAnsi="Tahoma" w:cs="Tahoma"/>
          <w:sz w:val="18"/>
          <w:szCs w:val="18"/>
          <w:lang w:val="de-DE"/>
        </w:rPr>
        <w:t xml:space="preserve">. </w:t>
      </w:r>
      <w:r w:rsidRPr="00B7448E">
        <w:rPr>
          <w:rFonts w:ascii="Tahoma" w:eastAsia="Calibri" w:hAnsi="Tahoma" w:cs="Tahoma"/>
          <w:sz w:val="18"/>
          <w:szCs w:val="18"/>
          <w:lang w:val="de-DE"/>
        </w:rPr>
        <w:t>Dezember 2012 für die im Rahmen dieses Angebots gewährten CALs Software Assurance verlängern</w:t>
      </w:r>
      <w:r w:rsidR="006257A7" w:rsidRPr="00B7448E">
        <w:rPr>
          <w:rFonts w:ascii="Tahoma" w:eastAsia="Calibri" w:hAnsi="Tahoma" w:cs="Tahoma"/>
          <w:sz w:val="18"/>
          <w:szCs w:val="18"/>
          <w:lang w:val="de-DE"/>
        </w:rPr>
        <w:t xml:space="preserve">. </w:t>
      </w:r>
      <w:r w:rsidRPr="00B7448E">
        <w:rPr>
          <w:rFonts w:ascii="Tahoma" w:eastAsia="Calibri" w:hAnsi="Tahoma" w:cs="Tahoma"/>
          <w:sz w:val="18"/>
          <w:szCs w:val="18"/>
          <w:lang w:val="de-DE"/>
        </w:rPr>
        <w:t>Kunden mit Software Assurance für Qualifizierende CALs, die im Juli 2012 ablaufen, sind bis zum 31</w:t>
      </w:r>
      <w:r w:rsidR="006257A7" w:rsidRPr="00B7448E">
        <w:rPr>
          <w:rFonts w:ascii="Tahoma" w:eastAsia="Calibri" w:hAnsi="Tahoma" w:cs="Tahoma"/>
          <w:sz w:val="18"/>
          <w:szCs w:val="18"/>
          <w:lang w:val="de-DE"/>
        </w:rPr>
        <w:t xml:space="preserve">. </w:t>
      </w:r>
      <w:r w:rsidRPr="00B7448E">
        <w:rPr>
          <w:rFonts w:ascii="Tahoma" w:eastAsia="Calibri" w:hAnsi="Tahoma" w:cs="Tahoma"/>
          <w:sz w:val="18"/>
          <w:szCs w:val="18"/>
          <w:lang w:val="de-DE"/>
        </w:rPr>
        <w:t>Dezember 2012 berechtigt, für die im Rahmen dieses Angebots gewährten CALs Software Assurance zu erwerben</w:t>
      </w:r>
      <w:r w:rsidR="006257A7" w:rsidRPr="00B7448E">
        <w:rPr>
          <w:rFonts w:ascii="Tahoma" w:eastAsia="Calibri" w:hAnsi="Tahoma" w:cs="Tahoma"/>
          <w:sz w:val="18"/>
          <w:szCs w:val="18"/>
          <w:lang w:val="de-DE"/>
        </w:rPr>
        <w:t xml:space="preserve">. </w:t>
      </w:r>
    </w:p>
    <w:p w:rsidR="00E73313" w:rsidRPr="00B7448E" w:rsidRDefault="00E73313" w:rsidP="00E73313">
      <w:pPr>
        <w:pStyle w:val="ListParagraph"/>
        <w:contextualSpacing w:val="0"/>
        <w:rPr>
          <w:rFonts w:ascii="Tahoma" w:hAnsi="Tahoma" w:cs="Tahoma"/>
          <w:sz w:val="18"/>
          <w:szCs w:val="18"/>
          <w:lang w:val="de-DE"/>
        </w:rPr>
      </w:pPr>
    </w:p>
    <w:p w:rsidR="00E73313" w:rsidRPr="00B7448E" w:rsidRDefault="00E73313" w:rsidP="00E73313">
      <w:pPr>
        <w:pStyle w:val="ListParagraph"/>
        <w:contextualSpacing w:val="0"/>
        <w:rPr>
          <w:rFonts w:ascii="Tahoma" w:hAnsi="Tahoma" w:cs="Tahoma"/>
          <w:sz w:val="18"/>
          <w:szCs w:val="18"/>
          <w:lang w:val="de-DE"/>
        </w:rPr>
      </w:pPr>
      <w:r w:rsidRPr="00B7448E">
        <w:rPr>
          <w:rFonts w:ascii="Tahoma" w:eastAsia="Calibri" w:hAnsi="Tahoma" w:cs="Tahoma"/>
          <w:sz w:val="18"/>
          <w:szCs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r w:rsidR="006257A7" w:rsidRPr="00B7448E">
        <w:rPr>
          <w:rFonts w:ascii="Tahoma" w:eastAsia="Calibri" w:hAnsi="Tahoma" w:cs="Tahoma"/>
          <w:sz w:val="18"/>
          <w:szCs w:val="18"/>
          <w:lang w:val="de-DE"/>
        </w:rPr>
        <w:t xml:space="preserve">. </w:t>
      </w:r>
    </w:p>
    <w:p w:rsidR="00E73313" w:rsidRPr="00B7448E" w:rsidRDefault="00E73313" w:rsidP="00E73313">
      <w:pPr>
        <w:pStyle w:val="ListParagraph"/>
        <w:contextualSpacing w:val="0"/>
        <w:rPr>
          <w:rFonts w:ascii="Tahoma" w:hAnsi="Tahoma" w:cs="Tahoma"/>
          <w:sz w:val="18"/>
          <w:szCs w:val="18"/>
          <w:lang w:val="de-DE"/>
        </w:rPr>
      </w:pPr>
    </w:p>
    <w:p w:rsidR="00E73313" w:rsidRPr="00B7448E" w:rsidRDefault="00E73313" w:rsidP="00E73313">
      <w:pPr>
        <w:pStyle w:val="ListParagraph"/>
        <w:contextualSpacing w:val="0"/>
        <w:rPr>
          <w:rFonts w:ascii="Tahoma" w:hAnsi="Tahoma" w:cs="Tahoma"/>
          <w:sz w:val="18"/>
          <w:szCs w:val="18"/>
          <w:lang w:val="de-DE"/>
        </w:rPr>
      </w:pPr>
      <w:r w:rsidRPr="00B7448E">
        <w:rPr>
          <w:rFonts w:ascii="Tahoma" w:eastAsia="Calibri" w:hAnsi="Tahoma" w:cs="Tahoma"/>
          <w:sz w:val="18"/>
          <w:szCs w:val="18"/>
          <w:lang w:val="de-DE"/>
        </w:rPr>
        <w:t>Für jede Qualifizierende CAL, die unter einer Open Value Subscription erworben wurde, ist der Kunde berechtigt, ein Buy-Out für eine SBS 2011 Premium Add-on CAL Suite wie angeboten durchzuführen, oder</w:t>
      </w:r>
    </w:p>
    <w:p w:rsidR="00E73313" w:rsidRPr="00B7448E" w:rsidRDefault="00E73313" w:rsidP="00E73313">
      <w:pPr>
        <w:pStyle w:val="ListParagraph"/>
        <w:contextualSpacing w:val="0"/>
        <w:rPr>
          <w:rFonts w:ascii="Tahoma" w:hAnsi="Tahoma" w:cs="Tahoma"/>
          <w:sz w:val="18"/>
          <w:szCs w:val="18"/>
          <w:lang w:val="de-DE"/>
        </w:rPr>
      </w:pPr>
    </w:p>
    <w:p w:rsidR="00E73313" w:rsidRPr="00B7448E" w:rsidRDefault="00E73313" w:rsidP="00CF04E6">
      <w:pPr>
        <w:pStyle w:val="ListParagraph"/>
        <w:numPr>
          <w:ilvl w:val="1"/>
          <w:numId w:val="100"/>
        </w:numPr>
        <w:tabs>
          <w:tab w:val="clear" w:pos="1440"/>
        </w:tabs>
        <w:spacing w:after="60"/>
        <w:ind w:hanging="274"/>
        <w:contextualSpacing w:val="0"/>
        <w:rPr>
          <w:rFonts w:ascii="Tahoma" w:hAnsi="Tahoma" w:cs="Tahoma"/>
          <w:sz w:val="18"/>
          <w:szCs w:val="18"/>
        </w:rPr>
      </w:pPr>
      <w:r w:rsidRPr="00B7448E">
        <w:rPr>
          <w:rFonts w:ascii="Tahoma" w:eastAsia="Calibri" w:hAnsi="Tahoma" w:cs="Tahoma"/>
          <w:sz w:val="18"/>
          <w:szCs w:val="18"/>
          <w:lang w:val="de-DE"/>
        </w:rPr>
        <w:t>Je eine CAL für Windows Server 2012 und SQL Server 2012 für Verträge, die ab dem 1</w:t>
      </w:r>
      <w:r w:rsidR="006257A7" w:rsidRPr="00B7448E">
        <w:rPr>
          <w:rFonts w:ascii="Tahoma" w:eastAsia="Calibri" w:hAnsi="Tahoma" w:cs="Tahoma"/>
          <w:sz w:val="18"/>
          <w:szCs w:val="18"/>
          <w:lang w:val="de-DE"/>
        </w:rPr>
        <w:t xml:space="preserve">. </w:t>
      </w:r>
      <w:r w:rsidRPr="00B7448E">
        <w:rPr>
          <w:rFonts w:ascii="Tahoma" w:eastAsia="Calibri" w:hAnsi="Tahoma" w:cs="Tahoma"/>
          <w:sz w:val="18"/>
          <w:szCs w:val="18"/>
        </w:rPr>
        <w:t>August</w:t>
      </w:r>
      <w:r w:rsidR="00CF04E6" w:rsidRPr="00B7448E">
        <w:rPr>
          <w:rFonts w:ascii="Tahoma" w:eastAsia="Calibri" w:hAnsi="Tahoma" w:cs="Tahoma"/>
          <w:sz w:val="18"/>
          <w:szCs w:val="18"/>
        </w:rPr>
        <w:t> </w:t>
      </w:r>
      <w:r w:rsidRPr="00B7448E">
        <w:rPr>
          <w:rFonts w:ascii="Tahoma" w:eastAsia="Calibri" w:hAnsi="Tahoma" w:cs="Tahoma"/>
          <w:sz w:val="18"/>
          <w:szCs w:val="18"/>
        </w:rPr>
        <w:t>2012 ablaufen,</w:t>
      </w:r>
    </w:p>
    <w:p w:rsidR="00E73313" w:rsidRPr="00B7448E" w:rsidRDefault="00E73313" w:rsidP="00E73313">
      <w:pPr>
        <w:pStyle w:val="ListParagraph"/>
        <w:numPr>
          <w:ilvl w:val="1"/>
          <w:numId w:val="100"/>
        </w:numPr>
        <w:tabs>
          <w:tab w:val="clear" w:pos="1440"/>
        </w:tabs>
        <w:spacing w:after="60"/>
        <w:ind w:hanging="274"/>
        <w:contextualSpacing w:val="0"/>
        <w:rPr>
          <w:rFonts w:ascii="Tahoma" w:hAnsi="Tahoma" w:cs="Tahoma"/>
          <w:sz w:val="18"/>
          <w:szCs w:val="18"/>
          <w:lang w:val="de-DE"/>
        </w:rPr>
      </w:pPr>
      <w:r w:rsidRPr="00B7448E">
        <w:rPr>
          <w:rFonts w:ascii="Tahoma" w:eastAsia="Calibri" w:hAnsi="Tahoma" w:cs="Tahoma"/>
          <w:sz w:val="18"/>
          <w:szCs w:val="18"/>
          <w:lang w:val="de-DE"/>
        </w:rPr>
        <w:t>Je eine CAL für Windows Server 2008 und SQL Server 2012 für Verträge, die im Juli 2012 ablaufen</w:t>
      </w:r>
      <w:r w:rsidR="006257A7" w:rsidRPr="00B7448E">
        <w:rPr>
          <w:rFonts w:ascii="Tahoma" w:eastAsia="Calibri" w:hAnsi="Tahoma" w:cs="Tahoma"/>
          <w:sz w:val="18"/>
          <w:szCs w:val="18"/>
          <w:lang w:val="de-DE"/>
        </w:rPr>
        <w:t xml:space="preserve">. </w:t>
      </w:r>
    </w:p>
    <w:p w:rsidR="00E73313" w:rsidRPr="00B7448E" w:rsidRDefault="00E73313" w:rsidP="00E73313">
      <w:pPr>
        <w:pStyle w:val="ListParagraph"/>
        <w:ind w:left="1800"/>
        <w:contextualSpacing w:val="0"/>
        <w:rPr>
          <w:rFonts w:ascii="Tahoma" w:hAnsi="Tahoma" w:cs="Tahoma"/>
          <w:sz w:val="18"/>
          <w:szCs w:val="18"/>
          <w:lang w:val="de-DE"/>
        </w:rPr>
      </w:pPr>
    </w:p>
    <w:p w:rsidR="00E73313" w:rsidRPr="003002D3" w:rsidRDefault="00E73313" w:rsidP="00E73313">
      <w:pPr>
        <w:ind w:left="720"/>
        <w:rPr>
          <w:lang w:val="de-DE"/>
        </w:rPr>
      </w:pPr>
      <w:r w:rsidRPr="003002D3">
        <w:rPr>
          <w:rFonts w:eastAsia="Calibri" w:cs="Tahoma"/>
          <w:szCs w:val="18"/>
          <w:lang w:val="de-DE"/>
        </w:rPr>
        <w:t>Bei Nutzung der CALs für Windows Server 2012 SQL und für SQL Server 2012 unter dieser Gewährung sind die bestehenden Qualifizierenden CAL Suites für SBS Premium Add-On des Kunden nicht mehr gültig</w:t>
      </w:r>
      <w:r w:rsidR="006257A7">
        <w:rPr>
          <w:rFonts w:eastAsia="Calibri" w:cs="Tahoma"/>
          <w:szCs w:val="18"/>
          <w:lang w:val="de-DE"/>
        </w:rPr>
        <w:t xml:space="preserve">. </w:t>
      </w:r>
    </w:p>
    <w:p w:rsidR="00E73313" w:rsidRPr="003002D3" w:rsidRDefault="00E73313" w:rsidP="00E73313">
      <w:pPr>
        <w:ind w:left="720"/>
        <w:rPr>
          <w:lang w:val="de-DE"/>
        </w:rPr>
      </w:pPr>
      <w:r w:rsidRPr="003002D3">
        <w:rPr>
          <w:color w:val="000000"/>
          <w:lang w:val="de-DE"/>
        </w:rPr>
        <w:t>SBS 2011 Premium Add-On CAL Suites,</w:t>
      </w:r>
      <w:r w:rsidRPr="003002D3">
        <w:rPr>
          <w:rFonts w:cs="Tahoma"/>
          <w:bCs/>
          <w:color w:val="000000"/>
          <w:szCs w:val="18"/>
          <w:lang w:val="de-DE"/>
        </w:rPr>
        <w:t xml:space="preserve"> die danach unter derselben Beitrittslaufzeit im Rahmen eines Open Value Subscription-Prozesses oder des geplanten jährlichen True Up-Prozesses des EES-Kunden erworben werden, sind ebenfalls Qualifizierende Lizenzen im Sinne der zuvor beschriebenen Gewährung</w:t>
      </w:r>
      <w:r w:rsidR="006257A7">
        <w:rPr>
          <w:rFonts w:cs="Tahoma"/>
          <w:bCs/>
          <w:color w:val="000000"/>
          <w:szCs w:val="18"/>
          <w:lang w:val="de-DE"/>
        </w:rPr>
        <w:t xml:space="preserve">. </w:t>
      </w:r>
    </w:p>
    <w:p w:rsidR="00E73313" w:rsidRPr="003002D3" w:rsidRDefault="00E73313" w:rsidP="00E73313">
      <w:pPr>
        <w:rPr>
          <w:lang w:val="de-DE"/>
        </w:rPr>
      </w:pPr>
    </w:p>
    <w:p w:rsidR="00E73313" w:rsidRDefault="00E73313" w:rsidP="00E73313">
      <w:pPr>
        <w:widowControl w:val="0"/>
        <w:jc w:val="both"/>
        <w:rPr>
          <w:lang w:val="de-DE"/>
        </w:rPr>
      </w:pPr>
      <w:bookmarkStart w:id="1703" w:name="_123_Windows_Azure"/>
      <w:bookmarkEnd w:id="1703"/>
    </w:p>
    <w:p w:rsidR="00E73313" w:rsidRPr="003002D3" w:rsidRDefault="00E73313" w:rsidP="00E73313">
      <w:pPr>
        <w:pStyle w:val="Heading2"/>
        <w:keepNext/>
        <w:ind w:left="0"/>
        <w:rPr>
          <w:lang w:val="de-DE"/>
        </w:rPr>
      </w:pPr>
      <w:bookmarkStart w:id="1704" w:name="_124_Windows_Small_1"/>
      <w:bookmarkStart w:id="1705" w:name="_114_Windows_Small"/>
      <w:bookmarkStart w:id="1706" w:name="_118_Windows_Small"/>
      <w:bookmarkStart w:id="1707" w:name="_Toc336338381"/>
      <w:bookmarkStart w:id="1708" w:name="_Toc363999115"/>
      <w:bookmarkEnd w:id="1704"/>
      <w:bookmarkEnd w:id="1705"/>
      <w:bookmarkEnd w:id="1706"/>
      <w:r w:rsidRPr="003002D3">
        <w:rPr>
          <w:rFonts w:ascii="Tahoma" w:hAnsi="Tahoma" w:cs="Tahoma"/>
          <w:color w:val="F8701C"/>
          <w:sz w:val="22"/>
          <w:szCs w:val="22"/>
          <w:vertAlign w:val="superscript"/>
          <w:lang w:val="de-DE"/>
        </w:rPr>
        <w:t>118</w:t>
      </w:r>
      <w:r w:rsidRPr="00B27BD3">
        <w:rPr>
          <w:rFonts w:ascii="Tahoma" w:hAnsi="Tahoma" w:cs="Tahoma"/>
          <w:color w:val="F8701C"/>
          <w:sz w:val="22"/>
          <w:szCs w:val="22"/>
          <w:lang w:val="de-DE"/>
        </w:rPr>
        <w:t xml:space="preserve"> </w:t>
      </w:r>
      <w:r w:rsidRPr="003002D3">
        <w:rPr>
          <w:rFonts w:ascii="Tahoma" w:hAnsi="Tahoma" w:cs="Tahoma"/>
          <w:color w:val="F8701C"/>
          <w:sz w:val="22"/>
          <w:szCs w:val="22"/>
          <w:lang w:val="de-DE"/>
        </w:rPr>
        <w:t>Windows Small Business Server 2011 Essentials</w:t>
      </w:r>
      <w:bookmarkEnd w:id="1707"/>
      <w:bookmarkEnd w:id="1708"/>
    </w:p>
    <w:p w:rsidR="00E73313" w:rsidRPr="003002D3" w:rsidRDefault="00E73313" w:rsidP="00E73313">
      <w:pPr>
        <w:keepNext/>
        <w:rPr>
          <w:lang w:val="de-DE"/>
        </w:rPr>
      </w:pPr>
    </w:p>
    <w:p w:rsidR="00E73313" w:rsidRPr="003002D3" w:rsidRDefault="00E73313" w:rsidP="00E73313">
      <w:pPr>
        <w:spacing w:after="60"/>
        <w:ind w:left="720"/>
        <w:rPr>
          <w:lang w:val="de-DE"/>
        </w:rPr>
      </w:pPr>
      <w:r w:rsidRPr="003002D3">
        <w:rPr>
          <w:b/>
          <w:bCs/>
          <w:color w:val="000000"/>
          <w:lang w:val="de-DE"/>
        </w:rPr>
        <w:t>Lizenzgewährungen im Zusammenhang mit dem Ende der Lebensdauer von Windows Small Server (SBS) 2011 Essentials</w:t>
      </w:r>
      <w:r w:rsidRPr="003002D3">
        <w:rPr>
          <w:color w:val="000000"/>
          <w:lang w:val="de-DE"/>
        </w:rPr>
        <w:t xml:space="preserve"> </w:t>
      </w:r>
    </w:p>
    <w:p w:rsidR="00E73313" w:rsidRPr="003002D3" w:rsidRDefault="00E73313" w:rsidP="00B27BD3">
      <w:pPr>
        <w:ind w:left="720"/>
        <w:rPr>
          <w:lang w:val="de-DE"/>
        </w:rPr>
      </w:pPr>
      <w:r w:rsidRPr="003002D3">
        <w:rPr>
          <w:lang w:val="de-DE"/>
        </w:rPr>
        <w:t>Windows SBS 2011 Essentials ist die letzte Version von Windows SBS Essentials</w:t>
      </w:r>
      <w:r w:rsidR="006257A7">
        <w:rPr>
          <w:lang w:val="de-DE"/>
        </w:rPr>
        <w:t xml:space="preserve">. </w:t>
      </w:r>
      <w:r w:rsidRPr="003002D3">
        <w:rPr>
          <w:lang w:val="de-DE"/>
        </w:rPr>
        <w:t>Volumenlizenzkunden, die</w:t>
      </w:r>
      <w:r w:rsidR="00B27BD3">
        <w:rPr>
          <w:lang w:val="de-DE"/>
        </w:rPr>
        <w:t> </w:t>
      </w:r>
      <w:r w:rsidRPr="003002D3">
        <w:rPr>
          <w:lang w:val="de-DE"/>
        </w:rPr>
        <w:t>am 1</w:t>
      </w:r>
      <w:r w:rsidR="006257A7">
        <w:rPr>
          <w:lang w:val="de-DE"/>
        </w:rPr>
        <w:t xml:space="preserve">. </w:t>
      </w:r>
      <w:r w:rsidRPr="003002D3">
        <w:rPr>
          <w:lang w:val="de-DE"/>
        </w:rPr>
        <w:t>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sind</w:t>
      </w:r>
      <w:r w:rsidR="00B27BD3">
        <w:rPr>
          <w:lang w:val="de-DE"/>
        </w:rPr>
        <w:t> </w:t>
      </w:r>
      <w:r w:rsidRPr="003002D3">
        <w:rPr>
          <w:lang w:val="de-DE"/>
        </w:rPr>
        <w:t xml:space="preserve">berechtigt, auf die Software Windows Server 2012 Essentials </w:t>
      </w:r>
      <w:r w:rsidRPr="003002D3">
        <w:rPr>
          <w:u w:val="single"/>
          <w:lang w:val="de-DE"/>
        </w:rPr>
        <w:t>upzugraden und</w:t>
      </w:r>
      <w:r w:rsidRPr="003002D3">
        <w:rPr>
          <w:lang w:val="de-DE"/>
        </w:rPr>
        <w:t xml:space="preserve"> sie </w:t>
      </w:r>
      <w:r w:rsidRPr="003002D3">
        <w:rPr>
          <w:u w:val="single"/>
          <w:lang w:val="de-DE"/>
        </w:rPr>
        <w:t>anstelle von SBS Essentials zu verwenden</w:t>
      </w:r>
      <w:r w:rsidR="006257A7">
        <w:rPr>
          <w:lang w:val="de-DE"/>
        </w:rPr>
        <w:t xml:space="preserve">. </w:t>
      </w:r>
      <w:r w:rsidRPr="003002D3">
        <w:rPr>
          <w:lang w:val="de-DE"/>
        </w:rPr>
        <w:t>Um diese Nutzung zu erleichtern, wird angenommen, dass dem Kunden bei Verfügbarkeit von Windows Server 2012 Essentials für jede Qualifizierende Lizenz, die der Kunde besitzt, eine Windows Server 2012 Essentials-Lizenz gewährt wird</w:t>
      </w:r>
      <w:r w:rsidR="006257A7">
        <w:rPr>
          <w:lang w:val="de-DE"/>
        </w:rPr>
        <w:t xml:space="preserve">. </w:t>
      </w:r>
      <w:r w:rsidRPr="003002D3">
        <w:rPr>
          <w:lang w:val="de-DE"/>
        </w:rPr>
        <w:t>Die Nutzung von Windows Server 2012 Essentials unterliegt den Lizenzbestimmungen für dieses Produkt in den Produktbenutzungsrechten und den</w:t>
      </w:r>
      <w:r w:rsidR="00B27BD3">
        <w:rPr>
          <w:lang w:val="de-DE"/>
        </w:rPr>
        <w:t> </w:t>
      </w:r>
      <w:r w:rsidRPr="003002D3">
        <w:rPr>
          <w:lang w:val="de-DE"/>
        </w:rPr>
        <w:t>Bestimmungen der Volumenlizenzverträge des Kunden</w:t>
      </w:r>
      <w:r w:rsidR="006257A7">
        <w:rPr>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r w:rsidRPr="003002D3">
        <w:rPr>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r w:rsidR="006257A7">
        <w:rPr>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r w:rsidRPr="003002D3">
        <w:rPr>
          <w:lang w:val="de-DE"/>
        </w:rPr>
        <w:t>Bei Upgrade auf Windows Server 2012 Essentials unter dieser Gewährung sind die bestehenden Qualifizierenden Lizenzen für SBS Essentials des Kunden nicht mehr gültig</w:t>
      </w:r>
      <w:r w:rsidR="006257A7">
        <w:rPr>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r w:rsidRPr="003002D3">
        <w:rPr>
          <w:lang w:val="de-DE"/>
        </w:rPr>
        <w:t>SBS Essentials-Lizenzen, die danach unter derselben Beitrittslaufzeit im Rahmen eines Open Value Subscription-Prozesses oder des geplanten jährlichen True Up-Prozesses des EES-Kunden erworben werden, sind ebenfalls Qualifizierende Lizenzen im Sinne der zuvor beschriebenen Gewährung</w:t>
      </w:r>
      <w:r w:rsidR="006257A7">
        <w:rPr>
          <w:lang w:val="de-DE"/>
        </w:rPr>
        <w:t xml:space="preserve">. </w:t>
      </w:r>
    </w:p>
    <w:p w:rsidR="00E73313" w:rsidRPr="003002D3" w:rsidRDefault="00E73313" w:rsidP="00E73313">
      <w:pPr>
        <w:ind w:left="720"/>
        <w:rPr>
          <w:lang w:val="de-DE"/>
        </w:rPr>
      </w:pPr>
    </w:p>
    <w:p w:rsidR="00E73313" w:rsidRPr="003002D3" w:rsidRDefault="00E73313" w:rsidP="00E73313">
      <w:pPr>
        <w:ind w:left="720"/>
        <w:rPr>
          <w:lang w:val="de-DE"/>
        </w:rPr>
      </w:pPr>
    </w:p>
    <w:p w:rsidR="00E73313" w:rsidRPr="003002D3" w:rsidRDefault="00E73313" w:rsidP="00E73313">
      <w:pPr>
        <w:pStyle w:val="Heading3"/>
        <w:rPr>
          <w:lang w:val="de-DE"/>
        </w:rPr>
      </w:pPr>
      <w:bookmarkStart w:id="1709" w:name="_119_Windows_Web_1"/>
      <w:bookmarkStart w:id="1710" w:name="_Toc363999116"/>
      <w:bookmarkEnd w:id="1709"/>
      <w:r w:rsidRPr="003002D3">
        <w:rPr>
          <w:rFonts w:ascii="Tahoma" w:hAnsi="Tahoma" w:cs="Tahoma"/>
          <w:caps/>
          <w:color w:val="EE6000"/>
          <w:sz w:val="22"/>
          <w:szCs w:val="18"/>
          <w:vertAlign w:val="superscript"/>
          <w:lang w:val="de-DE"/>
        </w:rPr>
        <w:t>119</w:t>
      </w:r>
      <w:r w:rsidRPr="003002D3">
        <w:rPr>
          <w:rFonts w:ascii="Tahoma" w:hAnsi="Tahoma" w:cs="Tahoma"/>
          <w:color w:val="EE6000"/>
          <w:sz w:val="22"/>
          <w:szCs w:val="18"/>
          <w:lang w:val="de-DE"/>
        </w:rPr>
        <w:t xml:space="preserve"> </w:t>
      </w:r>
      <w:r w:rsidRPr="003002D3">
        <w:rPr>
          <w:rFonts w:ascii="Tahoma" w:hAnsi="Tahoma"/>
          <w:color w:val="F66400"/>
          <w:sz w:val="22"/>
          <w:lang w:val="de-DE"/>
        </w:rPr>
        <w:t>Windows Web Server</w:t>
      </w:r>
      <w:r w:rsidR="0069040B" w:rsidRPr="0069040B">
        <w:rPr>
          <w:rFonts w:ascii="Tahoma" w:hAnsi="Tahoma"/>
          <w:color w:val="F66400"/>
          <w:sz w:val="22"/>
          <w:vertAlign w:val="superscript"/>
          <w:lang w:val="de-DE"/>
        </w:rPr>
        <w:t>®</w:t>
      </w:r>
      <w:r w:rsidRPr="003002D3">
        <w:rPr>
          <w:rFonts w:ascii="Tahoma" w:hAnsi="Tahoma"/>
          <w:color w:val="F66400"/>
          <w:sz w:val="22"/>
          <w:lang w:val="de-DE"/>
        </w:rPr>
        <w:t xml:space="preserve"> 2008 R2</w:t>
      </w:r>
      <w:bookmarkEnd w:id="1710"/>
    </w:p>
    <w:p w:rsidR="00E73313" w:rsidRPr="003002D3" w:rsidRDefault="00E73313" w:rsidP="00E73313">
      <w:pPr>
        <w:rPr>
          <w:lang w:val="de-DE"/>
        </w:rPr>
      </w:pPr>
    </w:p>
    <w:p w:rsidR="00E73313" w:rsidRPr="003002D3" w:rsidRDefault="00E73313" w:rsidP="00CF04E6">
      <w:pPr>
        <w:tabs>
          <w:tab w:val="left" w:pos="720"/>
        </w:tabs>
        <w:spacing w:after="60"/>
        <w:ind w:left="720"/>
        <w:rPr>
          <w:lang w:val="de-DE"/>
        </w:rPr>
      </w:pPr>
      <w:r w:rsidRPr="003002D3">
        <w:rPr>
          <w:b/>
          <w:color w:val="000000"/>
          <w:lang w:val="de-DE"/>
        </w:rPr>
        <w:t>Lizenzgewährungen im Zusammenhang mit dem Ende der Lebensdauer von Windows Web</w:t>
      </w:r>
      <w:r w:rsidR="00CF04E6">
        <w:rPr>
          <w:b/>
          <w:color w:val="000000"/>
          <w:lang w:val="de-DE"/>
        </w:rPr>
        <w:t> </w:t>
      </w:r>
      <w:r w:rsidRPr="003002D3">
        <w:rPr>
          <w:b/>
          <w:color w:val="000000"/>
          <w:lang w:val="de-DE"/>
        </w:rPr>
        <w:t>Server</w:t>
      </w:r>
    </w:p>
    <w:p w:rsidR="00E73313" w:rsidRPr="003002D3" w:rsidRDefault="00E73313" w:rsidP="00B27BD3">
      <w:pPr>
        <w:tabs>
          <w:tab w:val="left" w:pos="720"/>
        </w:tabs>
        <w:ind w:left="720"/>
        <w:rPr>
          <w:lang w:val="de-DE"/>
        </w:rPr>
      </w:pPr>
      <w:r w:rsidRPr="003002D3">
        <w:rPr>
          <w:color w:val="000000"/>
          <w:lang w:val="de-DE"/>
        </w:rPr>
        <w:t>Windows Server 2008 R2 ist die letzte Version von Windows Web Server</w:t>
      </w:r>
      <w:r w:rsidR="006257A7">
        <w:rPr>
          <w:color w:val="000000"/>
          <w:lang w:val="de-DE"/>
        </w:rPr>
        <w:t xml:space="preserve">. </w:t>
      </w:r>
      <w:r w:rsidRPr="003002D3">
        <w:rPr>
          <w:color w:val="000000"/>
          <w:lang w:val="de-DE"/>
        </w:rPr>
        <w:t>Volumenlizenzkunden, die am 1</w:t>
      </w:r>
      <w:r w:rsidR="006257A7">
        <w:rPr>
          <w:color w:val="000000"/>
          <w:lang w:val="de-DE"/>
        </w:rPr>
        <w:t xml:space="preserve">. </w:t>
      </w:r>
      <w:r w:rsidRPr="003002D3">
        <w:rPr>
          <w:color w:val="000000"/>
          <w:lang w:val="de-DE"/>
        </w:rPr>
        <w:t xml:space="preserve">September 2012 oder am Datum der ersten Verfügbarkeit von Windows Server 2012 zum Download im Volume Licensing Service Center, wobei das frühere Datum maßgeblich ist, über aktive Software Assurance für Windows Web Server 2008 R2-Lizenzen verfügen, („Qualifizierende Lizenzen“) sind berechtigt, </w:t>
      </w:r>
      <w:r w:rsidRPr="003002D3">
        <w:rPr>
          <w:rFonts w:eastAsia="Calibri" w:cs="Tahoma"/>
          <w:szCs w:val="18"/>
          <w:lang w:val="de-DE"/>
        </w:rPr>
        <w:t>die Software Windows Server 2012 Standard zu verwenden</w:t>
      </w:r>
      <w:r w:rsidR="006257A7">
        <w:rPr>
          <w:rFonts w:eastAsia="Calibri" w:cs="Tahoma"/>
          <w:szCs w:val="18"/>
          <w:lang w:val="de-DE"/>
        </w:rPr>
        <w:t xml:space="preserve">. </w:t>
      </w:r>
      <w:r w:rsidRPr="003002D3">
        <w:rPr>
          <w:rFonts w:eastAsia="Calibri" w:cs="Tahoma"/>
          <w:szCs w:val="18"/>
          <w:lang w:val="de-DE"/>
        </w:rPr>
        <w:t>Um diese Verwendung zu erleichtern, wird angenommen, dass dem Kunden bei Verfügbarkeit von Windows Server 2012 für jeweils zwei Qualifizierende Lizenzen, die der Kunde besitzt, eine Windows Server 2012 Standard-Prozessorlizenz gewährt wird</w:t>
      </w:r>
      <w:r w:rsidR="006257A7">
        <w:rPr>
          <w:rFonts w:eastAsia="Calibri" w:cs="Tahoma"/>
          <w:szCs w:val="18"/>
          <w:lang w:val="de-DE"/>
        </w:rPr>
        <w:t xml:space="preserve">. </w:t>
      </w:r>
    </w:p>
    <w:p w:rsidR="00E73313" w:rsidRPr="003002D3" w:rsidRDefault="00E73313" w:rsidP="00E73313">
      <w:pPr>
        <w:tabs>
          <w:tab w:val="left" w:pos="720"/>
        </w:tabs>
        <w:ind w:left="720"/>
        <w:rPr>
          <w:lang w:val="de-DE"/>
        </w:rPr>
      </w:pPr>
    </w:p>
    <w:p w:rsidR="00E73313" w:rsidRPr="003002D3" w:rsidRDefault="00E73313" w:rsidP="00E73313">
      <w:pPr>
        <w:numPr>
          <w:ilvl w:val="0"/>
          <w:numId w:val="56"/>
        </w:numPr>
        <w:tabs>
          <w:tab w:val="clear" w:pos="360"/>
          <w:tab w:val="num" w:pos="1440"/>
        </w:tabs>
        <w:spacing w:after="60"/>
        <w:ind w:left="1440"/>
        <w:rPr>
          <w:lang w:val="de-DE"/>
        </w:rPr>
      </w:pPr>
      <w:r w:rsidRPr="003002D3">
        <w:rPr>
          <w:color w:val="000000"/>
          <w:lang w:val="de-DE"/>
        </w:rPr>
        <w:t>Wenn ein Kunde über eine ungerade Anzahl von Lizenzen für Web Server verfügt, muss der Kunde auf die nächste gerade Zahl aufrunden, um festzustellen, wie viele Lizenzen ihm gewährt werden</w:t>
      </w:r>
      <w:r w:rsidR="006257A7">
        <w:rPr>
          <w:color w:val="000000"/>
          <w:lang w:val="de-DE"/>
        </w:rPr>
        <w:t xml:space="preserve">. </w:t>
      </w:r>
      <w:r w:rsidRPr="003002D3">
        <w:rPr>
          <w:color w:val="000000"/>
          <w:lang w:val="de-DE"/>
        </w:rPr>
        <w:t>Beispiel: Einem Kunden, der über drei Web Server-Lizenzen verfügt, werden insgesamt zwei Windows Server 2012 Standard-Lizenzen gewährt</w:t>
      </w:r>
      <w:r w:rsidR="006257A7">
        <w:rPr>
          <w:color w:val="000000"/>
          <w:lang w:val="de-DE"/>
        </w:rPr>
        <w:t xml:space="preserve">. </w:t>
      </w:r>
    </w:p>
    <w:p w:rsidR="00E73313" w:rsidRPr="003002D3" w:rsidRDefault="00E73313" w:rsidP="00E73313">
      <w:pPr>
        <w:numPr>
          <w:ilvl w:val="0"/>
          <w:numId w:val="56"/>
        </w:numPr>
        <w:tabs>
          <w:tab w:val="clear" w:pos="360"/>
          <w:tab w:val="num" w:pos="1440"/>
        </w:tabs>
        <w:spacing w:after="60"/>
        <w:ind w:left="1440"/>
        <w:rPr>
          <w:lang w:val="de-DE"/>
        </w:rPr>
      </w:pPr>
      <w:r w:rsidRPr="003002D3">
        <w:rPr>
          <w:rFonts w:eastAsia="Calibri" w:cs="Tahoma"/>
          <w:szCs w:val="18"/>
          <w:lang w:val="de-DE"/>
        </w:rPr>
        <w:t>Bei Upgrade auf Windows Server 2012 Standard unter dieser Gewährung bleiben die bestehenden Windows Web Server 2008 R2-Lizenzen des Kunden gültig</w:t>
      </w:r>
      <w:r w:rsidR="006257A7">
        <w:rPr>
          <w:rFonts w:eastAsia="Calibri" w:cs="Tahoma"/>
          <w:szCs w:val="18"/>
          <w:lang w:val="de-DE"/>
        </w:rPr>
        <w:t xml:space="preserve">. </w:t>
      </w:r>
    </w:p>
    <w:p w:rsidR="00E73313" w:rsidRPr="003002D3" w:rsidRDefault="00E73313" w:rsidP="00E73313">
      <w:pPr>
        <w:pStyle w:val="ListParagraph"/>
        <w:numPr>
          <w:ilvl w:val="0"/>
          <w:numId w:val="56"/>
        </w:numPr>
        <w:tabs>
          <w:tab w:val="clear" w:pos="360"/>
          <w:tab w:val="num" w:pos="1440"/>
        </w:tabs>
        <w:spacing w:after="60"/>
        <w:ind w:left="1440"/>
        <w:contextualSpacing w:val="0"/>
        <w:rPr>
          <w:lang w:val="de-DE"/>
        </w:rPr>
      </w:pPr>
      <w:r w:rsidRPr="003002D3">
        <w:rPr>
          <w:rFonts w:ascii="Tahoma" w:eastAsia="Calibri" w:hAnsi="Tahoma" w:cs="Tahoma"/>
          <w:sz w:val="18"/>
          <w:szCs w:val="18"/>
          <w:lang w:val="de-DE"/>
        </w:rPr>
        <w:t>Lizenzen, die im Rahmen dieser Gewährung erworben werden, umfassen Software Assurance</w:t>
      </w:r>
      <w:r w:rsidR="006257A7">
        <w:rPr>
          <w:rFonts w:ascii="Tahoma" w:eastAsia="Calibri" w:hAnsi="Tahoma" w:cs="Tahoma"/>
          <w:sz w:val="18"/>
          <w:szCs w:val="18"/>
          <w:lang w:val="de-DE"/>
        </w:rPr>
        <w:t xml:space="preserve">. </w:t>
      </w:r>
      <w:r w:rsidRPr="003002D3">
        <w:rPr>
          <w:rFonts w:ascii="Tahoma" w:eastAsia="Calibri" w:hAnsi="Tahoma" w:cs="Tahoma"/>
          <w:sz w:val="18"/>
          <w:szCs w:val="18"/>
          <w:lang w:val="de-DE"/>
        </w:rPr>
        <w:t>Diese Software Assurance gilt bis zum Ablauf der Software Assurance für die Qualifizierenden Lizenzen</w:t>
      </w:r>
      <w:r w:rsidR="006257A7">
        <w:rPr>
          <w:rFonts w:ascii="Tahoma" w:eastAsia="Calibri" w:hAnsi="Tahoma" w:cs="Tahoma"/>
          <w:sz w:val="18"/>
          <w:szCs w:val="18"/>
          <w:lang w:val="de-DE"/>
        </w:rPr>
        <w:t xml:space="preserve">. </w:t>
      </w:r>
    </w:p>
    <w:p w:rsidR="00E73313" w:rsidRPr="006732D8" w:rsidRDefault="00E73313" w:rsidP="00E73313">
      <w:pPr>
        <w:pStyle w:val="ListParagraph"/>
        <w:numPr>
          <w:ilvl w:val="0"/>
          <w:numId w:val="56"/>
        </w:numPr>
        <w:tabs>
          <w:tab w:val="clear" w:pos="360"/>
          <w:tab w:val="num" w:pos="1440"/>
        </w:tabs>
        <w:spacing w:after="60"/>
        <w:ind w:left="1440"/>
        <w:contextualSpacing w:val="0"/>
        <w:rPr>
          <w:lang w:val="de-DE"/>
        </w:rPr>
      </w:pPr>
      <w:r w:rsidRPr="00E73313">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r w:rsidR="006257A7">
        <w:rPr>
          <w:rFonts w:ascii="Tahoma" w:eastAsia="Calibri" w:hAnsi="Tahoma" w:cs="Tahoma"/>
          <w:sz w:val="18"/>
          <w:szCs w:val="18"/>
          <w:lang w:val="de-DE"/>
        </w:rPr>
        <w:t xml:space="preserve">. </w:t>
      </w:r>
    </w:p>
    <w:p w:rsidR="00E73313" w:rsidRPr="00E73313" w:rsidRDefault="00E73313" w:rsidP="00E73313">
      <w:pPr>
        <w:numPr>
          <w:ilvl w:val="0"/>
          <w:numId w:val="56"/>
        </w:numPr>
        <w:tabs>
          <w:tab w:val="clear" w:pos="360"/>
          <w:tab w:val="num" w:pos="1440"/>
        </w:tabs>
        <w:spacing w:after="60"/>
        <w:ind w:left="1440"/>
        <w:rPr>
          <w:lang w:val="de-DE"/>
        </w:rPr>
      </w:pPr>
      <w:r w:rsidRPr="00E73313">
        <w:rPr>
          <w:color w:val="000000"/>
          <w:lang w:val="de-DE"/>
        </w:rPr>
        <w:t>Windows Web Server 2008 R2-</w:t>
      </w:r>
      <w:r w:rsidRPr="00E73313">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6257A7">
        <w:rPr>
          <w:rFonts w:cs="Tahoma"/>
          <w:bCs/>
          <w:color w:val="000000"/>
          <w:szCs w:val="18"/>
          <w:lang w:val="de-DE"/>
        </w:rPr>
        <w:t xml:space="preserve">. </w:t>
      </w:r>
    </w:p>
    <w:p w:rsidR="00E73313" w:rsidRPr="00E73313" w:rsidRDefault="00E73313" w:rsidP="00E73313">
      <w:pPr>
        <w:numPr>
          <w:ilvl w:val="0"/>
          <w:numId w:val="56"/>
        </w:numPr>
        <w:tabs>
          <w:tab w:val="clear" w:pos="360"/>
          <w:tab w:val="num" w:pos="1440"/>
        </w:tabs>
        <w:spacing w:after="60"/>
        <w:ind w:left="1440"/>
        <w:rPr>
          <w:lang w:val="de-DE"/>
        </w:rPr>
      </w:pPr>
      <w:r w:rsidRPr="00E73313">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r w:rsidR="006257A7">
        <w:rPr>
          <w:rFonts w:cs="Tahoma"/>
          <w:bCs/>
          <w:color w:val="000000"/>
          <w:szCs w:val="18"/>
          <w:lang w:val="de-DE"/>
        </w:rPr>
        <w:t xml:space="preserve">. </w:t>
      </w:r>
    </w:p>
    <w:p w:rsidR="00E73313" w:rsidRPr="00E73313" w:rsidRDefault="00E73313" w:rsidP="00E73313">
      <w:pPr>
        <w:ind w:left="1440"/>
        <w:rPr>
          <w:lang w:val="de-DE"/>
        </w:rPr>
      </w:pPr>
    </w:p>
    <w:p w:rsidR="00E73313" w:rsidRPr="00E73313" w:rsidRDefault="00E73313" w:rsidP="00E73313">
      <w:pPr>
        <w:spacing w:after="60"/>
        <w:ind w:left="720"/>
        <w:rPr>
          <w:lang w:val="de-DE"/>
        </w:rPr>
      </w:pPr>
      <w:r w:rsidRPr="00E73313">
        <w:rPr>
          <w:rFonts w:eastAsia="Calibri" w:cs="Tahoma"/>
          <w:b/>
          <w:szCs w:val="18"/>
          <w:lang w:val="de-DE"/>
        </w:rPr>
        <w:t>Zusätzliche Informationen zur Verwendung von Windows Server 2012 als Webserver</w:t>
      </w:r>
    </w:p>
    <w:p w:rsidR="00E73313" w:rsidRPr="00E73313" w:rsidRDefault="00E73313" w:rsidP="00E73313">
      <w:pPr>
        <w:ind w:left="720"/>
        <w:rPr>
          <w:lang w:val="de-DE"/>
        </w:rPr>
      </w:pPr>
      <w:r w:rsidRPr="00E73313">
        <w:rPr>
          <w:rFonts w:eastAsia="Calibri" w:cs="Tahoma"/>
          <w:szCs w:val="18"/>
          <w:lang w:val="de-DE"/>
        </w:rPr>
        <w:t>Wenn Windows Server 2012 Standard oder Datacenter als Webserver verwendet wird, benötigen Sie keine CALs für den Zugriff auf die Software</w:t>
      </w:r>
      <w:r w:rsidR="006257A7">
        <w:rPr>
          <w:rFonts w:eastAsia="Calibri" w:cs="Tahoma"/>
          <w:szCs w:val="18"/>
          <w:lang w:val="de-DE"/>
        </w:rPr>
        <w:t xml:space="preserve">. </w:t>
      </w:r>
      <w:r w:rsidRPr="00E73313">
        <w:rPr>
          <w:rFonts w:eastAsia="Calibri" w:cs="Tahoma"/>
          <w:szCs w:val="18"/>
          <w:lang w:val="de-DE"/>
        </w:rPr>
        <w:t xml:space="preserve">Eine </w:t>
      </w:r>
      <w:r w:rsidRPr="00E73313">
        <w:rPr>
          <w:lang w:val="de-DE"/>
        </w:rPr>
        <w:t>„Web Workload“ ist eine Workload,</w:t>
      </w:r>
      <w:r w:rsidRPr="00E73313">
        <w:rPr>
          <w:bCs/>
          <w:lang w:val="de-DE"/>
        </w:rPr>
        <w:t xml:space="preserve"> </w:t>
      </w:r>
      <w:r w:rsidRPr="00E73313">
        <w:rPr>
          <w:lang w:val="de-DE"/>
        </w:rPr>
        <w:t>bei der die Software als Front-End-Webserver zur Entwicklung und Bereitstellung von per Internet zugänglichen Webpages, Websites, Webanwendungen und Webdiensten eingesetzt wird und POP3-Mail-Serving und Zugriff auf Inhalte, Informationen und Anwendungen, die von der Software bereitgestellt werden,</w:t>
      </w:r>
      <w:r w:rsidRPr="00E73313">
        <w:rPr>
          <w:u w:val="single"/>
          <w:lang w:val="de-DE"/>
        </w:rPr>
        <w:t xml:space="preserve"> </w:t>
      </w:r>
      <w:r w:rsidRPr="00E73313">
        <w:rPr>
          <w:lang w:val="de-DE"/>
        </w:rPr>
        <w:t>nicht auf Ihre Mitarbeiter beschränkt ist</w:t>
      </w:r>
      <w:r w:rsidR="006257A7">
        <w:rPr>
          <w:lang w:val="de-DE"/>
        </w:rPr>
        <w:t xml:space="preserve">. </w:t>
      </w:r>
      <w:r w:rsidRPr="00E73313">
        <w:rPr>
          <w:rFonts w:eastAsia="Calibri" w:cs="Tahoma"/>
          <w:szCs w:val="18"/>
          <w:lang w:val="de-DE"/>
        </w:rPr>
        <w:t>Zusätzliche Informationen finden Sie in den Produktbenutzungsrechten</w:t>
      </w:r>
      <w:r w:rsidR="006257A7">
        <w:rPr>
          <w:rFonts w:eastAsia="Calibri" w:cs="Tahoma"/>
          <w:szCs w:val="18"/>
          <w:lang w:val="de-DE"/>
        </w:rPr>
        <w:t xml:space="preserve">. </w:t>
      </w:r>
    </w:p>
    <w:bookmarkEnd w:id="582"/>
    <w:p w:rsidR="00C7319A" w:rsidRPr="009123CB" w:rsidRDefault="00C7319A" w:rsidP="00C7319A">
      <w:pPr>
        <w:ind w:left="540"/>
        <w:rPr>
          <w:lang w:val="de-DE"/>
        </w:rPr>
      </w:pPr>
    </w:p>
    <w:sectPr w:rsidR="00C7319A" w:rsidRPr="009123CB" w:rsidSect="00B40674">
      <w:footerReference w:type="default" r:id="rId49"/>
      <w:headerReference w:type="first" r:id="rId50"/>
      <w:footerReference w:type="first" r:id="rId51"/>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744B" w:rsidRDefault="005B744B">
      <w:r>
        <w:separator/>
      </w:r>
    </w:p>
  </w:endnote>
  <w:endnote w:type="continuationSeparator" w:id="0">
    <w:p w:rsidR="005B744B" w:rsidRDefault="005B744B">
      <w:r>
        <w:continuationSeparator/>
      </w:r>
    </w:p>
  </w:endnote>
  <w:endnote w:type="continuationNotice" w:id="1">
    <w:p w:rsidR="005B744B" w:rsidRDefault="005B74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notTrueType/>
    <w:pitch w:val="variable"/>
    <w:sig w:usb0="00000003" w:usb1="00000000" w:usb2="00000000" w:usb3="00000000" w:csb0="00000001" w:csb1="00000000"/>
  </w:font>
  <w:font w:name="Segoe">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9D6" w:rsidRPr="000C5B59" w:rsidRDefault="00E869D6">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sidRPr="000C5B59">
      <w:rPr>
        <w:rFonts w:ascii="Trebuchet MS" w:hAnsi="Trebuchet MS"/>
        <w:color w:val="808080"/>
        <w:sz w:val="14"/>
        <w:lang w:val="de-DE"/>
      </w:rPr>
      <w:t>© 2009 Microsoft Corporation</w:t>
    </w:r>
    <w:r>
      <w:rPr>
        <w:rFonts w:ascii="Trebuchet MS" w:hAnsi="Trebuchet MS"/>
        <w:color w:val="808080"/>
        <w:sz w:val="14"/>
        <w:lang w:val="de-DE"/>
      </w:rPr>
      <w:t xml:space="preserve">. </w:t>
    </w:r>
    <w:r w:rsidRPr="000C5B59">
      <w:rPr>
        <w:rFonts w:ascii="Trebuchet MS" w:hAnsi="Trebuchet MS"/>
        <w:color w:val="808080"/>
        <w:sz w:val="14"/>
        <w:lang w:val="de-DE"/>
      </w:rPr>
      <w:t>Alle Rechte vorbehalten</w:t>
    </w:r>
    <w:r>
      <w:rPr>
        <w:rFonts w:ascii="Trebuchet MS" w:hAnsi="Trebuchet MS"/>
        <w:color w:val="808080"/>
        <w:sz w:val="14"/>
        <w:lang w:val="de-DE"/>
      </w:rPr>
      <w:t xml:space="preserve">. </w:t>
    </w:r>
    <w:r w:rsidRPr="000C5B59">
      <w:rPr>
        <w:rFonts w:ascii="Trebuchet MS" w:hAnsi="Trebuchet MS"/>
        <w:color w:val="808080"/>
        <w:sz w:val="14"/>
        <w:lang w:val="de-DE"/>
      </w:rPr>
      <w:t xml:space="preserve">Seite </w:t>
    </w:r>
    <w:r>
      <w:fldChar w:fldCharType="begin"/>
    </w:r>
    <w:r w:rsidRPr="000C5B59">
      <w:rPr>
        <w:lang w:val="de-DE"/>
      </w:rPr>
      <w:instrText xml:space="preserve"> PAGE </w:instrText>
    </w:r>
    <w:r>
      <w:fldChar w:fldCharType="separate"/>
    </w:r>
    <w:r w:rsidRPr="000C5B59">
      <w:rPr>
        <w:noProof/>
        <w:lang w:val="de-DE"/>
      </w:rPr>
      <w:t>2</w:t>
    </w:r>
    <w:r>
      <w:fldChar w:fldCharType="end"/>
    </w:r>
    <w:r w:rsidRPr="000C5B59">
      <w:rPr>
        <w:rFonts w:ascii="Trebuchet MS" w:hAnsi="Trebuchet MS"/>
        <w:color w:val="808080"/>
        <w:sz w:val="14"/>
        <w:lang w:val="de-DE"/>
      </w:rPr>
      <w:t xml:space="preserve"> von </w:t>
    </w:r>
    <w:r>
      <w:fldChar w:fldCharType="begin"/>
    </w:r>
    <w:r w:rsidRPr="000C5B59">
      <w:rPr>
        <w:lang w:val="de-DE"/>
      </w:rPr>
      <w:instrText xml:space="preserve"> NUMPAGES </w:instrText>
    </w:r>
    <w:r>
      <w:fldChar w:fldCharType="separate"/>
    </w:r>
    <w:r w:rsidR="00DC4771">
      <w:rPr>
        <w:noProof/>
        <w:lang w:val="de-DE"/>
      </w:rPr>
      <w:t>211</w:t>
    </w:r>
    <w:r>
      <w:fldChar w:fldCharType="end"/>
    </w:r>
    <w:r w:rsidRPr="000C5B59">
      <w:rPr>
        <w:lang w:val="de-DE"/>
      </w:rPr>
      <w:t xml:space="preserve"> Veröffentlicht im April 2009</w:t>
    </w:r>
  </w:p>
  <w:p w:rsidR="00E869D6" w:rsidRPr="000C5B59" w:rsidRDefault="00E869D6">
    <w:pPr>
      <w:pStyle w:val="Footer"/>
      <w:pBdr>
        <w:top w:val="single" w:sz="6" w:space="1" w:color="808080"/>
      </w:pBdr>
      <w:tabs>
        <w:tab w:val="clear" w:pos="5155"/>
        <w:tab w:val="clear" w:pos="10325"/>
        <w:tab w:val="right" w:pos="10620"/>
      </w:tabs>
      <w:ind w:left="-540"/>
      <w:rPr>
        <w:rFonts w:ascii="Verdana" w:hAnsi="Verdana"/>
        <w:color w:val="808080"/>
        <w:sz w:val="16"/>
        <w:lang w:val="de-DE"/>
      </w:rPr>
    </w:pPr>
    <w:r w:rsidRPr="000C5B59">
      <w:rPr>
        <w:rFonts w:ascii="Trebuchet MS" w:hAnsi="Trebuchet MS"/>
        <w:color w:val="808080"/>
        <w:sz w:val="14"/>
        <w:lang w:val="de-DE"/>
      </w:rPr>
      <w:t xml:space="preserve"> Microsoft ist eine eingetragene Marke von Microsoft Corporation in den Vereinigten Staaten und/oder in anderen Ländern</w:t>
    </w:r>
    <w:r>
      <w:rPr>
        <w:rFonts w:ascii="Trebuchet MS" w:hAnsi="Trebuchet MS"/>
        <w:color w:val="808080"/>
        <w:sz w:val="14"/>
        <w:lang w:val="de-DE"/>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9D6" w:rsidRDefault="00E869D6"/>
  <w:p w:rsidR="00E869D6" w:rsidRPr="000C5B59" w:rsidRDefault="00E869D6" w:rsidP="00EB2C55">
    <w:pPr>
      <w:pStyle w:val="Footer"/>
      <w:pBdr>
        <w:top w:val="single" w:sz="6" w:space="1" w:color="808080"/>
      </w:pBdr>
      <w:tabs>
        <w:tab w:val="clear" w:pos="5155"/>
        <w:tab w:val="clear" w:pos="10325"/>
        <w:tab w:val="left" w:pos="6210"/>
        <w:tab w:val="right" w:pos="9360"/>
      </w:tabs>
      <w:rPr>
        <w:rFonts w:ascii="Trebuchet MS" w:hAnsi="Trebuchet MS"/>
        <w:color w:val="808080"/>
        <w:sz w:val="14"/>
        <w:lang w:val="de-DE"/>
      </w:rPr>
    </w:pPr>
    <w:r w:rsidRPr="000C5B59">
      <w:rPr>
        <w:rFonts w:ascii="Trebuchet MS" w:hAnsi="Trebuchet MS"/>
        <w:color w:val="808080"/>
        <w:sz w:val="14"/>
        <w:lang w:val="de-DE"/>
      </w:rPr>
      <w:t>© 2013 Microsoft Corporation</w:t>
    </w:r>
    <w:r>
      <w:rPr>
        <w:rFonts w:ascii="Trebuchet MS" w:hAnsi="Trebuchet MS"/>
        <w:color w:val="808080"/>
        <w:sz w:val="14"/>
        <w:lang w:val="de-DE"/>
      </w:rPr>
      <w:t xml:space="preserve">. </w:t>
    </w:r>
    <w:r w:rsidRPr="000C5B59">
      <w:rPr>
        <w:rFonts w:ascii="Trebuchet MS" w:hAnsi="Trebuchet MS"/>
        <w:color w:val="808080"/>
        <w:sz w:val="14"/>
        <w:lang w:val="de-DE"/>
      </w:rPr>
      <w:t>Alle Rechte vorbehalten</w:t>
    </w:r>
    <w:r>
      <w:rPr>
        <w:rFonts w:ascii="Trebuchet MS" w:hAnsi="Trebuchet MS"/>
        <w:color w:val="808080"/>
        <w:sz w:val="14"/>
        <w:lang w:val="de-DE"/>
      </w:rPr>
      <w:t xml:space="preserve">. </w:t>
    </w:r>
    <w:r>
      <w:rPr>
        <w:rFonts w:ascii="Trebuchet MS" w:hAnsi="Trebuchet MS"/>
        <w:color w:val="808080"/>
        <w:sz w:val="14"/>
        <w:lang w:val="de-DE"/>
      </w:rPr>
      <w:tab/>
    </w:r>
    <w:r w:rsidRPr="000C5B59">
      <w:rPr>
        <w:rFonts w:ascii="Trebuchet MS" w:hAnsi="Trebuchet MS"/>
        <w:color w:val="808080"/>
        <w:sz w:val="14"/>
        <w:lang w:val="de-DE"/>
      </w:rPr>
      <w:t xml:space="preserve">Seite </w:t>
    </w:r>
    <w:r w:rsidRPr="00EB2C55">
      <w:rPr>
        <w:noProof/>
        <w:sz w:val="20"/>
        <w:lang w:val="de-DE"/>
      </w:rPr>
      <w:fldChar w:fldCharType="begin"/>
    </w:r>
    <w:r w:rsidRPr="00EB2C55">
      <w:rPr>
        <w:noProof/>
        <w:sz w:val="20"/>
        <w:lang w:val="de-DE"/>
      </w:rPr>
      <w:instrText xml:space="preserve"> PAGE </w:instrText>
    </w:r>
    <w:r w:rsidRPr="00EB2C55">
      <w:rPr>
        <w:noProof/>
        <w:sz w:val="20"/>
        <w:lang w:val="de-DE"/>
      </w:rPr>
      <w:fldChar w:fldCharType="separate"/>
    </w:r>
    <w:r w:rsidR="00CA2DDA">
      <w:rPr>
        <w:noProof/>
        <w:sz w:val="20"/>
        <w:lang w:val="de-DE"/>
      </w:rPr>
      <w:t>1</w:t>
    </w:r>
    <w:r w:rsidRPr="00EB2C55">
      <w:rPr>
        <w:noProof/>
        <w:sz w:val="20"/>
        <w:lang w:val="de-DE"/>
      </w:rPr>
      <w:fldChar w:fldCharType="end"/>
    </w:r>
    <w:r w:rsidRPr="000C5B59">
      <w:rPr>
        <w:rFonts w:ascii="Trebuchet MS" w:hAnsi="Trebuchet MS"/>
        <w:color w:val="808080"/>
        <w:sz w:val="14"/>
        <w:lang w:val="de-DE"/>
      </w:rPr>
      <w:t xml:space="preserve"> von </w:t>
    </w:r>
    <w:r w:rsidRPr="00EB2C55">
      <w:rPr>
        <w:noProof/>
        <w:sz w:val="20"/>
        <w:lang w:val="de-DE"/>
      </w:rPr>
      <w:fldChar w:fldCharType="begin"/>
    </w:r>
    <w:r w:rsidRPr="00EB2C55">
      <w:rPr>
        <w:noProof/>
        <w:sz w:val="20"/>
        <w:lang w:val="de-DE"/>
      </w:rPr>
      <w:instrText xml:space="preserve"> NUMPAGES </w:instrText>
    </w:r>
    <w:r w:rsidRPr="00EB2C55">
      <w:rPr>
        <w:noProof/>
        <w:sz w:val="20"/>
        <w:lang w:val="de-DE"/>
      </w:rPr>
      <w:fldChar w:fldCharType="separate"/>
    </w:r>
    <w:r w:rsidR="00CA2DDA">
      <w:rPr>
        <w:noProof/>
        <w:sz w:val="20"/>
        <w:lang w:val="de-DE"/>
      </w:rPr>
      <w:t>3</w:t>
    </w:r>
    <w:r w:rsidRPr="00EB2C55">
      <w:rPr>
        <w:noProof/>
        <w:sz w:val="20"/>
        <w:lang w:val="de-DE"/>
      </w:rPr>
      <w:fldChar w:fldCharType="end"/>
    </w:r>
    <w:r w:rsidRPr="00EB2C55">
      <w:rPr>
        <w:rFonts w:ascii="Trebuchet MS" w:hAnsi="Trebuchet MS"/>
        <w:color w:val="808080"/>
        <w:sz w:val="14"/>
        <w:lang w:val="de-DE"/>
      </w:rPr>
      <w:t xml:space="preserve"> Veröffentlicht: </w:t>
    </w:r>
    <w:r>
      <w:rPr>
        <w:rFonts w:ascii="Trebuchet MS" w:hAnsi="Trebuchet MS"/>
        <w:color w:val="808080"/>
        <w:sz w:val="14"/>
        <w:lang w:val="de-DE"/>
      </w:rPr>
      <w:t>S</w:t>
    </w:r>
    <w:r w:rsidRPr="00EB2C55">
      <w:rPr>
        <w:rFonts w:ascii="Trebuchet MS" w:hAnsi="Trebuchet MS"/>
        <w:color w:val="808080"/>
        <w:sz w:val="14"/>
        <w:lang w:val="de-DE"/>
      </w:rPr>
      <w:t>eptember 2013</w:t>
    </w:r>
  </w:p>
  <w:p w:rsidR="00E869D6" w:rsidRPr="00EB2C55" w:rsidRDefault="00E869D6" w:rsidP="00EB2C55">
    <w:pPr>
      <w:pStyle w:val="Footer"/>
      <w:pBdr>
        <w:top w:val="single" w:sz="6" w:space="1" w:color="808080"/>
      </w:pBdr>
      <w:tabs>
        <w:tab w:val="clear" w:pos="5155"/>
        <w:tab w:val="clear" w:pos="10325"/>
        <w:tab w:val="left" w:pos="6390"/>
        <w:tab w:val="right" w:pos="9540"/>
      </w:tabs>
      <w:rPr>
        <w:rFonts w:ascii="Trebuchet MS" w:hAnsi="Trebuchet MS"/>
        <w:color w:val="808080"/>
        <w:sz w:val="14"/>
        <w:lang w:val="de-DE"/>
      </w:rPr>
    </w:pPr>
    <w:r w:rsidRPr="000C5B59">
      <w:rPr>
        <w:rFonts w:ascii="Trebuchet MS" w:hAnsi="Trebuchet MS"/>
        <w:color w:val="808080"/>
        <w:sz w:val="14"/>
        <w:lang w:val="de-DE"/>
      </w:rPr>
      <w:t>Microsoft ist eine eingetragene Marke von Microsoft Corporation in den Vereinigten Staaten und/oder in anderen Ländern</w:t>
    </w:r>
    <w:r>
      <w:rPr>
        <w:rFonts w:ascii="Trebuchet MS" w:hAnsi="Trebuchet MS"/>
        <w:color w:val="808080"/>
        <w:sz w:val="14"/>
        <w:lang w:val="de-DE"/>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9D6" w:rsidRDefault="00E869D6" w:rsidP="00EB2C55"/>
  <w:p w:rsidR="00E869D6" w:rsidRPr="000C5B59" w:rsidRDefault="00E869D6" w:rsidP="001748D9">
    <w:pPr>
      <w:pStyle w:val="Footer"/>
      <w:pBdr>
        <w:top w:val="single" w:sz="6" w:space="1" w:color="808080"/>
      </w:pBdr>
      <w:tabs>
        <w:tab w:val="clear" w:pos="5155"/>
        <w:tab w:val="clear" w:pos="10325"/>
        <w:tab w:val="left" w:pos="6084"/>
        <w:tab w:val="right" w:pos="9360"/>
      </w:tabs>
      <w:rPr>
        <w:rFonts w:ascii="Trebuchet MS" w:hAnsi="Trebuchet MS"/>
        <w:color w:val="808080"/>
        <w:sz w:val="14"/>
        <w:lang w:val="de-DE"/>
      </w:rPr>
    </w:pPr>
    <w:r w:rsidRPr="000C5B59">
      <w:rPr>
        <w:rFonts w:ascii="Trebuchet MS" w:hAnsi="Trebuchet MS"/>
        <w:color w:val="808080"/>
        <w:sz w:val="14"/>
        <w:lang w:val="de-DE"/>
      </w:rPr>
      <w:t>© 2013 Microsoft Corporation</w:t>
    </w:r>
    <w:r>
      <w:rPr>
        <w:rFonts w:ascii="Trebuchet MS" w:hAnsi="Trebuchet MS"/>
        <w:color w:val="808080"/>
        <w:sz w:val="14"/>
        <w:lang w:val="de-DE"/>
      </w:rPr>
      <w:t xml:space="preserve">. </w:t>
    </w:r>
    <w:r w:rsidRPr="000C5B59">
      <w:rPr>
        <w:rFonts w:ascii="Trebuchet MS" w:hAnsi="Trebuchet MS"/>
        <w:color w:val="808080"/>
        <w:sz w:val="14"/>
        <w:lang w:val="de-DE"/>
      </w:rPr>
      <w:t>Alle Rechte vorbehalten</w:t>
    </w:r>
    <w:r>
      <w:rPr>
        <w:rFonts w:ascii="Trebuchet MS" w:hAnsi="Trebuchet MS"/>
        <w:color w:val="808080"/>
        <w:sz w:val="14"/>
        <w:lang w:val="de-DE"/>
      </w:rPr>
      <w:t xml:space="preserve">. </w:t>
    </w:r>
    <w:r>
      <w:rPr>
        <w:rFonts w:ascii="Trebuchet MS" w:hAnsi="Trebuchet MS"/>
        <w:color w:val="808080"/>
        <w:sz w:val="14"/>
        <w:lang w:val="de-DE"/>
      </w:rPr>
      <w:tab/>
    </w:r>
    <w:r w:rsidRPr="000C5B59">
      <w:rPr>
        <w:rFonts w:ascii="Trebuchet MS" w:hAnsi="Trebuchet MS"/>
        <w:color w:val="808080"/>
        <w:sz w:val="14"/>
        <w:lang w:val="de-DE"/>
      </w:rPr>
      <w:t xml:space="preserve">Seite </w:t>
    </w:r>
    <w:r w:rsidRPr="00EB2C55">
      <w:rPr>
        <w:noProof/>
        <w:sz w:val="20"/>
        <w:lang w:val="de-DE"/>
      </w:rPr>
      <w:fldChar w:fldCharType="begin"/>
    </w:r>
    <w:r w:rsidRPr="00EB2C55">
      <w:rPr>
        <w:noProof/>
        <w:sz w:val="20"/>
        <w:lang w:val="de-DE"/>
      </w:rPr>
      <w:instrText xml:space="preserve"> PAGE </w:instrText>
    </w:r>
    <w:r w:rsidRPr="00EB2C55">
      <w:rPr>
        <w:noProof/>
        <w:sz w:val="20"/>
        <w:lang w:val="de-DE"/>
      </w:rPr>
      <w:fldChar w:fldCharType="separate"/>
    </w:r>
    <w:r w:rsidR="00CA2DDA">
      <w:rPr>
        <w:noProof/>
        <w:sz w:val="20"/>
        <w:lang w:val="de-DE"/>
      </w:rPr>
      <w:t>3</w:t>
    </w:r>
    <w:r w:rsidRPr="00EB2C55">
      <w:rPr>
        <w:noProof/>
        <w:sz w:val="20"/>
        <w:lang w:val="de-DE"/>
      </w:rPr>
      <w:fldChar w:fldCharType="end"/>
    </w:r>
    <w:r w:rsidRPr="000C5B59">
      <w:rPr>
        <w:rFonts w:ascii="Trebuchet MS" w:hAnsi="Trebuchet MS"/>
        <w:color w:val="808080"/>
        <w:sz w:val="14"/>
        <w:lang w:val="de-DE"/>
      </w:rPr>
      <w:t xml:space="preserve"> von </w:t>
    </w:r>
    <w:r w:rsidRPr="00EB2C55">
      <w:rPr>
        <w:noProof/>
        <w:sz w:val="20"/>
        <w:lang w:val="de-DE"/>
      </w:rPr>
      <w:fldChar w:fldCharType="begin"/>
    </w:r>
    <w:r w:rsidRPr="00EB2C55">
      <w:rPr>
        <w:noProof/>
        <w:sz w:val="20"/>
        <w:lang w:val="de-DE"/>
      </w:rPr>
      <w:instrText xml:space="preserve"> NUMPAGES </w:instrText>
    </w:r>
    <w:r w:rsidRPr="00EB2C55">
      <w:rPr>
        <w:noProof/>
        <w:sz w:val="20"/>
        <w:lang w:val="de-DE"/>
      </w:rPr>
      <w:fldChar w:fldCharType="separate"/>
    </w:r>
    <w:r w:rsidR="00CA2DDA">
      <w:rPr>
        <w:noProof/>
        <w:sz w:val="20"/>
        <w:lang w:val="de-DE"/>
      </w:rPr>
      <w:t>3</w:t>
    </w:r>
    <w:r w:rsidRPr="00EB2C55">
      <w:rPr>
        <w:noProof/>
        <w:sz w:val="20"/>
        <w:lang w:val="de-DE"/>
      </w:rPr>
      <w:fldChar w:fldCharType="end"/>
    </w:r>
    <w:r w:rsidRPr="00EB2C55">
      <w:rPr>
        <w:rFonts w:ascii="Trebuchet MS" w:hAnsi="Trebuchet MS"/>
        <w:color w:val="808080"/>
        <w:sz w:val="14"/>
        <w:lang w:val="de-DE"/>
      </w:rPr>
      <w:t xml:space="preserve"> Veröffentlicht: </w:t>
    </w:r>
    <w:r>
      <w:rPr>
        <w:rFonts w:ascii="Trebuchet MS" w:hAnsi="Trebuchet MS"/>
        <w:color w:val="808080"/>
        <w:sz w:val="14"/>
        <w:lang w:val="de-DE"/>
      </w:rPr>
      <w:t>S</w:t>
    </w:r>
    <w:r w:rsidRPr="00EB2C55">
      <w:rPr>
        <w:rFonts w:ascii="Trebuchet MS" w:hAnsi="Trebuchet MS"/>
        <w:color w:val="808080"/>
        <w:sz w:val="14"/>
        <w:lang w:val="de-DE"/>
      </w:rPr>
      <w:t>eptember 2013</w:t>
    </w:r>
  </w:p>
  <w:p w:rsidR="00E869D6" w:rsidRPr="00EB2C55" w:rsidRDefault="00E869D6" w:rsidP="00EB2C55">
    <w:pPr>
      <w:pStyle w:val="Footer"/>
      <w:pBdr>
        <w:top w:val="single" w:sz="6" w:space="1" w:color="808080"/>
      </w:pBdr>
      <w:tabs>
        <w:tab w:val="clear" w:pos="5155"/>
        <w:tab w:val="clear" w:pos="10325"/>
        <w:tab w:val="left" w:pos="6390"/>
        <w:tab w:val="right" w:pos="9540"/>
      </w:tabs>
      <w:rPr>
        <w:rFonts w:ascii="Trebuchet MS" w:hAnsi="Trebuchet MS"/>
        <w:color w:val="808080"/>
        <w:sz w:val="14"/>
        <w:lang w:val="de-DE"/>
      </w:rPr>
    </w:pPr>
    <w:r w:rsidRPr="000C5B59">
      <w:rPr>
        <w:rFonts w:ascii="Trebuchet MS" w:hAnsi="Trebuchet MS"/>
        <w:color w:val="808080"/>
        <w:sz w:val="14"/>
        <w:lang w:val="de-DE"/>
      </w:rPr>
      <w:t>Microsoft ist eine eingetragene Marke von Microsoft Corporation in den Vereinigten Staaten und/oder in anderen Ländern</w:t>
    </w:r>
    <w:r>
      <w:rPr>
        <w:rFonts w:ascii="Trebuchet MS" w:hAnsi="Trebuchet MS"/>
        <w:color w:val="808080"/>
        <w:sz w:val="14"/>
        <w:lang w:val="de-DE"/>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9D6" w:rsidRDefault="00E869D6"/>
  <w:p w:rsidR="00E869D6" w:rsidRPr="000C5B59" w:rsidRDefault="00E869D6">
    <w:pPr>
      <w:pStyle w:val="Footer"/>
      <w:pBdr>
        <w:top w:val="single" w:sz="6" w:space="1" w:color="808080"/>
      </w:pBdr>
      <w:tabs>
        <w:tab w:val="clear" w:pos="5155"/>
        <w:tab w:val="clear" w:pos="10325"/>
        <w:tab w:val="right" w:pos="10620"/>
      </w:tabs>
      <w:rPr>
        <w:rFonts w:ascii="Trebuchet MS" w:hAnsi="Trebuchet MS"/>
        <w:color w:val="808080"/>
        <w:sz w:val="14"/>
        <w:lang w:val="de-DE"/>
      </w:rPr>
    </w:pPr>
    <w:r w:rsidRPr="000C5B59">
      <w:rPr>
        <w:rFonts w:ascii="Trebuchet MS" w:hAnsi="Trebuchet MS"/>
        <w:color w:val="808080"/>
        <w:sz w:val="14"/>
        <w:lang w:val="de-DE"/>
      </w:rPr>
      <w:t>© 2009 Microsoft Corporation</w:t>
    </w:r>
    <w:r>
      <w:rPr>
        <w:rFonts w:ascii="Trebuchet MS" w:hAnsi="Trebuchet MS"/>
        <w:color w:val="808080"/>
        <w:sz w:val="14"/>
        <w:lang w:val="de-DE"/>
      </w:rPr>
      <w:t xml:space="preserve">. </w:t>
    </w:r>
    <w:r w:rsidRPr="000C5B59">
      <w:rPr>
        <w:rFonts w:ascii="Trebuchet MS" w:hAnsi="Trebuchet MS"/>
        <w:color w:val="808080"/>
        <w:sz w:val="14"/>
        <w:lang w:val="de-DE"/>
      </w:rPr>
      <w:t>Alle Rechte vorbehalten</w:t>
    </w:r>
    <w:r>
      <w:rPr>
        <w:rFonts w:ascii="Trebuchet MS" w:hAnsi="Trebuchet MS"/>
        <w:color w:val="808080"/>
        <w:sz w:val="14"/>
        <w:lang w:val="de-DE"/>
      </w:rPr>
      <w:t xml:space="preserve">. </w:t>
    </w:r>
    <w:r w:rsidRPr="000C5B59">
      <w:rPr>
        <w:rFonts w:ascii="Trebuchet MS" w:hAnsi="Trebuchet MS"/>
        <w:color w:val="808080"/>
        <w:sz w:val="14"/>
        <w:lang w:val="de-DE"/>
      </w:rPr>
      <w:t xml:space="preserve">Seite </w:t>
    </w:r>
    <w:r>
      <w:fldChar w:fldCharType="begin"/>
    </w:r>
    <w:r w:rsidRPr="000C5B59">
      <w:rPr>
        <w:lang w:val="de-DE"/>
      </w:rPr>
      <w:instrText xml:space="preserve"> PAGE </w:instrText>
    </w:r>
    <w:r>
      <w:fldChar w:fldCharType="separate"/>
    </w:r>
    <w:r w:rsidRPr="000C5B59">
      <w:rPr>
        <w:noProof/>
        <w:lang w:val="de-DE"/>
      </w:rPr>
      <w:t>1</w:t>
    </w:r>
    <w:r>
      <w:fldChar w:fldCharType="end"/>
    </w:r>
    <w:r w:rsidRPr="000C5B59">
      <w:rPr>
        <w:rFonts w:ascii="Trebuchet MS" w:hAnsi="Trebuchet MS"/>
        <w:color w:val="808080"/>
        <w:sz w:val="14"/>
        <w:lang w:val="de-DE"/>
      </w:rPr>
      <w:t xml:space="preserve"> von </w:t>
    </w:r>
    <w:r>
      <w:fldChar w:fldCharType="begin"/>
    </w:r>
    <w:r w:rsidRPr="000C5B59">
      <w:rPr>
        <w:lang w:val="de-DE"/>
      </w:rPr>
      <w:instrText xml:space="preserve"> NUMPAGES </w:instrText>
    </w:r>
    <w:r>
      <w:fldChar w:fldCharType="separate"/>
    </w:r>
    <w:r w:rsidR="00DC4771">
      <w:rPr>
        <w:noProof/>
        <w:lang w:val="de-DE"/>
      </w:rPr>
      <w:t>211</w:t>
    </w:r>
    <w:r>
      <w:fldChar w:fldCharType="end"/>
    </w:r>
    <w:r w:rsidRPr="000C5B59">
      <w:rPr>
        <w:lang w:val="de-DE"/>
      </w:rPr>
      <w:t xml:space="preserve"> Veröffentlicht im Mai 2009</w:t>
    </w:r>
  </w:p>
  <w:p w:rsidR="00E869D6" w:rsidRPr="000C5B59" w:rsidRDefault="00E869D6">
    <w:pPr>
      <w:pStyle w:val="Footer"/>
      <w:rPr>
        <w:rFonts w:ascii="Verdana" w:hAnsi="Verdana"/>
        <w:color w:val="808080"/>
        <w:sz w:val="16"/>
        <w:lang w:val="de-DE"/>
      </w:rPr>
    </w:pPr>
    <w:r w:rsidRPr="000C5B59">
      <w:rPr>
        <w:rFonts w:ascii="Trebuchet MS" w:hAnsi="Trebuchet MS"/>
        <w:color w:val="808080"/>
        <w:sz w:val="14"/>
        <w:lang w:val="de-DE"/>
      </w:rPr>
      <w:t>Microsoft ist eine eingetragene Marke von Microsoft Corporation in den Vereinigten Staaten und/oder in anderen Ländern</w:t>
    </w:r>
    <w:r>
      <w:rPr>
        <w:rFonts w:ascii="Trebuchet MS" w:hAnsi="Trebuchet MS"/>
        <w:color w:val="808080"/>
        <w:sz w:val="14"/>
        <w:lang w:val="de-DE"/>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744B" w:rsidRDefault="005B744B">
      <w:r>
        <w:separator/>
      </w:r>
    </w:p>
  </w:footnote>
  <w:footnote w:type="continuationSeparator" w:id="0">
    <w:p w:rsidR="005B744B" w:rsidRDefault="005B744B">
      <w:r>
        <w:continuationSeparator/>
      </w:r>
    </w:p>
  </w:footnote>
  <w:footnote w:type="continuationNotice" w:id="1">
    <w:p w:rsidR="005B744B" w:rsidRDefault="005B744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9D6" w:rsidRDefault="00E869D6">
    <w:pPr>
      <w:pStyle w:val="Header"/>
      <w:tabs>
        <w:tab w:val="clear" w:pos="3240"/>
        <w:tab w:val="left" w:pos="2970"/>
      </w:tabs>
      <w:ind w:firstLine="2160"/>
    </w:pPr>
    <w:r>
      <w:rPr>
        <w:noProof/>
      </w:rPr>
      <mc:AlternateContent>
        <mc:Choice Requires="wps">
          <w:drawing>
            <wp:anchor distT="0" distB="0" distL="114300" distR="114300" simplePos="0" relativeHeight="251663872" behindDoc="0" locked="0" layoutInCell="0" allowOverlap="1">
              <wp:simplePos x="0" y="0"/>
              <wp:positionH relativeFrom="column">
                <wp:posOffset>-315595</wp:posOffset>
              </wp:positionH>
              <wp:positionV relativeFrom="paragraph">
                <wp:posOffset>-144780</wp:posOffset>
              </wp:positionV>
              <wp:extent cx="2228850" cy="574675"/>
              <wp:effectExtent l="0" t="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69D6" w:rsidRDefault="00E869D6" w:rsidP="00C25E60">
                          <w:r>
                            <w:rPr>
                              <w:rFonts w:ascii="Verdana" w:hAnsi="Verdana"/>
                              <w:noProof/>
                              <w:sz w:val="20"/>
                              <w:szCs w:val="20"/>
                            </w:rPr>
                            <w:drawing>
                              <wp:inline distT="0" distB="0" distL="0" distR="0" wp14:anchorId="198E2707" wp14:editId="7D7BE6AB">
                                <wp:extent cx="1911096" cy="512064"/>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85pt;margin-top:-11.4pt;width:175.5pt;height:4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F/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d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" o:allowincell="f" filled="f" stroked="f">
              <v:textbox>
                <w:txbxContent>
                  <w:p w:rsidR="00E869D6" w:rsidRDefault="00E869D6" w:rsidP="00C25E60">
                    <w:r>
                      <w:rPr>
                        <w:rFonts w:ascii="Verdana" w:hAnsi="Verdana"/>
                        <w:noProof/>
                        <w:sz w:val="20"/>
                        <w:szCs w:val="20"/>
                      </w:rPr>
                      <w:drawing>
                        <wp:inline distT="0" distB="0" distL="0" distR="0" wp14:anchorId="198E2707" wp14:editId="7D7BE6AB">
                          <wp:extent cx="1911096" cy="512064"/>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r>
      <w:t xml:space="preserve"> </w:t>
    </w:r>
  </w:p>
  <w:p w:rsidR="00E869D6" w:rsidRDefault="00E869D6">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60504C"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NiN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O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8rzY&#10;j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9D6" w:rsidRDefault="00E869D6" w:rsidP="008D4EE5">
    <w:pPr>
      <w:ind w:rightChars="185" w:right="333"/>
    </w:pPr>
  </w:p>
  <w:p w:rsidR="00E869D6" w:rsidRDefault="00E869D6" w:rsidP="008D4EE5">
    <w:pPr>
      <w:ind w:rightChars="185" w:right="333"/>
    </w:pPr>
  </w:p>
  <w:p w:rsidR="00E869D6" w:rsidRDefault="00E869D6" w:rsidP="008D4EE5">
    <w:pPr>
      <w:ind w:rightChars="185" w:right="333"/>
    </w:pPr>
    <w:r>
      <w:rPr>
        <w:noProof/>
      </w:rPr>
      <w:drawing>
        <wp:anchor distT="0" distB="0" distL="114300" distR="114300" simplePos="0" relativeHeight="251661824" behindDoc="0" locked="0" layoutInCell="1" allowOverlap="1" wp14:anchorId="2AB5897F" wp14:editId="1168A987">
          <wp:simplePos x="0" y="0"/>
          <wp:positionH relativeFrom="margin">
            <wp:align>center</wp:align>
          </wp:positionH>
          <wp:positionV relativeFrom="paragraph">
            <wp:posOffset>15240</wp:posOffset>
          </wp:positionV>
          <wp:extent cx="5734050" cy="561975"/>
          <wp:effectExtent l="0" t="0" r="0" b="9525"/>
          <wp:wrapNone/>
          <wp:docPr id="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E869D6" w:rsidRDefault="00E869D6">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9D6" w:rsidRDefault="00E869D6" w:rsidP="008D4EE5">
    <w:pPr>
      <w:ind w:rightChars="185" w:right="333"/>
    </w:pPr>
  </w:p>
  <w:p w:rsidR="00E869D6" w:rsidRDefault="00E869D6">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1080" w:hanging="360"/>
      </w:pPr>
      <w:rPr>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7">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D54669C4"/>
    <w:lvl w:ilvl="0" w:tplc="DAC41F6C">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DFC73B6"/>
    <w:multiLevelType w:val="hybridMultilevel"/>
    <w:tmpl w:val="9C6AFB72"/>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9">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1">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706942"/>
    <w:multiLevelType w:val="hybridMultilevel"/>
    <w:tmpl w:val="783E40C8"/>
    <w:lvl w:ilvl="0" w:tplc="95E4C46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9">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2">
    <w:nsid w:val="3A806EA4"/>
    <w:multiLevelType w:val="hybridMultilevel"/>
    <w:tmpl w:val="03B0D7DE"/>
    <w:lvl w:ilvl="0" w:tplc="00ECC748">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7">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0">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3">
    <w:nsid w:val="46EF72CA"/>
    <w:multiLevelType w:val="hybridMultilevel"/>
    <w:tmpl w:val="6D5E2D2A"/>
    <w:lvl w:ilvl="0" w:tplc="FDB4A11A">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6">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6">
    <w:nsid w:val="528323F4"/>
    <w:multiLevelType w:val="hybridMultilevel"/>
    <w:tmpl w:val="7DE08078"/>
    <w:lvl w:ilvl="0" w:tplc="E5D263A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2">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3">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7">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8">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2">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B2C4D22"/>
    <w:multiLevelType w:val="hybridMultilevel"/>
    <w:tmpl w:val="DFAC63A4"/>
    <w:lvl w:ilvl="0" w:tplc="D902DDBC">
      <w:start w:val="1"/>
      <w:numFmt w:val="bullet"/>
      <w:lvlText w:val=""/>
      <w:lvlJc w:val="left"/>
      <w:pPr>
        <w:ind w:left="720" w:hanging="360"/>
      </w:pPr>
      <w:rPr>
        <w:rFonts w:ascii="Webdings" w:hAnsi="Webdings" w:hint="default"/>
        <w:b w:val="0"/>
        <w:i w:val="0"/>
        <w:color w:val="FF6600"/>
        <w:sz w:val="24"/>
      </w:rPr>
    </w:lvl>
    <w:lvl w:ilvl="1" w:tplc="F948F342">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6">
    <w:nsid w:val="7FE70403"/>
    <w:multiLevelType w:val="hybridMultilevel"/>
    <w:tmpl w:val="4112C5F0"/>
    <w:lvl w:ilvl="0" w:tplc="2F38C114">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3"/>
  </w:num>
  <w:num w:numId="2">
    <w:abstractNumId w:val="36"/>
  </w:num>
  <w:num w:numId="3">
    <w:abstractNumId w:val="119"/>
  </w:num>
  <w:num w:numId="4">
    <w:abstractNumId w:val="1"/>
  </w:num>
  <w:num w:numId="5">
    <w:abstractNumId w:val="11"/>
  </w:num>
  <w:num w:numId="6">
    <w:abstractNumId w:val="129"/>
  </w:num>
  <w:num w:numId="7">
    <w:abstractNumId w:val="0"/>
  </w:num>
  <w:num w:numId="8">
    <w:abstractNumId w:val="122"/>
  </w:num>
  <w:num w:numId="9">
    <w:abstractNumId w:val="64"/>
  </w:num>
  <w:num w:numId="10">
    <w:abstractNumId w:val="136"/>
  </w:num>
  <w:num w:numId="11">
    <w:abstractNumId w:val="127"/>
  </w:num>
  <w:num w:numId="12">
    <w:abstractNumId w:val="10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0"/>
  </w:num>
  <w:num w:numId="14">
    <w:abstractNumId w:val="74"/>
  </w:num>
  <w:num w:numId="15">
    <w:abstractNumId w:val="21"/>
  </w:num>
  <w:num w:numId="16">
    <w:abstractNumId w:val="27"/>
  </w:num>
  <w:num w:numId="17">
    <w:abstractNumId w:val="120"/>
  </w:num>
  <w:num w:numId="18">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8"/>
  </w:num>
  <w:num w:numId="20">
    <w:abstractNumId w:val="47"/>
  </w:num>
  <w:num w:numId="21">
    <w:abstractNumId w:val="75"/>
  </w:num>
  <w:num w:numId="22">
    <w:abstractNumId w:val="103"/>
  </w:num>
  <w:num w:numId="23">
    <w:abstractNumId w:val="43"/>
  </w:num>
  <w:num w:numId="24">
    <w:abstractNumId w:val="58"/>
  </w:num>
  <w:num w:numId="25">
    <w:abstractNumId w:val="56"/>
  </w:num>
  <w:num w:numId="26">
    <w:abstractNumId w:val="39"/>
  </w:num>
  <w:num w:numId="27">
    <w:abstractNumId w:val="8"/>
  </w:num>
  <w:num w:numId="28">
    <w:abstractNumId w:val="108"/>
  </w:num>
  <w:num w:numId="29">
    <w:abstractNumId w:val="106"/>
  </w:num>
  <w:num w:numId="30">
    <w:abstractNumId w:val="84"/>
  </w:num>
  <w:num w:numId="31">
    <w:abstractNumId w:val="44"/>
  </w:num>
  <w:num w:numId="32">
    <w:abstractNumId w:val="132"/>
  </w:num>
  <w:num w:numId="33">
    <w:abstractNumId w:val="125"/>
  </w:num>
  <w:num w:numId="34">
    <w:abstractNumId w:val="116"/>
  </w:num>
  <w:num w:numId="35">
    <w:abstractNumId w:val="7"/>
  </w:num>
  <w:num w:numId="36">
    <w:abstractNumId w:val="101"/>
  </w:num>
  <w:num w:numId="37">
    <w:abstractNumId w:val="15"/>
  </w:num>
  <w:num w:numId="38">
    <w:abstractNumId w:val="37"/>
  </w:num>
  <w:num w:numId="39">
    <w:abstractNumId w:val="46"/>
  </w:num>
  <w:num w:numId="40">
    <w:abstractNumId w:val="23"/>
  </w:num>
  <w:num w:numId="41">
    <w:abstractNumId w:val="32"/>
  </w:num>
  <w:num w:numId="42">
    <w:abstractNumId w:val="83"/>
  </w:num>
  <w:num w:numId="43">
    <w:abstractNumId w:val="30"/>
  </w:num>
  <w:num w:numId="44">
    <w:abstractNumId w:val="80"/>
  </w:num>
  <w:num w:numId="45">
    <w:abstractNumId w:val="124"/>
  </w:num>
  <w:num w:numId="46">
    <w:abstractNumId w:val="115"/>
  </w:num>
  <w:num w:numId="47">
    <w:abstractNumId w:val="107"/>
  </w:num>
  <w:num w:numId="48">
    <w:abstractNumId w:val="42"/>
  </w:num>
  <w:num w:numId="49">
    <w:abstractNumId w:val="86"/>
  </w:num>
  <w:num w:numId="50">
    <w:abstractNumId w:val="33"/>
  </w:num>
  <w:num w:numId="51">
    <w:abstractNumId w:val="17"/>
  </w:num>
  <w:num w:numId="52">
    <w:abstractNumId w:val="62"/>
  </w:num>
  <w:num w:numId="53">
    <w:abstractNumId w:val="31"/>
  </w:num>
  <w:num w:numId="54">
    <w:abstractNumId w:val="94"/>
  </w:num>
  <w:num w:numId="55">
    <w:abstractNumId w:val="2"/>
  </w:num>
  <w:num w:numId="56">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3"/>
  </w:num>
  <w:num w:numId="58">
    <w:abstractNumId w:val="41"/>
  </w:num>
  <w:num w:numId="59">
    <w:abstractNumId w:val="57"/>
  </w:num>
  <w:num w:numId="60">
    <w:abstractNumId w:val="110"/>
  </w:num>
  <w:num w:numId="61">
    <w:abstractNumId w:val="25"/>
  </w:num>
  <w:num w:numId="62">
    <w:abstractNumId w:val="9"/>
  </w:num>
  <w:num w:numId="63">
    <w:abstractNumId w:val="20"/>
  </w:num>
  <w:num w:numId="64">
    <w:abstractNumId w:val="133"/>
  </w:num>
  <w:num w:numId="65">
    <w:abstractNumId w:val="73"/>
  </w:num>
  <w:num w:numId="66">
    <w:abstractNumId w:val="114"/>
  </w:num>
  <w:num w:numId="67">
    <w:abstractNumId w:val="68"/>
  </w:num>
  <w:num w:numId="68">
    <w:abstractNumId w:val="53"/>
  </w:num>
  <w:num w:numId="69">
    <w:abstractNumId w:val="99"/>
  </w:num>
  <w:num w:numId="70">
    <w:abstractNumId w:val="96"/>
  </w:num>
  <w:num w:numId="71">
    <w:abstractNumId w:val="10"/>
  </w:num>
  <w:num w:numId="72">
    <w:abstractNumId w:val="92"/>
  </w:num>
  <w:num w:numId="73">
    <w:abstractNumId w:val="109"/>
  </w:num>
  <w:num w:numId="74">
    <w:abstractNumId w:val="113"/>
  </w:num>
  <w:num w:numId="75">
    <w:abstractNumId w:val="81"/>
  </w:num>
  <w:num w:numId="76">
    <w:abstractNumId w:val="102"/>
  </w:num>
  <w:num w:numId="77">
    <w:abstractNumId w:val="77"/>
  </w:num>
  <w:num w:numId="78">
    <w:abstractNumId w:val="131"/>
  </w:num>
  <w:num w:numId="79">
    <w:abstractNumId w:val="70"/>
  </w:num>
  <w:num w:numId="80">
    <w:abstractNumId w:val="78"/>
  </w:num>
  <w:num w:numId="81">
    <w:abstractNumId w:val="16"/>
  </w:num>
  <w:num w:numId="82">
    <w:abstractNumId w:val="59"/>
  </w:num>
  <w:num w:numId="83">
    <w:abstractNumId w:val="14"/>
  </w:num>
  <w:num w:numId="84">
    <w:abstractNumId w:val="40"/>
  </w:num>
  <w:num w:numId="85">
    <w:abstractNumId w:val="126"/>
  </w:num>
  <w:num w:numId="86">
    <w:abstractNumId w:val="69"/>
  </w:num>
  <w:num w:numId="87">
    <w:abstractNumId w:val="34"/>
  </w:num>
  <w:num w:numId="88">
    <w:abstractNumId w:val="85"/>
  </w:num>
  <w:num w:numId="89">
    <w:abstractNumId w:val="50"/>
  </w:num>
  <w:num w:numId="90">
    <w:abstractNumId w:val="18"/>
  </w:num>
  <w:num w:numId="91">
    <w:abstractNumId w:val="55"/>
  </w:num>
  <w:num w:numId="92">
    <w:abstractNumId w:val="135"/>
  </w:num>
  <w:num w:numId="93">
    <w:abstractNumId w:val="134"/>
  </w:num>
  <w:num w:numId="94">
    <w:abstractNumId w:val="61"/>
  </w:num>
  <w:num w:numId="95">
    <w:abstractNumId w:val="72"/>
  </w:num>
  <w:num w:numId="96">
    <w:abstractNumId w:val="3"/>
  </w:num>
  <w:num w:numId="97">
    <w:abstractNumId w:val="95"/>
  </w:num>
  <w:num w:numId="98">
    <w:abstractNumId w:val="29"/>
  </w:num>
  <w:num w:numId="99">
    <w:abstractNumId w:val="123"/>
  </w:num>
  <w:num w:numId="100">
    <w:abstractNumId w:val="105"/>
  </w:num>
  <w:num w:numId="101">
    <w:abstractNumId w:val="5"/>
  </w:num>
  <w:num w:numId="102">
    <w:abstractNumId w:val="132"/>
  </w:num>
  <w:num w:numId="103">
    <w:abstractNumId w:val="89"/>
  </w:num>
  <w:num w:numId="104">
    <w:abstractNumId w:val="67"/>
  </w:num>
  <w:num w:numId="105">
    <w:abstractNumId w:val="4"/>
  </w:num>
  <w:num w:numId="106">
    <w:abstractNumId w:val="54"/>
  </w:num>
  <w:num w:numId="107">
    <w:abstractNumId w:val="71"/>
  </w:num>
  <w:num w:numId="108">
    <w:abstractNumId w:val="88"/>
  </w:num>
  <w:num w:numId="109">
    <w:abstractNumId w:val="111"/>
  </w:num>
  <w:num w:numId="110">
    <w:abstractNumId w:val="19"/>
  </w:num>
  <w:num w:numId="111">
    <w:abstractNumId w:val="104"/>
  </w:num>
  <w:num w:numId="112">
    <w:abstractNumId w:val="117"/>
  </w:num>
  <w:num w:numId="113">
    <w:abstractNumId w:val="13"/>
  </w:num>
  <w:num w:numId="114">
    <w:abstractNumId w:val="112"/>
  </w:num>
  <w:num w:numId="115">
    <w:abstractNumId w:val="38"/>
  </w:num>
  <w:num w:numId="116">
    <w:abstractNumId w:val="128"/>
  </w:num>
  <w:num w:numId="117">
    <w:abstractNumId w:val="91"/>
  </w:num>
  <w:num w:numId="118">
    <w:abstractNumId w:val="6"/>
  </w:num>
  <w:num w:numId="119">
    <w:abstractNumId w:val="12"/>
  </w:num>
  <w:num w:numId="120">
    <w:abstractNumId w:val="100"/>
  </w:num>
  <w:num w:numId="121">
    <w:abstractNumId w:val="22"/>
  </w:num>
  <w:num w:numId="122">
    <w:abstractNumId w:val="79"/>
  </w:num>
  <w:num w:numId="123">
    <w:abstractNumId w:val="60"/>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6"/>
  </w:num>
  <w:num w:numId="128">
    <w:abstractNumId w:val="51"/>
  </w:num>
  <w:num w:numId="129">
    <w:abstractNumId w:val="87"/>
  </w:num>
  <w:num w:numId="130">
    <w:abstractNumId w:val="121"/>
  </w:num>
  <w:num w:numId="131">
    <w:abstractNumId w:val="66"/>
  </w:num>
  <w:num w:numId="132">
    <w:abstractNumId w:val="24"/>
  </w:num>
  <w:num w:numId="133">
    <w:abstractNumId w:val="98"/>
  </w:num>
  <w:num w:numId="134">
    <w:abstractNumId w:val="97"/>
  </w:num>
  <w:num w:numId="135">
    <w:abstractNumId w:val="65"/>
  </w:num>
  <w:num w:numId="136">
    <w:abstractNumId w:val="82"/>
  </w:num>
  <w:num w:numId="137">
    <w:abstractNumId w:val="52"/>
  </w:num>
  <w:num w:numId="138">
    <w:abstractNumId w:val="48"/>
  </w:num>
  <w:num w:numId="139">
    <w:abstractNumId w:val="49"/>
  </w:num>
  <w:num w:numId="140">
    <w:abstractNumId w:val="28"/>
  </w:num>
  <w:num w:numId="141">
    <w:abstractNumId w:val="90"/>
  </w:num>
  <w:num w:numId="142">
    <w:abstractNumId w:val="35"/>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khaj+QkmFp8fAEST6DCrBmYmyKQqnkcEF+AVA+kXvM0QGXxgtLi+f0FMVQbz2WaVolooDiizMdBOz4MKvpzjg==" w:salt="YYkP2naaxkZrY1DNMSyd2A=="/>
  <w:defaultTabStop w:val="720"/>
  <w:drawingGridHorizontalSpacing w:val="110"/>
  <w:displayHorizontalDrawingGridEvery w:val="2"/>
  <w:characterSpacingControl w:val="doNotCompress"/>
  <w:hdrShapeDefaults>
    <o:shapedefaults v:ext="edit" spidmax="2049" fillcolor="white" strokecolor="red">
      <v:fill color="white"/>
      <v:stroke color="red" weight="1.5pt"/>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6B01"/>
    <w:rsid w:val="0002020C"/>
    <w:rsid w:val="00021544"/>
    <w:rsid w:val="00021721"/>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5663"/>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083"/>
    <w:rsid w:val="0005132C"/>
    <w:rsid w:val="00051AA6"/>
    <w:rsid w:val="0005221F"/>
    <w:rsid w:val="00052441"/>
    <w:rsid w:val="00052BF4"/>
    <w:rsid w:val="00052DA2"/>
    <w:rsid w:val="00053F31"/>
    <w:rsid w:val="00054811"/>
    <w:rsid w:val="000553EE"/>
    <w:rsid w:val="0005574D"/>
    <w:rsid w:val="00055EFD"/>
    <w:rsid w:val="00056DDF"/>
    <w:rsid w:val="00056E58"/>
    <w:rsid w:val="00060752"/>
    <w:rsid w:val="00060959"/>
    <w:rsid w:val="00061A45"/>
    <w:rsid w:val="00061A6E"/>
    <w:rsid w:val="000626C8"/>
    <w:rsid w:val="00063577"/>
    <w:rsid w:val="000658AA"/>
    <w:rsid w:val="00066528"/>
    <w:rsid w:val="00067AB1"/>
    <w:rsid w:val="00070945"/>
    <w:rsid w:val="0007160C"/>
    <w:rsid w:val="00071922"/>
    <w:rsid w:val="0007218F"/>
    <w:rsid w:val="00072E38"/>
    <w:rsid w:val="000731D9"/>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32F"/>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5B59"/>
    <w:rsid w:val="000C622E"/>
    <w:rsid w:val="000C676D"/>
    <w:rsid w:val="000C6865"/>
    <w:rsid w:val="000C6A47"/>
    <w:rsid w:val="000C6C07"/>
    <w:rsid w:val="000C6DBC"/>
    <w:rsid w:val="000C72FC"/>
    <w:rsid w:val="000C79A2"/>
    <w:rsid w:val="000C7C7E"/>
    <w:rsid w:val="000D158E"/>
    <w:rsid w:val="000D17D6"/>
    <w:rsid w:val="000D2804"/>
    <w:rsid w:val="000D399F"/>
    <w:rsid w:val="000D4008"/>
    <w:rsid w:val="000D454E"/>
    <w:rsid w:val="000D4ECA"/>
    <w:rsid w:val="000D5E2F"/>
    <w:rsid w:val="000D5F24"/>
    <w:rsid w:val="000D6765"/>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E3B"/>
    <w:rsid w:val="000F51BC"/>
    <w:rsid w:val="000F59F6"/>
    <w:rsid w:val="000F6E5D"/>
    <w:rsid w:val="000F76E5"/>
    <w:rsid w:val="000F798B"/>
    <w:rsid w:val="00101859"/>
    <w:rsid w:val="00101CDD"/>
    <w:rsid w:val="00102035"/>
    <w:rsid w:val="00102195"/>
    <w:rsid w:val="00102660"/>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47B87"/>
    <w:rsid w:val="00151496"/>
    <w:rsid w:val="00152361"/>
    <w:rsid w:val="00152E1B"/>
    <w:rsid w:val="00152FCC"/>
    <w:rsid w:val="001538D0"/>
    <w:rsid w:val="00154676"/>
    <w:rsid w:val="00155B9B"/>
    <w:rsid w:val="00155ECD"/>
    <w:rsid w:val="00156AE7"/>
    <w:rsid w:val="0016067A"/>
    <w:rsid w:val="00160C27"/>
    <w:rsid w:val="001614A1"/>
    <w:rsid w:val="00162A93"/>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2B1"/>
    <w:rsid w:val="00174410"/>
    <w:rsid w:val="001744C9"/>
    <w:rsid w:val="00174833"/>
    <w:rsid w:val="001748D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046"/>
    <w:rsid w:val="001A2663"/>
    <w:rsid w:val="001A3069"/>
    <w:rsid w:val="001A3367"/>
    <w:rsid w:val="001A5D12"/>
    <w:rsid w:val="001A5DFA"/>
    <w:rsid w:val="001A63C6"/>
    <w:rsid w:val="001B035A"/>
    <w:rsid w:val="001B0B76"/>
    <w:rsid w:val="001B15A5"/>
    <w:rsid w:val="001B1DB9"/>
    <w:rsid w:val="001B1F6A"/>
    <w:rsid w:val="001B3397"/>
    <w:rsid w:val="001B3A05"/>
    <w:rsid w:val="001B413E"/>
    <w:rsid w:val="001B4E4D"/>
    <w:rsid w:val="001B4F17"/>
    <w:rsid w:val="001B6F6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3550"/>
    <w:rsid w:val="001F401B"/>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68BA"/>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2F8"/>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6BB"/>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0FC"/>
    <w:rsid w:val="0025016C"/>
    <w:rsid w:val="0025087E"/>
    <w:rsid w:val="00250FEC"/>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84E"/>
    <w:rsid w:val="00265AC3"/>
    <w:rsid w:val="0026606F"/>
    <w:rsid w:val="00266AF5"/>
    <w:rsid w:val="00266EF1"/>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6925"/>
    <w:rsid w:val="00296B89"/>
    <w:rsid w:val="00297F37"/>
    <w:rsid w:val="00297FA5"/>
    <w:rsid w:val="002A01C2"/>
    <w:rsid w:val="002A0D4F"/>
    <w:rsid w:val="002A1564"/>
    <w:rsid w:val="002A1F73"/>
    <w:rsid w:val="002A3022"/>
    <w:rsid w:val="002A3AE6"/>
    <w:rsid w:val="002A4105"/>
    <w:rsid w:val="002A48C7"/>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DC0"/>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2D3"/>
    <w:rsid w:val="003009F1"/>
    <w:rsid w:val="00301E95"/>
    <w:rsid w:val="00302B84"/>
    <w:rsid w:val="00303BEB"/>
    <w:rsid w:val="00306549"/>
    <w:rsid w:val="00306664"/>
    <w:rsid w:val="0030687E"/>
    <w:rsid w:val="00306AAF"/>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801"/>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4F52"/>
    <w:rsid w:val="00325BA0"/>
    <w:rsid w:val="00325E60"/>
    <w:rsid w:val="00326833"/>
    <w:rsid w:val="00326BBD"/>
    <w:rsid w:val="00326C6A"/>
    <w:rsid w:val="00326EF7"/>
    <w:rsid w:val="00326F85"/>
    <w:rsid w:val="00330CD4"/>
    <w:rsid w:val="00331198"/>
    <w:rsid w:val="003311BB"/>
    <w:rsid w:val="0033167A"/>
    <w:rsid w:val="00333A0E"/>
    <w:rsid w:val="00333F5B"/>
    <w:rsid w:val="00334E27"/>
    <w:rsid w:val="00335046"/>
    <w:rsid w:val="0033513B"/>
    <w:rsid w:val="00335DFB"/>
    <w:rsid w:val="00336BCA"/>
    <w:rsid w:val="0033725C"/>
    <w:rsid w:val="00337E2E"/>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306"/>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107"/>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A1"/>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2D51"/>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746"/>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33A"/>
    <w:rsid w:val="003C64D1"/>
    <w:rsid w:val="003C65F4"/>
    <w:rsid w:val="003C6BA5"/>
    <w:rsid w:val="003C75C8"/>
    <w:rsid w:val="003D0252"/>
    <w:rsid w:val="003D1150"/>
    <w:rsid w:val="003D1247"/>
    <w:rsid w:val="003D165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5F02"/>
    <w:rsid w:val="003E606C"/>
    <w:rsid w:val="003F1A34"/>
    <w:rsid w:val="003F1CB9"/>
    <w:rsid w:val="003F2CC6"/>
    <w:rsid w:val="003F3395"/>
    <w:rsid w:val="003F4204"/>
    <w:rsid w:val="003F46E2"/>
    <w:rsid w:val="003F47CB"/>
    <w:rsid w:val="003F518F"/>
    <w:rsid w:val="003F5594"/>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5B9"/>
    <w:rsid w:val="004718AA"/>
    <w:rsid w:val="00471E00"/>
    <w:rsid w:val="00471E7E"/>
    <w:rsid w:val="00472642"/>
    <w:rsid w:val="00472D3F"/>
    <w:rsid w:val="00472DFD"/>
    <w:rsid w:val="00472F15"/>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23D"/>
    <w:rsid w:val="00485C09"/>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0F1"/>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7EE"/>
    <w:rsid w:val="004E3869"/>
    <w:rsid w:val="004E39EB"/>
    <w:rsid w:val="004E41AE"/>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2827"/>
    <w:rsid w:val="00502B35"/>
    <w:rsid w:val="00505148"/>
    <w:rsid w:val="00506100"/>
    <w:rsid w:val="0050647F"/>
    <w:rsid w:val="00506F04"/>
    <w:rsid w:val="005072B0"/>
    <w:rsid w:val="0051046C"/>
    <w:rsid w:val="005108D1"/>
    <w:rsid w:val="00510F6B"/>
    <w:rsid w:val="00511357"/>
    <w:rsid w:val="00511436"/>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2AF8"/>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726"/>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57C8C"/>
    <w:rsid w:val="00560523"/>
    <w:rsid w:val="00560A10"/>
    <w:rsid w:val="005614CA"/>
    <w:rsid w:val="00561AA3"/>
    <w:rsid w:val="005626ED"/>
    <w:rsid w:val="00562901"/>
    <w:rsid w:val="00562D59"/>
    <w:rsid w:val="005634CD"/>
    <w:rsid w:val="00563625"/>
    <w:rsid w:val="00564246"/>
    <w:rsid w:val="005648A8"/>
    <w:rsid w:val="00565005"/>
    <w:rsid w:val="005658ED"/>
    <w:rsid w:val="0056594B"/>
    <w:rsid w:val="005670D2"/>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42F"/>
    <w:rsid w:val="00582D5A"/>
    <w:rsid w:val="00582F72"/>
    <w:rsid w:val="0058377E"/>
    <w:rsid w:val="005837D7"/>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A5DD5"/>
    <w:rsid w:val="005A76F9"/>
    <w:rsid w:val="005B0791"/>
    <w:rsid w:val="005B0A14"/>
    <w:rsid w:val="005B0F04"/>
    <w:rsid w:val="005B107E"/>
    <w:rsid w:val="005B297B"/>
    <w:rsid w:val="005B31F0"/>
    <w:rsid w:val="005B372B"/>
    <w:rsid w:val="005B387C"/>
    <w:rsid w:val="005B48E5"/>
    <w:rsid w:val="005B4D93"/>
    <w:rsid w:val="005B5E8D"/>
    <w:rsid w:val="005B6FFF"/>
    <w:rsid w:val="005B744B"/>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0B9"/>
    <w:rsid w:val="005D6C1F"/>
    <w:rsid w:val="005D6E25"/>
    <w:rsid w:val="005D753D"/>
    <w:rsid w:val="005D7F61"/>
    <w:rsid w:val="005E0391"/>
    <w:rsid w:val="005E047F"/>
    <w:rsid w:val="005E0743"/>
    <w:rsid w:val="005E0970"/>
    <w:rsid w:val="005E09A4"/>
    <w:rsid w:val="005E0CA4"/>
    <w:rsid w:val="005E0D68"/>
    <w:rsid w:val="005E1285"/>
    <w:rsid w:val="005E136C"/>
    <w:rsid w:val="005E13D7"/>
    <w:rsid w:val="005E36DC"/>
    <w:rsid w:val="005E3B5E"/>
    <w:rsid w:val="005E3F87"/>
    <w:rsid w:val="005E439B"/>
    <w:rsid w:val="005E48FF"/>
    <w:rsid w:val="005E4C78"/>
    <w:rsid w:val="005E4D82"/>
    <w:rsid w:val="005E5DE0"/>
    <w:rsid w:val="005E706E"/>
    <w:rsid w:val="005E70E4"/>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070"/>
    <w:rsid w:val="00605434"/>
    <w:rsid w:val="006060A8"/>
    <w:rsid w:val="006064CF"/>
    <w:rsid w:val="0060663A"/>
    <w:rsid w:val="00606873"/>
    <w:rsid w:val="006068C9"/>
    <w:rsid w:val="00606B1E"/>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5A"/>
    <w:rsid w:val="0062436E"/>
    <w:rsid w:val="00624548"/>
    <w:rsid w:val="00624A9A"/>
    <w:rsid w:val="006257A7"/>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37D2F"/>
    <w:rsid w:val="006408AF"/>
    <w:rsid w:val="00640CE4"/>
    <w:rsid w:val="0064257F"/>
    <w:rsid w:val="00643249"/>
    <w:rsid w:val="00643573"/>
    <w:rsid w:val="00643D74"/>
    <w:rsid w:val="0064463E"/>
    <w:rsid w:val="00644FD3"/>
    <w:rsid w:val="006450C8"/>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C0"/>
    <w:rsid w:val="006640D1"/>
    <w:rsid w:val="00664EE9"/>
    <w:rsid w:val="00664EEB"/>
    <w:rsid w:val="00665832"/>
    <w:rsid w:val="00665A44"/>
    <w:rsid w:val="00665CC8"/>
    <w:rsid w:val="00666A13"/>
    <w:rsid w:val="006672FD"/>
    <w:rsid w:val="00667807"/>
    <w:rsid w:val="00667FDA"/>
    <w:rsid w:val="00670296"/>
    <w:rsid w:val="006705D4"/>
    <w:rsid w:val="006707A3"/>
    <w:rsid w:val="0067080E"/>
    <w:rsid w:val="006714D8"/>
    <w:rsid w:val="006721D5"/>
    <w:rsid w:val="006723FB"/>
    <w:rsid w:val="00672DE1"/>
    <w:rsid w:val="00672E44"/>
    <w:rsid w:val="00673183"/>
    <w:rsid w:val="006732D8"/>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40B"/>
    <w:rsid w:val="006905EB"/>
    <w:rsid w:val="00690659"/>
    <w:rsid w:val="00691648"/>
    <w:rsid w:val="006933F8"/>
    <w:rsid w:val="00693524"/>
    <w:rsid w:val="00693C3E"/>
    <w:rsid w:val="006949F0"/>
    <w:rsid w:val="00694A6D"/>
    <w:rsid w:val="00695A3C"/>
    <w:rsid w:val="00695C01"/>
    <w:rsid w:val="00696E39"/>
    <w:rsid w:val="00697D65"/>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A76"/>
    <w:rsid w:val="006B1B97"/>
    <w:rsid w:val="006B1BAF"/>
    <w:rsid w:val="006B1F3F"/>
    <w:rsid w:val="006B263A"/>
    <w:rsid w:val="006B28B3"/>
    <w:rsid w:val="006B2B6C"/>
    <w:rsid w:val="006B304B"/>
    <w:rsid w:val="006B37C0"/>
    <w:rsid w:val="006B3EEA"/>
    <w:rsid w:val="006B4973"/>
    <w:rsid w:val="006B4EC3"/>
    <w:rsid w:val="006B5174"/>
    <w:rsid w:val="006B5A36"/>
    <w:rsid w:val="006B605F"/>
    <w:rsid w:val="006B615D"/>
    <w:rsid w:val="006B65DF"/>
    <w:rsid w:val="006B6862"/>
    <w:rsid w:val="006B6D38"/>
    <w:rsid w:val="006B71CE"/>
    <w:rsid w:val="006B7291"/>
    <w:rsid w:val="006B777B"/>
    <w:rsid w:val="006B7DEF"/>
    <w:rsid w:val="006B7FF7"/>
    <w:rsid w:val="006C0316"/>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474"/>
    <w:rsid w:val="0075068E"/>
    <w:rsid w:val="00750FB0"/>
    <w:rsid w:val="00751573"/>
    <w:rsid w:val="007515DF"/>
    <w:rsid w:val="007516AC"/>
    <w:rsid w:val="00751F50"/>
    <w:rsid w:val="00752DFD"/>
    <w:rsid w:val="00752E78"/>
    <w:rsid w:val="00752EB2"/>
    <w:rsid w:val="0075467E"/>
    <w:rsid w:val="00754E40"/>
    <w:rsid w:val="007551AE"/>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457"/>
    <w:rsid w:val="007854A8"/>
    <w:rsid w:val="007876AC"/>
    <w:rsid w:val="00790519"/>
    <w:rsid w:val="0079143A"/>
    <w:rsid w:val="00791D18"/>
    <w:rsid w:val="007920AE"/>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D77E3"/>
    <w:rsid w:val="007E0ACB"/>
    <w:rsid w:val="007E0CC6"/>
    <w:rsid w:val="007E0DFB"/>
    <w:rsid w:val="007E1338"/>
    <w:rsid w:val="007E1881"/>
    <w:rsid w:val="007E2DBF"/>
    <w:rsid w:val="007E2FDE"/>
    <w:rsid w:val="007E3162"/>
    <w:rsid w:val="007E351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1007"/>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2672"/>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03D"/>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467"/>
    <w:rsid w:val="008357AC"/>
    <w:rsid w:val="008358AA"/>
    <w:rsid w:val="00836655"/>
    <w:rsid w:val="008368B4"/>
    <w:rsid w:val="00836988"/>
    <w:rsid w:val="00836D9F"/>
    <w:rsid w:val="0083748D"/>
    <w:rsid w:val="00837AE2"/>
    <w:rsid w:val="0084072C"/>
    <w:rsid w:val="00840B13"/>
    <w:rsid w:val="00842F32"/>
    <w:rsid w:val="008432CC"/>
    <w:rsid w:val="008434B8"/>
    <w:rsid w:val="00843AEA"/>
    <w:rsid w:val="00843C48"/>
    <w:rsid w:val="008446D1"/>
    <w:rsid w:val="00844B7C"/>
    <w:rsid w:val="00844BAF"/>
    <w:rsid w:val="00845771"/>
    <w:rsid w:val="00846611"/>
    <w:rsid w:val="008477AF"/>
    <w:rsid w:val="0085061F"/>
    <w:rsid w:val="00850837"/>
    <w:rsid w:val="00851A2B"/>
    <w:rsid w:val="00851B29"/>
    <w:rsid w:val="00851DBA"/>
    <w:rsid w:val="00853BB6"/>
    <w:rsid w:val="00853E11"/>
    <w:rsid w:val="00853FEC"/>
    <w:rsid w:val="00854170"/>
    <w:rsid w:val="00854A28"/>
    <w:rsid w:val="00854CC2"/>
    <w:rsid w:val="008558DC"/>
    <w:rsid w:val="00855BA5"/>
    <w:rsid w:val="00856696"/>
    <w:rsid w:val="00856858"/>
    <w:rsid w:val="00856ABB"/>
    <w:rsid w:val="008570F4"/>
    <w:rsid w:val="008571B7"/>
    <w:rsid w:val="00857382"/>
    <w:rsid w:val="00857CCB"/>
    <w:rsid w:val="00857EF7"/>
    <w:rsid w:val="008600D8"/>
    <w:rsid w:val="00860903"/>
    <w:rsid w:val="00860B3A"/>
    <w:rsid w:val="00860CF0"/>
    <w:rsid w:val="0086142A"/>
    <w:rsid w:val="00861A33"/>
    <w:rsid w:val="008623B7"/>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67FEA"/>
    <w:rsid w:val="00870095"/>
    <w:rsid w:val="008700FF"/>
    <w:rsid w:val="008701BA"/>
    <w:rsid w:val="008710C9"/>
    <w:rsid w:val="008714DC"/>
    <w:rsid w:val="00871AE2"/>
    <w:rsid w:val="00872F81"/>
    <w:rsid w:val="0087388A"/>
    <w:rsid w:val="008741E0"/>
    <w:rsid w:val="008744A3"/>
    <w:rsid w:val="00875F3B"/>
    <w:rsid w:val="00876599"/>
    <w:rsid w:val="008775F2"/>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49B7"/>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97D06"/>
    <w:rsid w:val="00897EF1"/>
    <w:rsid w:val="008A085B"/>
    <w:rsid w:val="008A13C8"/>
    <w:rsid w:val="008A15A8"/>
    <w:rsid w:val="008A1637"/>
    <w:rsid w:val="008A1A57"/>
    <w:rsid w:val="008A1FD6"/>
    <w:rsid w:val="008A24D7"/>
    <w:rsid w:val="008A27B5"/>
    <w:rsid w:val="008A2D37"/>
    <w:rsid w:val="008A31AE"/>
    <w:rsid w:val="008A36D8"/>
    <w:rsid w:val="008A3D24"/>
    <w:rsid w:val="008A4B74"/>
    <w:rsid w:val="008A4BF2"/>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0051"/>
    <w:rsid w:val="008D15D0"/>
    <w:rsid w:val="008D1962"/>
    <w:rsid w:val="008D1E2D"/>
    <w:rsid w:val="008D2C42"/>
    <w:rsid w:val="008D4398"/>
    <w:rsid w:val="008D4EE5"/>
    <w:rsid w:val="008D5290"/>
    <w:rsid w:val="008D5507"/>
    <w:rsid w:val="008D71A1"/>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95E"/>
    <w:rsid w:val="009124DC"/>
    <w:rsid w:val="00912C18"/>
    <w:rsid w:val="00913B84"/>
    <w:rsid w:val="00913F3F"/>
    <w:rsid w:val="009141A3"/>
    <w:rsid w:val="009144B6"/>
    <w:rsid w:val="0091600A"/>
    <w:rsid w:val="00916499"/>
    <w:rsid w:val="00916E81"/>
    <w:rsid w:val="009173AA"/>
    <w:rsid w:val="0091793D"/>
    <w:rsid w:val="00920340"/>
    <w:rsid w:val="00920402"/>
    <w:rsid w:val="00920499"/>
    <w:rsid w:val="0092069E"/>
    <w:rsid w:val="009207CD"/>
    <w:rsid w:val="009210DE"/>
    <w:rsid w:val="0092112A"/>
    <w:rsid w:val="00922683"/>
    <w:rsid w:val="009233CA"/>
    <w:rsid w:val="00924690"/>
    <w:rsid w:val="00924D0F"/>
    <w:rsid w:val="009253A8"/>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5FA5"/>
    <w:rsid w:val="009464CE"/>
    <w:rsid w:val="00946D45"/>
    <w:rsid w:val="00947901"/>
    <w:rsid w:val="009504CA"/>
    <w:rsid w:val="00951490"/>
    <w:rsid w:val="00951852"/>
    <w:rsid w:val="009518B1"/>
    <w:rsid w:val="0095262C"/>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3942"/>
    <w:rsid w:val="00965679"/>
    <w:rsid w:val="00965A6F"/>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1EB6"/>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9F7D15"/>
    <w:rsid w:val="00A00733"/>
    <w:rsid w:val="00A00D42"/>
    <w:rsid w:val="00A01320"/>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AA0"/>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539"/>
    <w:rsid w:val="00A56C99"/>
    <w:rsid w:val="00A578E0"/>
    <w:rsid w:val="00A57A73"/>
    <w:rsid w:val="00A61080"/>
    <w:rsid w:val="00A61336"/>
    <w:rsid w:val="00A6185F"/>
    <w:rsid w:val="00A61C5B"/>
    <w:rsid w:val="00A62049"/>
    <w:rsid w:val="00A62487"/>
    <w:rsid w:val="00A634DA"/>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71"/>
    <w:rsid w:val="00A677E9"/>
    <w:rsid w:val="00A7003F"/>
    <w:rsid w:val="00A70464"/>
    <w:rsid w:val="00A708D5"/>
    <w:rsid w:val="00A70EAE"/>
    <w:rsid w:val="00A71B90"/>
    <w:rsid w:val="00A71FCC"/>
    <w:rsid w:val="00A72466"/>
    <w:rsid w:val="00A72517"/>
    <w:rsid w:val="00A726EE"/>
    <w:rsid w:val="00A731E3"/>
    <w:rsid w:val="00A739D8"/>
    <w:rsid w:val="00A73BDB"/>
    <w:rsid w:val="00A73CC8"/>
    <w:rsid w:val="00A73DBD"/>
    <w:rsid w:val="00A742B7"/>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97F63"/>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0E59"/>
    <w:rsid w:val="00AB24BD"/>
    <w:rsid w:val="00AB2D54"/>
    <w:rsid w:val="00AB31D6"/>
    <w:rsid w:val="00AB3E3F"/>
    <w:rsid w:val="00AB4ADA"/>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6E9B"/>
    <w:rsid w:val="00AC7195"/>
    <w:rsid w:val="00AC7705"/>
    <w:rsid w:val="00AC7C0C"/>
    <w:rsid w:val="00AC7D40"/>
    <w:rsid w:val="00AD08B0"/>
    <w:rsid w:val="00AD19DE"/>
    <w:rsid w:val="00AD3A03"/>
    <w:rsid w:val="00AD422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1E09"/>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717"/>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BD3"/>
    <w:rsid w:val="00B27F12"/>
    <w:rsid w:val="00B30E15"/>
    <w:rsid w:val="00B30EF1"/>
    <w:rsid w:val="00B311A9"/>
    <w:rsid w:val="00B31BB3"/>
    <w:rsid w:val="00B31F3B"/>
    <w:rsid w:val="00B32853"/>
    <w:rsid w:val="00B32AB1"/>
    <w:rsid w:val="00B3310A"/>
    <w:rsid w:val="00B33D0E"/>
    <w:rsid w:val="00B33F0B"/>
    <w:rsid w:val="00B33F60"/>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6A92"/>
    <w:rsid w:val="00B56BEB"/>
    <w:rsid w:val="00B56F1D"/>
    <w:rsid w:val="00B57278"/>
    <w:rsid w:val="00B57705"/>
    <w:rsid w:val="00B609AF"/>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0C8A"/>
    <w:rsid w:val="00B72699"/>
    <w:rsid w:val="00B739A4"/>
    <w:rsid w:val="00B73A46"/>
    <w:rsid w:val="00B743D7"/>
    <w:rsid w:val="00B7448E"/>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6F6B"/>
    <w:rsid w:val="00B97270"/>
    <w:rsid w:val="00B97D66"/>
    <w:rsid w:val="00B97EB5"/>
    <w:rsid w:val="00BA0666"/>
    <w:rsid w:val="00BA0707"/>
    <w:rsid w:val="00BA1490"/>
    <w:rsid w:val="00BA1F88"/>
    <w:rsid w:val="00BA23E1"/>
    <w:rsid w:val="00BA2600"/>
    <w:rsid w:val="00BA264B"/>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676A"/>
    <w:rsid w:val="00BE7645"/>
    <w:rsid w:val="00BE7A36"/>
    <w:rsid w:val="00BE7AC3"/>
    <w:rsid w:val="00BE7C01"/>
    <w:rsid w:val="00BF0FC3"/>
    <w:rsid w:val="00BF183D"/>
    <w:rsid w:val="00BF1889"/>
    <w:rsid w:val="00BF3086"/>
    <w:rsid w:val="00BF3612"/>
    <w:rsid w:val="00BF4B1C"/>
    <w:rsid w:val="00BF5C56"/>
    <w:rsid w:val="00BF63BF"/>
    <w:rsid w:val="00BF6761"/>
    <w:rsid w:val="00BF6926"/>
    <w:rsid w:val="00BF784B"/>
    <w:rsid w:val="00BF7986"/>
    <w:rsid w:val="00BF7A97"/>
    <w:rsid w:val="00BF7C75"/>
    <w:rsid w:val="00BF7FDE"/>
    <w:rsid w:val="00C012D7"/>
    <w:rsid w:val="00C018D5"/>
    <w:rsid w:val="00C02B5C"/>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CDD"/>
    <w:rsid w:val="00C10E55"/>
    <w:rsid w:val="00C10FB6"/>
    <w:rsid w:val="00C117E4"/>
    <w:rsid w:val="00C11978"/>
    <w:rsid w:val="00C12608"/>
    <w:rsid w:val="00C12D4C"/>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5E60"/>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1FFA"/>
    <w:rsid w:val="00C625E6"/>
    <w:rsid w:val="00C6298B"/>
    <w:rsid w:val="00C6316E"/>
    <w:rsid w:val="00C632F6"/>
    <w:rsid w:val="00C6358E"/>
    <w:rsid w:val="00C646B3"/>
    <w:rsid w:val="00C64D48"/>
    <w:rsid w:val="00C652D4"/>
    <w:rsid w:val="00C65612"/>
    <w:rsid w:val="00C65D66"/>
    <w:rsid w:val="00C6721E"/>
    <w:rsid w:val="00C703E5"/>
    <w:rsid w:val="00C71A7F"/>
    <w:rsid w:val="00C726E3"/>
    <w:rsid w:val="00C730A6"/>
    <w:rsid w:val="00C7319A"/>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61E"/>
    <w:rsid w:val="00C97DAD"/>
    <w:rsid w:val="00CA0E2D"/>
    <w:rsid w:val="00CA12DC"/>
    <w:rsid w:val="00CA14C9"/>
    <w:rsid w:val="00CA2583"/>
    <w:rsid w:val="00CA2C96"/>
    <w:rsid w:val="00CA2DDA"/>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5C8"/>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4E6"/>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3227"/>
    <w:rsid w:val="00D54384"/>
    <w:rsid w:val="00D543E9"/>
    <w:rsid w:val="00D55040"/>
    <w:rsid w:val="00D55AB9"/>
    <w:rsid w:val="00D568ED"/>
    <w:rsid w:val="00D57009"/>
    <w:rsid w:val="00D572D6"/>
    <w:rsid w:val="00D578B9"/>
    <w:rsid w:val="00D57D2B"/>
    <w:rsid w:val="00D6156A"/>
    <w:rsid w:val="00D617D9"/>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21B"/>
    <w:rsid w:val="00D85FDD"/>
    <w:rsid w:val="00D871E6"/>
    <w:rsid w:val="00D905EA"/>
    <w:rsid w:val="00D90B00"/>
    <w:rsid w:val="00D912E8"/>
    <w:rsid w:val="00D91350"/>
    <w:rsid w:val="00D9188C"/>
    <w:rsid w:val="00D9212F"/>
    <w:rsid w:val="00D922C3"/>
    <w:rsid w:val="00D93080"/>
    <w:rsid w:val="00D94191"/>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1A3C"/>
    <w:rsid w:val="00DB2B7A"/>
    <w:rsid w:val="00DB2D1E"/>
    <w:rsid w:val="00DB2F89"/>
    <w:rsid w:val="00DB31A7"/>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771"/>
    <w:rsid w:val="00DC4FA0"/>
    <w:rsid w:val="00DC4FEC"/>
    <w:rsid w:val="00DC5AE8"/>
    <w:rsid w:val="00DC6938"/>
    <w:rsid w:val="00DC712B"/>
    <w:rsid w:val="00DC746B"/>
    <w:rsid w:val="00DC7894"/>
    <w:rsid w:val="00DD0F58"/>
    <w:rsid w:val="00DD1054"/>
    <w:rsid w:val="00DD12FD"/>
    <w:rsid w:val="00DD14E6"/>
    <w:rsid w:val="00DD290C"/>
    <w:rsid w:val="00DD367D"/>
    <w:rsid w:val="00DD39C7"/>
    <w:rsid w:val="00DD4360"/>
    <w:rsid w:val="00DD4C58"/>
    <w:rsid w:val="00DD6311"/>
    <w:rsid w:val="00DD788F"/>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4EAB"/>
    <w:rsid w:val="00E04FA1"/>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42"/>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8C3"/>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47E"/>
    <w:rsid w:val="00E46F60"/>
    <w:rsid w:val="00E472E9"/>
    <w:rsid w:val="00E47451"/>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8A0"/>
    <w:rsid w:val="00E72B93"/>
    <w:rsid w:val="00E72B9D"/>
    <w:rsid w:val="00E72E76"/>
    <w:rsid w:val="00E72E77"/>
    <w:rsid w:val="00E72EFE"/>
    <w:rsid w:val="00E73313"/>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9D6"/>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2C55"/>
    <w:rsid w:val="00EB3514"/>
    <w:rsid w:val="00EB3E62"/>
    <w:rsid w:val="00EB42F3"/>
    <w:rsid w:val="00EB4DA8"/>
    <w:rsid w:val="00EB5877"/>
    <w:rsid w:val="00EB5B79"/>
    <w:rsid w:val="00EB65CA"/>
    <w:rsid w:val="00EB6C66"/>
    <w:rsid w:val="00EC05F0"/>
    <w:rsid w:val="00EC0BAD"/>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DE2"/>
    <w:rsid w:val="00ED1E1D"/>
    <w:rsid w:val="00ED2410"/>
    <w:rsid w:val="00ED3854"/>
    <w:rsid w:val="00ED3FD8"/>
    <w:rsid w:val="00ED40BF"/>
    <w:rsid w:val="00ED50C8"/>
    <w:rsid w:val="00ED5504"/>
    <w:rsid w:val="00ED589D"/>
    <w:rsid w:val="00ED67E8"/>
    <w:rsid w:val="00ED6F81"/>
    <w:rsid w:val="00ED76AC"/>
    <w:rsid w:val="00EE00B3"/>
    <w:rsid w:val="00EE0216"/>
    <w:rsid w:val="00EE035D"/>
    <w:rsid w:val="00EE06AF"/>
    <w:rsid w:val="00EE0E67"/>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19"/>
    <w:rsid w:val="00EF6A68"/>
    <w:rsid w:val="00EF6AE8"/>
    <w:rsid w:val="00EF762C"/>
    <w:rsid w:val="00EF7CDD"/>
    <w:rsid w:val="00EF7D7B"/>
    <w:rsid w:val="00EF7EF4"/>
    <w:rsid w:val="00F003C2"/>
    <w:rsid w:val="00F0154C"/>
    <w:rsid w:val="00F0182C"/>
    <w:rsid w:val="00F0242E"/>
    <w:rsid w:val="00F02E9F"/>
    <w:rsid w:val="00F039AC"/>
    <w:rsid w:val="00F043EA"/>
    <w:rsid w:val="00F04B7B"/>
    <w:rsid w:val="00F05845"/>
    <w:rsid w:val="00F0652C"/>
    <w:rsid w:val="00F06EC5"/>
    <w:rsid w:val="00F07323"/>
    <w:rsid w:val="00F079FA"/>
    <w:rsid w:val="00F07ACA"/>
    <w:rsid w:val="00F1020A"/>
    <w:rsid w:val="00F10B26"/>
    <w:rsid w:val="00F11649"/>
    <w:rsid w:val="00F11BEC"/>
    <w:rsid w:val="00F11DE6"/>
    <w:rsid w:val="00F1314F"/>
    <w:rsid w:val="00F135DC"/>
    <w:rsid w:val="00F14B59"/>
    <w:rsid w:val="00F15585"/>
    <w:rsid w:val="00F20EA0"/>
    <w:rsid w:val="00F21F1B"/>
    <w:rsid w:val="00F227E2"/>
    <w:rsid w:val="00F22928"/>
    <w:rsid w:val="00F23A1B"/>
    <w:rsid w:val="00F23DD6"/>
    <w:rsid w:val="00F249BF"/>
    <w:rsid w:val="00F25255"/>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77A"/>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139"/>
    <w:rsid w:val="00F674A6"/>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264"/>
    <w:rsid w:val="00F81543"/>
    <w:rsid w:val="00F815AC"/>
    <w:rsid w:val="00F818F4"/>
    <w:rsid w:val="00F81961"/>
    <w:rsid w:val="00F81E37"/>
    <w:rsid w:val="00F822BB"/>
    <w:rsid w:val="00F8303F"/>
    <w:rsid w:val="00F83EE5"/>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97E68"/>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2068"/>
    <w:rsid w:val="00FB28DC"/>
    <w:rsid w:val="00FB29A2"/>
    <w:rsid w:val="00FB3ABC"/>
    <w:rsid w:val="00FB3CBC"/>
    <w:rsid w:val="00FB3DC2"/>
    <w:rsid w:val="00FB45A4"/>
    <w:rsid w:val="00FB51BA"/>
    <w:rsid w:val="00FB57A5"/>
    <w:rsid w:val="00FB5B40"/>
    <w:rsid w:val="00FC0808"/>
    <w:rsid w:val="00FC0957"/>
    <w:rsid w:val="00FC114C"/>
    <w:rsid w:val="00FC31B7"/>
    <w:rsid w:val="00FC36C8"/>
    <w:rsid w:val="00FC4741"/>
    <w:rsid w:val="00FC5200"/>
    <w:rsid w:val="00FC5B2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01E"/>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fillcolor="white" strokecolor="red">
      <v:fill color="white"/>
      <v:stroke color="red" weight="1.5pt"/>
      <v:textbox inset="5.85pt,.7pt,5.85pt,.7pt"/>
    </o:shapedefaults>
    <o:shapelayout v:ext="edit">
      <o:idmap v:ext="edit" data="1"/>
    </o:shapelayout>
  </w:shapeDefaults>
  <w:decimalSymbol w:val="."/>
  <w:listSeparator w:val=","/>
  <w15:docId w15:val="{6D09009C-2543-4A73-B1C4-E980B573E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48C7"/>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A56539"/>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2435A"/>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2435A"/>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com/en-us/windows/windowsintune/faq/default.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licensing/contracts" TargetMode="External"/><Relationship Id="rId47" Type="http://schemas.openxmlformats.org/officeDocument/2006/relationships/hyperlink" Target="http://www.microsoft.com/sqlserver/en/us/get-sql-server/how-to-buy.aspx" TargetMode="External"/><Relationship Id="rId50"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s://www.bingmapsportal.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education/pil/partnersinlearning.aspx"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licensing/contracts" TargetMode="External"/><Relationship Id="rId45" Type="http://schemas.openxmlformats.org/officeDocument/2006/relationships/hyperlink" Target="mailto:bmesupp@microsoft.com" TargetMode="External"/><Relationship Id="rId53"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volumelicensing.com/userights/PUR.aspx" TargetMode="External"/><Relationship Id="rId49" Type="http://schemas.openxmlformats.org/officeDocument/2006/relationships/footer" Target="footer3.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s://support.microsoft.com/oas/default.aspx?prid=13766&amp;st=1"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s://www.microsoft.com/licensing/servicecenter" TargetMode="External"/><Relationship Id="rId43" Type="http://schemas.openxmlformats.org/officeDocument/2006/relationships/hyperlink" Target="mailto:bmesupp@microsoft.com" TargetMode="External"/><Relationship Id="rId48" Type="http://schemas.openxmlformats.org/officeDocument/2006/relationships/hyperlink" Target="http://www.microsoft.com/en-us/dynamics/erp-buy-ax-software.aspx" TargetMode="External"/><Relationship Id="rId8" Type="http://schemas.openxmlformats.org/officeDocument/2006/relationships/numbering" Target="numbering.xml"/><Relationship Id="rId51"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51942BD1-1021-46DE-8E6D-8EFA1A9F0215}">
  <ds:schemaRefs>
    <ds:schemaRef ds:uri="http://schemas.openxmlformats.org/officeDocument/2006/bibliography"/>
  </ds:schemaRefs>
</ds:datastoreItem>
</file>

<file path=customXml/itemProps5.xml><?xml version="1.0" encoding="utf-8"?>
<ds:datastoreItem xmlns:ds="http://schemas.openxmlformats.org/officeDocument/2006/customXml" ds:itemID="{B168DFF8-96E7-49E5-A00E-69226B3AC8A5}">
  <ds:schemaRefs>
    <ds:schemaRef ds:uri="http://schemas.openxmlformats.org/officeDocument/2006/bibliography"/>
  </ds:schemaRefs>
</ds:datastoreItem>
</file>

<file path=customXml/itemProps6.xml><?xml version="1.0" encoding="utf-8"?>
<ds:datastoreItem xmlns:ds="http://schemas.openxmlformats.org/officeDocument/2006/customXml" ds:itemID="{E6908662-7B6A-4DBC-90BE-F4A6F43A79E8}">
  <ds:schemaRefs>
    <ds:schemaRef ds:uri="http://schemas.openxmlformats.org/officeDocument/2006/bibliography"/>
  </ds:schemaRefs>
</ds:datastoreItem>
</file>

<file path=customXml/itemProps7.xml><?xml version="1.0" encoding="utf-8"?>
<ds:datastoreItem xmlns:ds="http://schemas.openxmlformats.org/officeDocument/2006/customXml" ds:itemID="{81FBBD76-A328-4D23-93F5-E5945BF4C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97580</Words>
  <Characters>556208</Characters>
  <Application>Microsoft Office Word</Application>
  <DocSecurity>8</DocSecurity>
  <Lines>4635</Lines>
  <Paragraphs>1304</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652484</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3</cp:revision>
  <cp:lastPrinted>2013-08-19T11:08:00Z</cp:lastPrinted>
  <dcterms:created xsi:type="dcterms:W3CDTF">2013-08-30T20:59:00Z</dcterms:created>
  <dcterms:modified xsi:type="dcterms:W3CDTF">2013-08-30T20:59:00Z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